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43" w:rsidRPr="00025EC3" w:rsidRDefault="00BA5DC8">
      <w:pPr>
        <w:spacing w:after="568"/>
        <w:rPr>
          <w:rFonts w:ascii="Times New Roman" w:eastAsia="Times New Roman" w:hAnsi="Times New Roman" w:cs="Times New Roman"/>
          <w:b/>
          <w:sz w:val="34"/>
          <w:szCs w:val="34"/>
          <w:lang w:val="id-ID"/>
        </w:rPr>
      </w:pPr>
      <w:r w:rsidRPr="00BA5DC8">
        <w:rPr>
          <w:rFonts w:ascii="Times New Roman" w:eastAsia="Times New Roman" w:hAnsi="Times New Roman" w:cs="Times New Roman"/>
          <w:b/>
          <w:sz w:val="34"/>
          <w:szCs w:val="34"/>
          <w:lang w:val="id-ID"/>
        </w:rPr>
        <w:t xml:space="preserve">System Dynamics Modeling for </w:t>
      </w:r>
      <w:r w:rsidR="0000024A">
        <w:rPr>
          <w:rFonts w:ascii="Times New Roman" w:eastAsia="Times New Roman" w:hAnsi="Times New Roman" w:cs="Times New Roman"/>
          <w:b/>
          <w:sz w:val="34"/>
          <w:szCs w:val="34"/>
          <w:lang w:val="en-US"/>
        </w:rPr>
        <w:t xml:space="preserve">Estimating </w:t>
      </w:r>
      <w:r w:rsidR="00464CDD">
        <w:rPr>
          <w:rFonts w:ascii="Times New Roman" w:eastAsia="Times New Roman" w:hAnsi="Times New Roman" w:cs="Times New Roman"/>
          <w:b/>
          <w:sz w:val="34"/>
          <w:szCs w:val="34"/>
          <w:lang w:val="id-ID"/>
        </w:rPr>
        <w:t xml:space="preserve">the Electrical </w:t>
      </w:r>
      <w:r w:rsidRPr="00BA5DC8">
        <w:rPr>
          <w:rFonts w:ascii="Times New Roman" w:eastAsia="Times New Roman" w:hAnsi="Times New Roman" w:cs="Times New Roman"/>
          <w:b/>
          <w:sz w:val="34"/>
          <w:szCs w:val="34"/>
          <w:lang w:val="id-ID"/>
        </w:rPr>
        <w:t>Energy Demand of West Papua Province</w:t>
      </w:r>
      <w:bookmarkStart w:id="0" w:name="_GoBack"/>
      <w:bookmarkEnd w:id="0"/>
    </w:p>
    <w:p w:rsidR="00011643" w:rsidRDefault="00025EC3">
      <w:pPr>
        <w:spacing w:after="0"/>
        <w:ind w:left="1418"/>
        <w:rPr>
          <w:rFonts w:ascii="Times New Roman" w:eastAsia="Times New Roman" w:hAnsi="Times New Roman" w:cs="Times New Roman"/>
          <w:b/>
        </w:rPr>
      </w:pPr>
      <w:r>
        <w:rPr>
          <w:rFonts w:ascii="Times New Roman" w:eastAsia="Times New Roman" w:hAnsi="Times New Roman" w:cs="Times New Roman"/>
          <w:b/>
          <w:lang w:val="id-ID"/>
        </w:rPr>
        <w:t>Adelhard Beni Rehiara</w:t>
      </w:r>
      <w:r w:rsidR="00F934D6">
        <w:rPr>
          <w:rFonts w:ascii="Times New Roman" w:eastAsia="Times New Roman" w:hAnsi="Times New Roman" w:cs="Times New Roman"/>
          <w:b/>
          <w:vertAlign w:val="superscript"/>
        </w:rPr>
        <w:t>1</w:t>
      </w:r>
      <w:r w:rsidR="00252891">
        <w:rPr>
          <w:rFonts w:ascii="Times New Roman" w:eastAsia="Times New Roman" w:hAnsi="Times New Roman" w:cs="Times New Roman"/>
          <w:b/>
          <w:lang w:val="id-ID"/>
        </w:rPr>
        <w:t>, Bibiana Rosalina Wihyawari</w:t>
      </w:r>
      <w:r w:rsidR="00252891">
        <w:rPr>
          <w:rFonts w:ascii="Times New Roman" w:eastAsia="Times New Roman" w:hAnsi="Times New Roman" w:cs="Times New Roman"/>
          <w:b/>
          <w:vertAlign w:val="superscript"/>
          <w:lang w:val="id-ID"/>
        </w:rPr>
        <w:t>2</w:t>
      </w:r>
      <w:r w:rsidR="00252891">
        <w:rPr>
          <w:rFonts w:ascii="Times New Roman" w:eastAsia="Times New Roman" w:hAnsi="Times New Roman" w:cs="Times New Roman"/>
          <w:b/>
          <w:lang w:val="id-ID"/>
        </w:rPr>
        <w:t>, and Fourys Yudo Setiawan Paisey</w:t>
      </w:r>
      <w:r w:rsidR="00252891">
        <w:rPr>
          <w:rFonts w:ascii="Times New Roman" w:eastAsia="Times New Roman" w:hAnsi="Times New Roman" w:cs="Times New Roman"/>
          <w:b/>
          <w:vertAlign w:val="superscript"/>
          <w:lang w:val="id-ID"/>
        </w:rPr>
        <w:t>3</w:t>
      </w:r>
    </w:p>
    <w:p w:rsidR="00011643" w:rsidRDefault="00011643">
      <w:pPr>
        <w:spacing w:after="0"/>
        <w:ind w:left="1418"/>
        <w:rPr>
          <w:rFonts w:ascii="Times New Roman" w:eastAsia="Times New Roman" w:hAnsi="Times New Roman" w:cs="Times New Roman"/>
          <w:vertAlign w:val="superscript"/>
        </w:rPr>
      </w:pPr>
    </w:p>
    <w:p w:rsidR="00011643" w:rsidRPr="00025EC3" w:rsidRDefault="00F934D6">
      <w:pPr>
        <w:spacing w:after="0"/>
        <w:ind w:left="1418"/>
        <w:rPr>
          <w:rFonts w:ascii="Times New Roman" w:eastAsia="Times New Roman" w:hAnsi="Times New Roman" w:cs="Times New Roman"/>
          <w:lang w:val="id-ID"/>
        </w:rPr>
      </w:pPr>
      <w:r>
        <w:rPr>
          <w:rFonts w:ascii="Times New Roman" w:eastAsia="Times New Roman" w:hAnsi="Times New Roman" w:cs="Times New Roman"/>
          <w:vertAlign w:val="superscript"/>
        </w:rPr>
        <w:t>1</w:t>
      </w:r>
      <w:r w:rsidR="00025EC3">
        <w:rPr>
          <w:rFonts w:ascii="Times New Roman" w:eastAsia="Times New Roman" w:hAnsi="Times New Roman" w:cs="Times New Roman"/>
          <w:lang w:val="id-ID"/>
        </w:rPr>
        <w:t>Electrical Engineering Department</w:t>
      </w:r>
      <w:r>
        <w:rPr>
          <w:rFonts w:ascii="Times New Roman" w:eastAsia="Times New Roman" w:hAnsi="Times New Roman" w:cs="Times New Roman"/>
        </w:rPr>
        <w:t xml:space="preserve">, </w:t>
      </w:r>
      <w:r w:rsidR="00025EC3">
        <w:rPr>
          <w:rFonts w:ascii="Times New Roman" w:eastAsia="Times New Roman" w:hAnsi="Times New Roman" w:cs="Times New Roman"/>
          <w:lang w:val="id-ID"/>
        </w:rPr>
        <w:t>University of Papua, Indonesia</w:t>
      </w:r>
    </w:p>
    <w:p w:rsidR="00011643" w:rsidRDefault="00011643">
      <w:pPr>
        <w:spacing w:after="0"/>
        <w:ind w:left="1418"/>
        <w:rPr>
          <w:rFonts w:ascii="Times New Roman" w:eastAsia="Times New Roman" w:hAnsi="Times New Roman" w:cs="Times New Roman"/>
        </w:rPr>
      </w:pPr>
      <w:bookmarkStart w:id="1" w:name="_heading=h.gjdgxs" w:colFirst="0" w:colLast="0"/>
      <w:bookmarkEnd w:id="1"/>
    </w:p>
    <w:p w:rsidR="00011643" w:rsidRPr="00025EC3" w:rsidRDefault="00F934D6">
      <w:pPr>
        <w:spacing w:after="568"/>
        <w:ind w:left="1418"/>
        <w:rPr>
          <w:rFonts w:ascii="Times New Roman" w:eastAsia="Times New Roman" w:hAnsi="Times New Roman" w:cs="Times New Roman"/>
          <w:lang w:val="id-ID"/>
        </w:rPr>
      </w:pPr>
      <w:r>
        <w:rPr>
          <w:rFonts w:ascii="Times New Roman" w:eastAsia="Times New Roman" w:hAnsi="Times New Roman" w:cs="Times New Roman"/>
        </w:rPr>
        <w:t xml:space="preserve">E-mail: </w:t>
      </w:r>
      <w:r w:rsidR="00025EC3">
        <w:rPr>
          <w:rFonts w:ascii="Times New Roman" w:eastAsia="Times New Roman" w:hAnsi="Times New Roman" w:cs="Times New Roman"/>
          <w:lang w:val="id-ID"/>
        </w:rPr>
        <w:t>a.rehiara@unipa.ac.id</w:t>
      </w:r>
    </w:p>
    <w:p w:rsidR="00011643" w:rsidRDefault="00F934D6">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4803C6" w:rsidRPr="004803C6">
        <w:rPr>
          <w:rFonts w:ascii="Times New Roman" w:eastAsia="Times New Roman" w:hAnsi="Times New Roman" w:cs="Times New Roman"/>
          <w:sz w:val="20"/>
          <w:szCs w:val="20"/>
          <w:lang w:val="id-ID"/>
        </w:rPr>
        <w:t>In developing an area, there must exist some infrastructures as the support for economics and socials activities. Then West Papua Province, as one of the new provinces in Indonesia, needs the infrastructure, including electrical infrastructure, for supporting its development. In this paper, system dynamics modeling has been built to investigate the readiness of electrical infrastructure, especially electricity generation, in facing the energy demand by the growth of population and other sectors in West Papua Province. The models have met the absolute mean error (AME) standard of validation. The simulation of the Busines as Usual (BAU) model shows that the generation units are supported well in normal condition until 2050. In case no additional installed capacity for the generation units, the existing units may not support the population and energy growth by 2047 and 2043, respectively, as shown in the designed scenarios simulation. The lack of capacity is due to the upwards of energy demand in 2050, about 5012.09 GWh in scenario 1 and 7406.98 GWh in scenario 2, which is significantly increasing from 5012.09 GWh in BAU</w:t>
      </w:r>
      <w:r w:rsidR="00F54CE5" w:rsidRPr="00F54CE5">
        <w:rPr>
          <w:rFonts w:ascii="Times New Roman" w:eastAsia="Times New Roman" w:hAnsi="Times New Roman" w:cs="Times New Roman"/>
          <w:sz w:val="20"/>
          <w:szCs w:val="20"/>
          <w:lang w:val="id-ID"/>
        </w:rPr>
        <w:t>.</w:t>
      </w:r>
    </w:p>
    <w:p w:rsidR="00011643" w:rsidRDefault="00F934D6" w:rsidP="00B3506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F058BC" w:rsidRDefault="004803C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4803C6">
        <w:rPr>
          <w:rFonts w:ascii="Times New Roman" w:eastAsia="Times New Roman" w:hAnsi="Times New Roman" w:cs="Times New Roman"/>
          <w:color w:val="000000"/>
        </w:rPr>
        <w:t xml:space="preserve">West Papua province is a province on the western side of Indonesia which is expanded in 2000. The province has </w:t>
      </w:r>
      <w:r>
        <w:rPr>
          <w:rFonts w:ascii="Times New Roman" w:eastAsia="Times New Roman" w:hAnsi="Times New Roman" w:cs="Times New Roman"/>
          <w:color w:val="000000"/>
          <w:lang w:val="id-ID"/>
        </w:rPr>
        <w:t>twelve</w:t>
      </w:r>
      <w:r w:rsidRPr="004803C6">
        <w:rPr>
          <w:rFonts w:ascii="Times New Roman" w:eastAsia="Times New Roman" w:hAnsi="Times New Roman" w:cs="Times New Roman"/>
          <w:color w:val="000000"/>
        </w:rPr>
        <w:t xml:space="preserve"> residences and a municipality with 218 districts. The total cover area of this province is about 138.385 km</w:t>
      </w:r>
      <w:r w:rsidRPr="004803C6">
        <w:rPr>
          <w:rFonts w:ascii="Times New Roman" w:eastAsia="Times New Roman" w:hAnsi="Times New Roman" w:cs="Times New Roman"/>
          <w:color w:val="000000"/>
          <w:vertAlign w:val="superscript"/>
        </w:rPr>
        <w:t>2</w:t>
      </w:r>
      <w:r w:rsidRPr="004803C6">
        <w:rPr>
          <w:rFonts w:ascii="Times New Roman" w:eastAsia="Times New Roman" w:hAnsi="Times New Roman" w:cs="Times New Roman"/>
          <w:color w:val="000000"/>
        </w:rPr>
        <w:t>, where about 97.239 km</w:t>
      </w:r>
      <w:r w:rsidRPr="004803C6">
        <w:rPr>
          <w:rFonts w:ascii="Times New Roman" w:eastAsia="Times New Roman" w:hAnsi="Times New Roman" w:cs="Times New Roman"/>
          <w:color w:val="000000"/>
          <w:vertAlign w:val="superscript"/>
        </w:rPr>
        <w:t>2</w:t>
      </w:r>
      <w:r w:rsidRPr="004803C6">
        <w:rPr>
          <w:rFonts w:ascii="Times New Roman" w:eastAsia="Times New Roman" w:hAnsi="Times New Roman" w:cs="Times New Roman"/>
          <w:color w:val="000000"/>
        </w:rPr>
        <w:t xml:space="preserve"> areas are covered by rain forests</w:t>
      </w:r>
      <w:r w:rsidR="00CB1646">
        <w:rPr>
          <w:rFonts w:ascii="Times New Roman" w:eastAsia="Times New Roman" w:hAnsi="Times New Roman" w:cs="Times New Roman"/>
          <w:color w:val="000000"/>
          <w:lang w:val="id-ID"/>
        </w:rPr>
        <w:t xml:space="preserve"> </w:t>
      </w:r>
      <w:r w:rsidR="0033372E">
        <w:rPr>
          <w:rFonts w:ascii="Times New Roman" w:eastAsia="Times New Roman" w:hAnsi="Times New Roman" w:cs="Times New Roman"/>
          <w:color w:val="000000"/>
        </w:rPr>
        <w:fldChar w:fldCharType="begin"/>
      </w:r>
      <w:r w:rsidR="00CB1646">
        <w:rPr>
          <w:rFonts w:ascii="Times New Roman" w:eastAsia="Times New Roman" w:hAnsi="Times New Roman" w:cs="Times New Roman"/>
          <w:color w:val="000000"/>
        </w:rPr>
        <w:instrText xml:space="preserve"> ADDIN ZOTERO_ITEM CSL_CITATION {"citationID":"axFi5Yib","properties":{"formattedCitation":"[1]","plainCitation":"[1]","noteIndex":0},"citationItems":[{"id":52,"uris":["http://zotero.org/users/local/Ft4xB1KH/items/8M68KKKN"],"uri":["http://zotero.org/users/local/Ft4xB1KH/items/8M68KKKN"],"itemData":{"id":52,"type":"book","publisher":"West Papua Province","title":"Rencana Pembangunan Jangka Menengah Provinsi Papua Barat 2017-2022","author":[{"family":"Badan Perencanaan Pembangunan Daerah","given":""}],"issued":{"date-parts":[["2017"]]}}}],"schema":"https://github.com/citation-style-language/schema/raw/master/csl-citation.json"} </w:instrText>
      </w:r>
      <w:r w:rsidR="0033372E">
        <w:rPr>
          <w:rFonts w:ascii="Times New Roman" w:eastAsia="Times New Roman" w:hAnsi="Times New Roman" w:cs="Times New Roman"/>
          <w:color w:val="000000"/>
        </w:rPr>
        <w:fldChar w:fldCharType="separate"/>
      </w:r>
      <w:r w:rsidR="00CB1646" w:rsidRPr="00CB1646">
        <w:rPr>
          <w:rFonts w:ascii="Times New Roman" w:hAnsi="Times New Roman" w:cs="Times New Roman"/>
        </w:rPr>
        <w:t>[1]</w:t>
      </w:r>
      <w:r w:rsidR="0033372E">
        <w:rPr>
          <w:rFonts w:ascii="Times New Roman" w:eastAsia="Times New Roman" w:hAnsi="Times New Roman" w:cs="Times New Roman"/>
          <w:color w:val="000000"/>
        </w:rPr>
        <w:fldChar w:fldCharType="end"/>
      </w:r>
      <w:r w:rsidR="00F303D9">
        <w:rPr>
          <w:rFonts w:ascii="Times New Roman" w:eastAsia="Times New Roman" w:hAnsi="Times New Roman" w:cs="Times New Roman"/>
          <w:color w:val="000000"/>
        </w:rPr>
        <w:t xml:space="preserve">. </w:t>
      </w:r>
      <w:r w:rsidRPr="004803C6">
        <w:rPr>
          <w:rFonts w:ascii="Times New Roman" w:eastAsia="Times New Roman" w:hAnsi="Times New Roman" w:cs="Times New Roman"/>
          <w:color w:val="000000"/>
        </w:rPr>
        <w:t>As a province in the "child age," this province is actively under development; therefore, it is necessary to ensure infrastructure availability to support its development</w:t>
      </w:r>
      <w:r w:rsidR="00F058BC" w:rsidRPr="00F058BC">
        <w:rPr>
          <w:rFonts w:ascii="Times New Roman" w:eastAsia="Times New Roman" w:hAnsi="Times New Roman" w:cs="Times New Roman"/>
          <w:color w:val="000000"/>
          <w:lang w:val="id-ID"/>
        </w:rPr>
        <w:t xml:space="preserve">. </w:t>
      </w:r>
    </w:p>
    <w:p w:rsidR="004803C6" w:rsidRPr="004803C6" w:rsidRDefault="004803C6" w:rsidP="004803C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4803C6">
        <w:rPr>
          <w:rFonts w:ascii="Times New Roman" w:eastAsia="Times New Roman" w:hAnsi="Times New Roman" w:cs="Times New Roman"/>
          <w:color w:val="000000"/>
          <w:lang w:val="id-ID"/>
        </w:rPr>
        <w:t>Electrical energy becomes a kind of necessary energy in human life since this energy usage tends to increase by the year; therefore, the electrical infrastructure as the public facilities must be present in developing an area. Social and economic activities may not run in case of the lack and absence of this infrastructure, then there is no profit to develop the area. This condition is applicable in every area with no exception to the West Papua Province.</w:t>
      </w:r>
    </w:p>
    <w:p w:rsidR="004C22CE" w:rsidRDefault="004803C6" w:rsidP="004803C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803C6">
        <w:rPr>
          <w:rFonts w:ascii="Times New Roman" w:eastAsia="Times New Roman" w:hAnsi="Times New Roman" w:cs="Times New Roman"/>
          <w:color w:val="000000"/>
          <w:lang w:val="id-ID"/>
        </w:rPr>
        <w:t>System dynamics modeling represents the dynamic and the complexity of a system into a model by the concept of system thinking. Unlike the other software used in the energy management system, such as Long-range Energy Alternatives Planning (LEAP), Hybrid Optimization of Multiple Energy Resources (HOMER), etc., the system dynamic gives more independence, accessibility, and flexibility in designing a system model. Some researchers have done researches about system dynamic modeling for low carbon development in West Papua province, in the aspect of forestry</w:t>
      </w:r>
      <w:r w:rsidR="0033372E">
        <w:rPr>
          <w:rFonts w:ascii="Times New Roman" w:eastAsia="Times New Roman" w:hAnsi="Times New Roman" w:cs="Times New Roman"/>
          <w:color w:val="000000"/>
        </w:rPr>
        <w:fldChar w:fldCharType="begin"/>
      </w:r>
      <w:r w:rsidR="00CB1646">
        <w:rPr>
          <w:rFonts w:ascii="Times New Roman" w:eastAsia="Times New Roman" w:hAnsi="Times New Roman" w:cs="Times New Roman"/>
          <w:color w:val="000000"/>
        </w:rPr>
        <w:instrText xml:space="preserve"> ADDIN ZOTERO_ITEM CSL_CITATION {"citationID":"LTVJfjkL","properties":{"formattedCitation":"[2]","plainCitation":"[2]","noteIndex":0},"citationItems":[{"id":"LlYD3n9N/sg8WdwYo","uris":["http://zotero.org/users/local/uAt8o06a/items/HCRFKVA5"],"uri":["http://zotero.org/users/local/uAt8o06a/items/HCRFKVA5"],"itemData":{"id":31,"type":"article-journal","abstract":"West Papua’s tropical forests are one of the mega biodiversity in the Sahul Shelf ecoregion. The increasing economic growth has a déterrent impact on deforestation and forest degradation with the rate increased by 1.29% per year (2010-2018). Meanwhile, economic growth in Gross Regional Domestic Product (GRDP) reached 4.87% per year. This study aims to simulate carbon management from the forestry sector in West Papua into the long-term low-carbon sustainable development. This research uses a dynamic system method through Stock Flow Diagram (SDF) stage and model validation. The results showed that the forestry GRDP and emission based on the CM1 and CM2 scenarios calculated using emission reduction of 69.61% and 91.04% were determined by 0.28 and 0.09 times from BAU. The total GRDP and forestry GRDP decreased by 5.19% (CM1) and 6.59% (CM2) and 71.57% (CM1) and 90.93% (CM2). Under this scenario, West Papua could maintain a forest cover of more than 85%. The study concludes that the results of the BAU scenario predict forest cover of 70% in 2030. Simulations carried out with CM1 and CM2 reduction in emissions show that the achievement of forestry GRDP, total GRDP, and emissions is lower than BAU.","container-title":"IOP Conference Series: Earth and Environmental Science","DOI":"10.1088/1755-1315/716/1/012017","issue":"1","note":"publisher: IOP Publishing","page":"012017","title":"Scenario for West Papua contribution for NDC from forestry sector","volume":"716","author":[{"literal":"Hendri"},{"family":"Karuniasa","given":"Mahawan"},{"family":"Prabawardhani","given":"Saraswati"},{"family":"Syamsudin","given":"Kati"},{"family":"Pradafitri","given":"Wednes S."}],"issued":{"date-parts":[["2021",3]]}}}],"schema":"https://github.com/citation-style-language/schema/raw/master/csl-citation.json"} </w:instrText>
      </w:r>
      <w:r w:rsidR="0033372E">
        <w:rPr>
          <w:rFonts w:ascii="Times New Roman" w:eastAsia="Times New Roman" w:hAnsi="Times New Roman" w:cs="Times New Roman"/>
          <w:color w:val="000000"/>
        </w:rPr>
        <w:fldChar w:fldCharType="separate"/>
      </w:r>
      <w:r w:rsidR="00263BA2" w:rsidRPr="00263BA2">
        <w:rPr>
          <w:rFonts w:ascii="Times New Roman" w:hAnsi="Times New Roman" w:cs="Times New Roman"/>
        </w:rPr>
        <w:t>[2]</w:t>
      </w:r>
      <w:r w:rsidR="0033372E">
        <w:rPr>
          <w:rFonts w:ascii="Times New Roman" w:eastAsia="Times New Roman" w:hAnsi="Times New Roman" w:cs="Times New Roman"/>
          <w:color w:val="000000"/>
        </w:rPr>
        <w:fldChar w:fldCharType="end"/>
      </w:r>
      <w:r w:rsidR="003C3C9F">
        <w:rPr>
          <w:rFonts w:ascii="Times New Roman" w:eastAsia="Times New Roman" w:hAnsi="Times New Roman" w:cs="Times New Roman"/>
          <w:color w:val="000000"/>
        </w:rPr>
        <w:t xml:space="preserve">, </w:t>
      </w:r>
      <w:r w:rsidR="004C22CE">
        <w:rPr>
          <w:rFonts w:ascii="Times New Roman" w:eastAsia="Times New Roman" w:hAnsi="Times New Roman" w:cs="Times New Roman"/>
          <w:color w:val="000000"/>
        </w:rPr>
        <w:t>energy</w:t>
      </w:r>
      <w:r w:rsidR="0033372E">
        <w:rPr>
          <w:rFonts w:ascii="Times New Roman" w:eastAsia="Times New Roman" w:hAnsi="Times New Roman" w:cs="Times New Roman"/>
          <w:color w:val="000000"/>
        </w:rPr>
        <w:fldChar w:fldCharType="begin"/>
      </w:r>
      <w:r w:rsidR="00CB1646">
        <w:rPr>
          <w:rFonts w:ascii="Times New Roman" w:eastAsia="Times New Roman" w:hAnsi="Times New Roman" w:cs="Times New Roman"/>
          <w:color w:val="000000"/>
        </w:rPr>
        <w:instrText xml:space="preserve"> ADDIN ZOTERO_ITEM CSL_CITATION {"citationID":"1kOqWVmJ","properties":{"formattedCitation":"[3]","plainCitation":"[3]","noteIndex":0},"citationItems":[{"id":"LlYD3n9N/t4DuGgvd","uris":["http://zotero.org/users/local/uAt8o06a/items/QZSKF2SY"],"uri":["http://zotero.org/users/local/uAt8o06a/items/QZSKF2SY"],"itemData":{"id":29,"type":"article-journal","abstract":"West Papua is one of the Indonesian remaining forest frontiers expected to contribute greatly to countries’ climate commitments. Although fast economic growth in West Papua may results in high emission to the environment, especially in the energy sector. This study aimed to simulate the Gross Regional Domestic Product (GRDP) linked to Emission variables and integrate climate-smart development. The dynamic system model will integrate the influencing factors such as GRDP, capital, investment, and emission in West Papua. The modeling stage comprises of concept drafting, modeling, model simulation, and validation process. Powersim 10 is used to run the model. A causal loop diagram of the initial model scenario is formed of one variable is positive (reinforcing). Modeling results has been declared valid by the AME value of 4,96%. The implementation of NDC 41% in the economic sector will cut GRDP to approximately a half than business as usual GRDP. Based on the initial scenario, the model simulations indicate that the CO2 emission along the simulation period is defined to the year 2030, about 14,397,034,50 tonCO2/year on average. After the structural intervention is conducted, the CO2 emission decrease up to 25,6%, reducing emission according to NDC, 41% will correct the economy.","container-title":"IOP Conference Series: Earth and Environmental Science","DOI":"10.1088/1755-1315/716/1/012015","issue":"1","note":"publisher: IOP Publishing","page":"012015","title":"Low carbon energy model in West Papua","volume":"716","author":[{"family":"Wehantouw","given":"Frenly"},{"family":"Karuniasa","given":"Mahawan"},{"family":"Wurarah","given":"Rully N."},{"family":"Tuharea","given":"Abdullah"},{"family":"Maharani","given":"Cynthia"},{"family":"Shalilah","given":"Himayatus"},{"family":"Pambudi","given":"Priyaji Agung"}],"issued":{"date-parts":[["2021",3]]}}}],"schema":"https://github.com/citation-style-language/schema/raw/master/csl-citation.json"} </w:instrText>
      </w:r>
      <w:r w:rsidR="0033372E">
        <w:rPr>
          <w:rFonts w:ascii="Times New Roman" w:eastAsia="Times New Roman" w:hAnsi="Times New Roman" w:cs="Times New Roman"/>
          <w:color w:val="000000"/>
        </w:rPr>
        <w:fldChar w:fldCharType="separate"/>
      </w:r>
      <w:r w:rsidR="00263BA2" w:rsidRPr="00263BA2">
        <w:rPr>
          <w:rFonts w:ascii="Times New Roman" w:hAnsi="Times New Roman" w:cs="Times New Roman"/>
        </w:rPr>
        <w:t>[3]</w:t>
      </w:r>
      <w:r w:rsidR="0033372E">
        <w:rPr>
          <w:rFonts w:ascii="Times New Roman" w:eastAsia="Times New Roman" w:hAnsi="Times New Roman" w:cs="Times New Roman"/>
          <w:color w:val="000000"/>
        </w:rPr>
        <w:fldChar w:fldCharType="end"/>
      </w:r>
      <w:r w:rsidR="004C22CE">
        <w:rPr>
          <w:rFonts w:ascii="Times New Roman" w:eastAsia="Times New Roman" w:hAnsi="Times New Roman" w:cs="Times New Roman"/>
          <w:color w:val="000000"/>
        </w:rPr>
        <w:t xml:space="preserve">, </w:t>
      </w:r>
      <w:r w:rsidR="004C22CE" w:rsidRPr="004C22CE">
        <w:rPr>
          <w:rFonts w:ascii="Times New Roman" w:eastAsia="Times New Roman" w:hAnsi="Times New Roman" w:cs="Times New Roman"/>
          <w:color w:val="000000"/>
        </w:rPr>
        <w:t>sustainable human development index</w:t>
      </w:r>
      <w:r w:rsidR="0033372E">
        <w:rPr>
          <w:rFonts w:ascii="Times New Roman" w:eastAsia="Times New Roman" w:hAnsi="Times New Roman" w:cs="Times New Roman"/>
          <w:color w:val="000000"/>
        </w:rPr>
        <w:fldChar w:fldCharType="begin"/>
      </w:r>
      <w:r w:rsidR="00CB1646">
        <w:rPr>
          <w:rFonts w:ascii="Times New Roman" w:eastAsia="Times New Roman" w:hAnsi="Times New Roman" w:cs="Times New Roman"/>
          <w:color w:val="000000"/>
        </w:rPr>
        <w:instrText xml:space="preserve"> ADDIN ZOTERO_ITEM CSL_CITATION {"citationID":"3E1Qk8cm","properties":{"formattedCitation":"[4]","plainCitation":"[4]","noteIndex":0},"citationItems":[{"id":"LlYD3n9N/cYoSifYv","uris":["http://zotero.org/users/local/uAt8o06a/items/SIA73859"],"uri":["http://zotero.org/users/local/uAt8o06a/items/SIA73859"],"itemData":{"id":32,"type":"article-journal","abstract":"The West Papua Province has declared itself a sustainable development province by implementing various programs to achieve sustainable development goals (SDGs). The social, environmental, and economic factors in West Papua need to be linked to improving the HDI as one of the programs to achieve SDGs. The declining poverty rate in West Papua Province in 2010-2018 has had a significant impact on increasing the HDI of West Papua. This study aims to identify factors that affect the HDI and the dynamics and predictions concerning the Gross Regional Domestic Product (GRDP), agricultural sector development, and low-carbon development. This study uses the system dynamic method to understand the economic and environmental variables that affect the human development index. The simulation results indicate that the national GHG emission target can be achieved by a GRDP correction of 162.66 billion based on scenario 1 (29% reduction) and 115.55 billion based on scenario 2 (41% reduction). However, the West Papua HDI will only be corrected by 0.3 (Scenario 1) and 0.2 (Scenario 2). In conclusion, the total GRDP of West Papua was corrected with emission reduction under the 41% reduction scenario, but it does not significantly affect the HDI of West Papua Province.","container-title":"IOP Conference Series: Earth and Environmental Science","DOI":"10.1088/1755-1315/716/1/012106","issue":"1","note":"publisher: IOP Publishing","page":"012106","title":"Development of the sustainable human development index model in West Papua","volume":"716","author":[{"family":"Tjolli","given":"Ihwan"},{"family":"Karuniasa","given":"Mahawan"},{"family":"Rehiara","given":"Adelhard B."},{"family":"Jance","given":"Supit"},{"family":"Lestari","given":"Indah"}],"issued":{"date-parts":[["2021",3]]}}}],"schema":"https://github.com/citation-style-language/schema/raw/master/csl-citation.json"} </w:instrText>
      </w:r>
      <w:r w:rsidR="0033372E">
        <w:rPr>
          <w:rFonts w:ascii="Times New Roman" w:eastAsia="Times New Roman" w:hAnsi="Times New Roman" w:cs="Times New Roman"/>
          <w:color w:val="000000"/>
        </w:rPr>
        <w:fldChar w:fldCharType="separate"/>
      </w:r>
      <w:r w:rsidR="00263BA2" w:rsidRPr="00263BA2">
        <w:rPr>
          <w:rFonts w:ascii="Times New Roman" w:hAnsi="Times New Roman" w:cs="Times New Roman"/>
        </w:rPr>
        <w:t>[4]</w:t>
      </w:r>
      <w:r w:rsidR="0033372E">
        <w:rPr>
          <w:rFonts w:ascii="Times New Roman" w:eastAsia="Times New Roman" w:hAnsi="Times New Roman" w:cs="Times New Roman"/>
          <w:color w:val="000000"/>
        </w:rPr>
        <w:fldChar w:fldCharType="end"/>
      </w:r>
      <w:r w:rsidR="004C22CE">
        <w:rPr>
          <w:rFonts w:ascii="Times New Roman" w:eastAsia="Times New Roman" w:hAnsi="Times New Roman" w:cs="Times New Roman"/>
          <w:color w:val="000000"/>
        </w:rPr>
        <w:t xml:space="preserve">, </w:t>
      </w:r>
      <w:r w:rsidR="004C22CE" w:rsidRPr="004C22CE">
        <w:rPr>
          <w:rFonts w:ascii="Times New Roman" w:eastAsia="Times New Roman" w:hAnsi="Times New Roman" w:cs="Times New Roman"/>
          <w:color w:val="000000"/>
        </w:rPr>
        <w:t>eco-industrial</w:t>
      </w:r>
      <w:r w:rsidR="004C22CE">
        <w:rPr>
          <w:rFonts w:ascii="Times New Roman" w:eastAsia="Times New Roman" w:hAnsi="Times New Roman" w:cs="Times New Roman"/>
          <w:color w:val="000000"/>
        </w:rPr>
        <w:t xml:space="preserve"> development</w:t>
      </w:r>
      <w:r w:rsidR="0033372E">
        <w:rPr>
          <w:rFonts w:ascii="Times New Roman" w:eastAsia="Times New Roman" w:hAnsi="Times New Roman" w:cs="Times New Roman"/>
          <w:color w:val="000000"/>
        </w:rPr>
        <w:fldChar w:fldCharType="begin"/>
      </w:r>
      <w:r w:rsidR="00CB1646">
        <w:rPr>
          <w:rFonts w:ascii="Times New Roman" w:eastAsia="Times New Roman" w:hAnsi="Times New Roman" w:cs="Times New Roman"/>
          <w:color w:val="000000"/>
        </w:rPr>
        <w:instrText xml:space="preserve"> ADDIN ZOTERO_ITEM CSL_CITATION {"citationID":"VLwCiqXX","properties":{"formattedCitation":"[5]","plainCitation":"[5]","noteIndex":0},"citationItems":[{"id":"LlYD3n9N/pTpQfcDn","uris":["http://zotero.org/users/local/uAt8o06a/items/7DLZPFI8"],"uri":["http://zotero.org/users/local/uAt8o06a/items/7DLZPFI8"],"itemData":{"id":34,"type":"article-journal","abstract":"West Papua province holds a crucial role to ensure the NDC target could be achieved in a measurable and timely manner. Despite its rich possession of pristine biodiversity, manufacture industry contributes 3% of the total provincial income. This study aims to predict the GRDP if West Papua incorporates Eco-Industrial Development (EID) to mitigate emissions from the industrial sector and its shares to the local community's economy and the global economy. System dynamic modelling was employed to simulate and project the scenarios. The results show that the GRDP projection under the BAU scenario will rise from about 1,200 billion IDR in 2010 to 2,500 billion IDR in 2030, in parallel with the gradual increase of GHGs emission to 72,000 tonCO2e. The intervention scenario shows that the emissions will reach 57,000 tonCO2e and the economic contraction to 2,000 billion IDR by 2030. Considering the intermediate input, the added benefit for local communities in 2030 could fall from 840 billion IDR to 670 billion IDR in the intervention scenario. The contribution to the outer region's economy could decrease from 230 to 180 billion IDR. Besides the benefit of EID to reduce emissions, the government should also consider the impact of economic contraction.","container-title":"IOP Conference Series: Earth and Environmental Science","issue":"1","note":"publisher: IOP Publishing","page":"012104","title":"Towards an eco-industrial development in West Papua economy","volume":"716","author":[{"family":"Wurarah","given":"Rully N"},{"family":"Karuniasa","given":"Mahawan"},{"family":"Wehantouw","given":"Frenly"},{"family":"Tuharea","given":"Abdullah"},{"family":"Muhsin","given":"Muhammad"}],"issued":{"date-parts":[["2021",3]]}}}],"schema":"https://github.com/citation-style-language/schema/raw/master/csl-citation.json"} </w:instrText>
      </w:r>
      <w:r w:rsidR="0033372E">
        <w:rPr>
          <w:rFonts w:ascii="Times New Roman" w:eastAsia="Times New Roman" w:hAnsi="Times New Roman" w:cs="Times New Roman"/>
          <w:color w:val="000000"/>
        </w:rPr>
        <w:fldChar w:fldCharType="separate"/>
      </w:r>
      <w:r w:rsidR="00263BA2" w:rsidRPr="00263BA2">
        <w:rPr>
          <w:rFonts w:ascii="Times New Roman" w:hAnsi="Times New Roman" w:cs="Times New Roman"/>
        </w:rPr>
        <w:t>[5]</w:t>
      </w:r>
      <w:r w:rsidR="0033372E">
        <w:rPr>
          <w:rFonts w:ascii="Times New Roman" w:eastAsia="Times New Roman" w:hAnsi="Times New Roman" w:cs="Times New Roman"/>
          <w:color w:val="000000"/>
        </w:rPr>
        <w:fldChar w:fldCharType="end"/>
      </w:r>
      <w:r w:rsidR="004C22CE">
        <w:rPr>
          <w:rFonts w:ascii="Times New Roman" w:eastAsia="Times New Roman" w:hAnsi="Times New Roman" w:cs="Times New Roman"/>
          <w:color w:val="000000"/>
        </w:rPr>
        <w:t xml:space="preserve">, and </w:t>
      </w:r>
      <w:r w:rsidR="004C22CE" w:rsidRPr="004C22CE">
        <w:rPr>
          <w:rFonts w:ascii="Times New Roman" w:eastAsia="Times New Roman" w:hAnsi="Times New Roman" w:cs="Times New Roman"/>
          <w:color w:val="000000"/>
        </w:rPr>
        <w:t>solid waste management</w:t>
      </w:r>
      <w:r w:rsidR="0033372E">
        <w:rPr>
          <w:rFonts w:ascii="Times New Roman" w:eastAsia="Times New Roman" w:hAnsi="Times New Roman" w:cs="Times New Roman"/>
          <w:color w:val="000000"/>
        </w:rPr>
        <w:fldChar w:fldCharType="begin"/>
      </w:r>
      <w:r w:rsidR="00CB1646">
        <w:rPr>
          <w:rFonts w:ascii="Times New Roman" w:eastAsia="Times New Roman" w:hAnsi="Times New Roman" w:cs="Times New Roman"/>
          <w:color w:val="000000"/>
        </w:rPr>
        <w:instrText xml:space="preserve"> ADDIN ZOTERO_ITEM CSL_CITATION {"citationID":"NmgAgsoL","properties":{"formattedCitation":"[6]","plainCitation":"[6]","noteIndex":0},"citationItems":[{"id":"LlYD3n9N/EMRyT09J","uris":["http://zotero.org/users/local/uAt8o06a/items/YTTTSRIS"],"uri":["http://zotero.org/users/local/uAt8o06a/items/YTTTSRIS"],"itemData":{"id":30,"type":"article-journal","abstract":"Solid waste is one of the main contributors to greenhouse gas (GHG) emissions. With an increasing population and Gross Domestic Regional Product (GDRP) of West Papua at 2.65% and 5.2% per annum, solid waste production will also be increased and GHG emissions. However, a specific amount of GHG emission in West Papua was yet to be determined due to the unavailability of solid waste generation across all districts within West Papua. This paper aims to assess solid waste generation by using a dynamic model system that involved total population and GDRP across West Papua as the main variables to measure the data above. This paper shows that 2 (two) scenarios to simulate the business as usual (BAU) process of existing waste management and proposed scenarios to reduce GHG emissions at a convenient level. Based on the BAU model, West Papua will produce 3.7 million tons of waste and 1.1 million tons CO2e in 2030. The proposed scenario suggests that West Papua should manage their waste of up to 118.297 tons/year to meet the NDC 29% emission reduction target. These models could be replicated to solve the same issues in different areas.","container-title":"IOP Conference Series: Earth and Environmental Science","DOI":"10.1088/1755-1315/716/1/012016","issue":"1","note":"publisher: IOP Publishing","page":"012016","title":"Towards a low carbon solid waste management in West Papua","volume":"716","author":[{"family":"Prabawardani","given":"Saraswati"},{"literal":"Hendri"},{"family":"Karuniasa","given":"Mahawan"},{"family":"Syamsudin","given":"Kati"},{"family":"Maharani","given":"Cynthia"},{"family":"Munichputranto","given":"Fajar"}],"issued":{"date-parts":[["2021",3]]}}}],"schema":"https://github.com/citation-style-language/schema/raw/master/csl-citation.json"} </w:instrText>
      </w:r>
      <w:r w:rsidR="0033372E">
        <w:rPr>
          <w:rFonts w:ascii="Times New Roman" w:eastAsia="Times New Roman" w:hAnsi="Times New Roman" w:cs="Times New Roman"/>
          <w:color w:val="000000"/>
        </w:rPr>
        <w:fldChar w:fldCharType="separate"/>
      </w:r>
      <w:r w:rsidR="00263BA2" w:rsidRPr="00263BA2">
        <w:rPr>
          <w:rFonts w:ascii="Times New Roman" w:hAnsi="Times New Roman" w:cs="Times New Roman"/>
        </w:rPr>
        <w:t>[6]</w:t>
      </w:r>
      <w:r w:rsidR="0033372E">
        <w:rPr>
          <w:rFonts w:ascii="Times New Roman" w:eastAsia="Times New Roman" w:hAnsi="Times New Roman" w:cs="Times New Roman"/>
          <w:color w:val="000000"/>
        </w:rPr>
        <w:fldChar w:fldCharType="end"/>
      </w:r>
      <w:r w:rsidR="004C22CE">
        <w:rPr>
          <w:rFonts w:ascii="Times New Roman" w:eastAsia="Times New Roman" w:hAnsi="Times New Roman" w:cs="Times New Roman"/>
          <w:color w:val="000000"/>
        </w:rPr>
        <w:t xml:space="preserve">. </w:t>
      </w:r>
    </w:p>
    <w:p w:rsidR="00011643" w:rsidRDefault="004C22C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low carbon energy model in </w:t>
      </w:r>
      <w:r w:rsidR="0033372E">
        <w:rPr>
          <w:rFonts w:ascii="Times New Roman" w:eastAsia="Times New Roman" w:hAnsi="Times New Roman" w:cs="Times New Roman"/>
          <w:color w:val="000000"/>
        </w:rPr>
        <w:fldChar w:fldCharType="begin"/>
      </w:r>
      <w:r w:rsidR="00CB1646">
        <w:rPr>
          <w:rFonts w:ascii="Times New Roman" w:eastAsia="Times New Roman" w:hAnsi="Times New Roman" w:cs="Times New Roman"/>
          <w:color w:val="000000"/>
        </w:rPr>
        <w:instrText xml:space="preserve"> ADDIN ZOTERO_ITEM CSL_CITATION {"citationID":"WhgNft0X","properties":{"formattedCitation":"[3]","plainCitation":"[3]","noteIndex":0},"citationItems":[{"id":"LlYD3n9N/t4DuGgvd","uris":["http://zotero.org/users/local/uAt8o06a/items/QZSKF2SY"],"uri":["http://zotero.org/users/local/uAt8o06a/items/QZSKF2SY"],"itemData":{"id":29,"type":"article-journal","abstract":"West Papua is one of the Indonesian remaining forest frontiers expected to contribute greatly to countries’ climate commitments. Although fast economic growth in West Papua may results in high emission to the environment, especially in the energy sector. This study aimed to simulate the Gross Regional Domestic Product (GRDP) linked to Emission variables and integrate climate-smart development. The dynamic system model will integrate the influencing factors such as GRDP, capital, investment, and emission in West Papua. The modeling stage comprises of concept drafting, modeling, model simulation, and validation process. Powersim 10 is used to run the model. A causal loop diagram of the initial model scenario is formed of one variable is positive (reinforcing). Modeling results has been declared valid by the AME value of 4,96%. The implementation of NDC 41% in the economic sector will cut GRDP to approximately a half than business as usual GRDP. Based on the initial scenario, the model simulations indicate that the CO2 emission along the simulation period is defined to the year 2030, about 14,397,034,50 tonCO2/year on average. After the structural intervention is conducted, the CO2 emission decrease up to 25,6%, reducing emission according to NDC, 41% will correct the economy.","container-title":"IOP Conference Series: Earth and Environmental Science","DOI":"10.1088/1755-1315/716/1/012015","issue":"1","note":"publisher: IOP Publishing","page":"012015","title":"Low carbon energy model in West Papua","volume":"716","author":[{"family":"Wehantouw","given":"Frenly"},{"family":"Karuniasa","given":"Mahawan"},{"family":"Wurarah","given":"Rully N."},{"family":"Tuharea","given":"Abdullah"},{"family":"Maharani","given":"Cynthia"},{"family":"Shalilah","given":"Himayatus"},{"family":"Pambudi","given":"Priyaji Agung"}],"issued":{"date-parts":[["2021",3]]}}}],"schema":"https://github.com/citation-style-language/schema/raw/master/csl-citation.json"} </w:instrText>
      </w:r>
      <w:r w:rsidR="0033372E">
        <w:rPr>
          <w:rFonts w:ascii="Times New Roman" w:eastAsia="Times New Roman" w:hAnsi="Times New Roman" w:cs="Times New Roman"/>
          <w:color w:val="000000"/>
        </w:rPr>
        <w:fldChar w:fldCharType="separate"/>
      </w:r>
      <w:r w:rsidR="00263BA2" w:rsidRPr="00263BA2">
        <w:rPr>
          <w:rFonts w:ascii="Times New Roman" w:hAnsi="Times New Roman" w:cs="Times New Roman"/>
        </w:rPr>
        <w:t>[3]</w:t>
      </w:r>
      <w:r w:rsidR="0033372E">
        <w:rPr>
          <w:rFonts w:ascii="Times New Roman" w:eastAsia="Times New Roman" w:hAnsi="Times New Roman" w:cs="Times New Roman"/>
          <w:color w:val="000000"/>
        </w:rPr>
        <w:fldChar w:fldCharType="end"/>
      </w:r>
      <w:r w:rsidR="004803C6" w:rsidRPr="004803C6">
        <w:t xml:space="preserve"> </w:t>
      </w:r>
      <w:r w:rsidR="004803C6" w:rsidRPr="004803C6">
        <w:rPr>
          <w:rFonts w:ascii="Times New Roman" w:eastAsia="Times New Roman" w:hAnsi="Times New Roman" w:cs="Times New Roman"/>
          <w:color w:val="000000"/>
        </w:rPr>
        <w:t xml:space="preserve">is used to identify the carbon-producing in the energy sector of West Papua province, while the energy itself is general for energy used in the activity of the entire industrial and electricity and gas sector. Therefore in this paper, an approach to determine energy supply and demand is </w:t>
      </w:r>
      <w:r w:rsidR="00D641BF" w:rsidRPr="004803C6">
        <w:rPr>
          <w:rFonts w:ascii="Times New Roman" w:eastAsia="Times New Roman" w:hAnsi="Times New Roman" w:cs="Times New Roman"/>
          <w:color w:val="000000"/>
        </w:rPr>
        <w:t>modelled</w:t>
      </w:r>
      <w:r w:rsidR="004803C6" w:rsidRPr="004803C6">
        <w:rPr>
          <w:rFonts w:ascii="Times New Roman" w:eastAsia="Times New Roman" w:hAnsi="Times New Roman" w:cs="Times New Roman"/>
          <w:color w:val="000000"/>
        </w:rPr>
        <w:t xml:space="preserve"> through system dynamics. Some scenarios have been created to investigate the readiness of the province to deal with population growth dynamics</w:t>
      </w:r>
      <w:r w:rsidR="00275449" w:rsidRPr="00275449">
        <w:rPr>
          <w:rFonts w:ascii="Times New Roman" w:eastAsia="Times New Roman" w:hAnsi="Times New Roman" w:cs="Times New Roman"/>
          <w:color w:val="000000"/>
        </w:rPr>
        <w:t>.</w:t>
      </w:r>
    </w:p>
    <w:p w:rsidR="00011643" w:rsidRDefault="0001164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011643" w:rsidRDefault="00356EA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356EA1">
        <w:rPr>
          <w:rFonts w:ascii="Times New Roman" w:eastAsia="Times New Roman" w:hAnsi="Times New Roman" w:cs="Times New Roman"/>
          <w:b/>
          <w:color w:val="000000"/>
        </w:rPr>
        <w:t>Method</w:t>
      </w:r>
    </w:p>
    <w:p w:rsidR="00F25648" w:rsidRDefault="00B44A1C" w:rsidP="00F2564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2</w:t>
      </w:r>
      <w:r w:rsidR="00356EA1" w:rsidRPr="00356EA1">
        <w:rPr>
          <w:rFonts w:ascii="Times New Roman" w:eastAsia="Times New Roman" w:hAnsi="Times New Roman" w:cs="Times New Roman"/>
          <w:i/>
          <w:color w:val="000000"/>
        </w:rPr>
        <w:t xml:space="preserve">.1. </w:t>
      </w:r>
      <w:r w:rsidRPr="00B44A1C">
        <w:rPr>
          <w:rFonts w:ascii="Times New Roman" w:eastAsia="Times New Roman" w:hAnsi="Times New Roman" w:cs="Times New Roman"/>
          <w:i/>
          <w:color w:val="000000"/>
        </w:rPr>
        <w:t>Model description</w:t>
      </w:r>
    </w:p>
    <w:p w:rsidR="009718D3" w:rsidRPr="009718D3" w:rsidRDefault="009718D3" w:rsidP="009718D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9718D3">
        <w:rPr>
          <w:rFonts w:ascii="Times New Roman" w:eastAsia="Times New Roman" w:hAnsi="Times New Roman" w:cs="Times New Roman"/>
          <w:color w:val="000000"/>
          <w:lang w:val="en-US"/>
        </w:rPr>
        <w:t>In this modeling, the demand for electrical energy in West Papua province is influenced by population or consumer growth with an indicator of electricity consumption which states the level of industrialization that has been achieved. In general, electrical energy customers can be grouped into four sectors, i.e., household, industrial, commercial, and public/social sectors. Fulfillment of electricity needs depends on the ability and capacity of each available power plant. The power and generating capacity are related to the installed capacity in 2021.</w:t>
      </w:r>
    </w:p>
    <w:p w:rsidR="00330BA7" w:rsidRDefault="009718D3" w:rsidP="009718D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9718D3">
        <w:rPr>
          <w:rFonts w:ascii="Times New Roman" w:eastAsia="Times New Roman" w:hAnsi="Times New Roman" w:cs="Times New Roman"/>
          <w:color w:val="000000"/>
          <w:lang w:val="en-US"/>
        </w:rPr>
        <w:t>The final result of the modeling of electrical energy demand is how the existing electricity infrastructures can support electricity demand in this province. The estimation of electricity demand is related to the trend (behavior) of electricity consumption in each sector. Then the model is made based on historical data to optimize the electricity demand forecast so that it can produce more accurate and reliable results</w:t>
      </w:r>
      <w:r w:rsidR="00330BA7" w:rsidRPr="00330BA7">
        <w:rPr>
          <w:rFonts w:ascii="Times New Roman" w:eastAsia="Times New Roman" w:hAnsi="Times New Roman" w:cs="Times New Roman"/>
          <w:color w:val="000000"/>
          <w:lang w:val="en-US"/>
        </w:rPr>
        <w:t>.</w:t>
      </w:r>
    </w:p>
    <w:p w:rsidR="00015E3E" w:rsidRDefault="00015E3E" w:rsidP="00330BA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id-ID"/>
        </w:rPr>
      </w:pPr>
    </w:p>
    <w:p w:rsidR="00B44A1C" w:rsidRDefault="00B44A1C" w:rsidP="00330BA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2</w:t>
      </w:r>
      <w:r w:rsidRPr="00356EA1">
        <w:rPr>
          <w:rFonts w:ascii="Times New Roman" w:eastAsia="Times New Roman" w:hAnsi="Times New Roman" w:cs="Times New Roman"/>
          <w:i/>
          <w:color w:val="000000"/>
        </w:rPr>
        <w:t>.</w:t>
      </w:r>
      <w:r w:rsidR="00C21212">
        <w:rPr>
          <w:rFonts w:ascii="Times New Roman" w:eastAsia="Times New Roman" w:hAnsi="Times New Roman" w:cs="Times New Roman"/>
          <w:i/>
          <w:color w:val="000000"/>
          <w:lang w:val="id-ID"/>
        </w:rPr>
        <w:t>2</w:t>
      </w:r>
      <w:r w:rsidRPr="00356EA1">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System Mode</w:t>
      </w:r>
      <w:r w:rsidR="0032321A">
        <w:rPr>
          <w:rFonts w:ascii="Times New Roman" w:eastAsia="Times New Roman" w:hAnsi="Times New Roman" w:cs="Times New Roman"/>
          <w:i/>
          <w:color w:val="000000"/>
        </w:rPr>
        <w:t>l</w:t>
      </w:r>
      <w:r>
        <w:rPr>
          <w:rFonts w:ascii="Times New Roman" w:eastAsia="Times New Roman" w:hAnsi="Times New Roman" w:cs="Times New Roman"/>
          <w:i/>
          <w:color w:val="000000"/>
        </w:rPr>
        <w:t>ling</w:t>
      </w:r>
    </w:p>
    <w:p w:rsidR="009718D3" w:rsidRPr="009718D3" w:rsidRDefault="009718D3" w:rsidP="009718D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9718D3">
        <w:rPr>
          <w:rFonts w:ascii="Times New Roman" w:eastAsia="Times New Roman" w:hAnsi="Times New Roman" w:cs="Times New Roman"/>
          <w:color w:val="000000"/>
        </w:rPr>
        <w:t xml:space="preserve">The system model was </w:t>
      </w:r>
      <w:r w:rsidR="00D641BF" w:rsidRPr="009718D3">
        <w:rPr>
          <w:rFonts w:ascii="Times New Roman" w:eastAsia="Times New Roman" w:hAnsi="Times New Roman" w:cs="Times New Roman"/>
          <w:color w:val="000000"/>
        </w:rPr>
        <w:t>modelled</w:t>
      </w:r>
      <w:r w:rsidRPr="009718D3">
        <w:rPr>
          <w:rFonts w:ascii="Times New Roman" w:eastAsia="Times New Roman" w:hAnsi="Times New Roman" w:cs="Times New Roman"/>
          <w:color w:val="000000"/>
        </w:rPr>
        <w:t xml:space="preserve"> in </w:t>
      </w:r>
      <w:proofErr w:type="spellStart"/>
      <w:r w:rsidRPr="009718D3">
        <w:rPr>
          <w:rFonts w:ascii="Times New Roman" w:eastAsia="Times New Roman" w:hAnsi="Times New Roman" w:cs="Times New Roman"/>
          <w:color w:val="000000"/>
        </w:rPr>
        <w:t>PowerSim</w:t>
      </w:r>
      <w:proofErr w:type="spellEnd"/>
      <w:r w:rsidRPr="009718D3">
        <w:rPr>
          <w:rFonts w:ascii="Times New Roman" w:eastAsia="Times New Roman" w:hAnsi="Times New Roman" w:cs="Times New Roman"/>
          <w:color w:val="000000"/>
        </w:rPr>
        <w:t xml:space="preserve"> 10 software, and the model is implemented into a stock-flow diagram (SFD). Inside the SFD, the dynamic model is </w:t>
      </w:r>
      <w:r w:rsidR="00D641BF" w:rsidRPr="009718D3">
        <w:rPr>
          <w:rFonts w:ascii="Times New Roman" w:eastAsia="Times New Roman" w:hAnsi="Times New Roman" w:cs="Times New Roman"/>
          <w:color w:val="000000"/>
        </w:rPr>
        <w:t>modelled</w:t>
      </w:r>
      <w:r w:rsidRPr="009718D3">
        <w:rPr>
          <w:rFonts w:ascii="Times New Roman" w:eastAsia="Times New Roman" w:hAnsi="Times New Roman" w:cs="Times New Roman"/>
          <w:color w:val="000000"/>
        </w:rPr>
        <w:t xml:space="preserve"> into two variables, namely stock (level) and flow (rate). The effect of time on the relationship between variables is taken into account in SFD.</w:t>
      </w:r>
    </w:p>
    <w:p w:rsidR="009718D3" w:rsidRPr="009718D3" w:rsidRDefault="009718D3" w:rsidP="009718D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9718D3">
        <w:rPr>
          <w:rFonts w:ascii="Times New Roman" w:eastAsia="Times New Roman" w:hAnsi="Times New Roman" w:cs="Times New Roman"/>
          <w:color w:val="000000"/>
        </w:rPr>
        <w:t xml:space="preserve">In order to know the ability of the electrical infrastructure in West Papua Province to serve the electricity demand, the population growth and energy growth scenarios are designed based on </w:t>
      </w:r>
      <w:r w:rsidR="00D641BF" w:rsidRPr="009718D3">
        <w:rPr>
          <w:rFonts w:ascii="Times New Roman" w:eastAsia="Times New Roman" w:hAnsi="Times New Roman" w:cs="Times New Roman"/>
          <w:color w:val="000000"/>
        </w:rPr>
        <w:t>Business</w:t>
      </w:r>
      <w:r w:rsidRPr="009718D3">
        <w:rPr>
          <w:rFonts w:ascii="Times New Roman" w:eastAsia="Times New Roman" w:hAnsi="Times New Roman" w:cs="Times New Roman"/>
          <w:color w:val="000000"/>
        </w:rPr>
        <w:t xml:space="preserve"> as Usual (BAU) model. The models are detailed as follows. </w:t>
      </w:r>
    </w:p>
    <w:p w:rsidR="00834536" w:rsidRPr="00D641BF" w:rsidRDefault="00834536" w:rsidP="00D641BF">
      <w:pPr>
        <w:pStyle w:val="ListParagraph"/>
        <w:numPr>
          <w:ilvl w:val="0"/>
          <w:numId w:val="4"/>
        </w:numPr>
        <w:pBdr>
          <w:top w:val="nil"/>
          <w:left w:val="nil"/>
          <w:bottom w:val="nil"/>
          <w:right w:val="nil"/>
          <w:between w:val="nil"/>
        </w:pBdr>
        <w:tabs>
          <w:tab w:val="left" w:pos="426"/>
        </w:tabs>
        <w:spacing w:after="0" w:line="240" w:lineRule="auto"/>
        <w:ind w:left="426"/>
        <w:jc w:val="both"/>
        <w:rPr>
          <w:rFonts w:ascii="Times New Roman" w:eastAsia="Times New Roman" w:hAnsi="Times New Roman" w:cs="Times New Roman"/>
          <w:color w:val="000000"/>
          <w:lang w:val="id-ID"/>
        </w:rPr>
      </w:pPr>
      <w:r w:rsidRPr="00D641BF">
        <w:rPr>
          <w:rFonts w:ascii="Times New Roman" w:eastAsia="Times New Roman" w:hAnsi="Times New Roman" w:cs="Times New Roman"/>
          <w:color w:val="000000"/>
          <w:lang w:val="id-ID"/>
        </w:rPr>
        <w:t xml:space="preserve">BAU </w:t>
      </w:r>
      <w:r w:rsidR="009718D3" w:rsidRPr="009718D3">
        <w:rPr>
          <w:rFonts w:ascii="Times New Roman" w:eastAsia="Times New Roman" w:hAnsi="Times New Roman" w:cs="Times New Roman"/>
          <w:color w:val="000000"/>
          <w:lang w:val="id-ID"/>
        </w:rPr>
        <w:t>model</w:t>
      </w:r>
    </w:p>
    <w:p w:rsidR="00882CE5" w:rsidRPr="00B35E0D" w:rsidRDefault="009718D3" w:rsidP="00E142CB">
      <w:pPr>
        <w:pBdr>
          <w:top w:val="nil"/>
          <w:left w:val="nil"/>
          <w:bottom w:val="nil"/>
          <w:right w:val="nil"/>
          <w:between w:val="nil"/>
        </w:pBdr>
        <w:tabs>
          <w:tab w:val="left" w:pos="426"/>
        </w:tabs>
        <w:spacing w:after="0" w:line="240" w:lineRule="auto"/>
        <w:ind w:left="426"/>
        <w:jc w:val="both"/>
        <w:rPr>
          <w:rFonts w:ascii="Times New Roman" w:eastAsia="Times New Roman" w:hAnsi="Times New Roman" w:cs="Times New Roman"/>
          <w:color w:val="000000"/>
        </w:rPr>
      </w:pPr>
      <w:r w:rsidRPr="009718D3">
        <w:rPr>
          <w:rFonts w:ascii="Times New Roman" w:eastAsia="Times New Roman" w:hAnsi="Times New Roman" w:cs="Times New Roman"/>
          <w:color w:val="000000"/>
        </w:rPr>
        <w:t xml:space="preserve">This model will connect the population and the sectors of society, business, </w:t>
      </w:r>
      <w:r>
        <w:rPr>
          <w:rFonts w:ascii="Times New Roman" w:eastAsia="Times New Roman" w:hAnsi="Times New Roman" w:cs="Times New Roman"/>
          <w:color w:val="000000"/>
          <w:lang w:val="id-ID"/>
        </w:rPr>
        <w:t xml:space="preserve">and </w:t>
      </w:r>
      <w:r w:rsidRPr="009718D3">
        <w:rPr>
          <w:rFonts w:ascii="Times New Roman" w:eastAsia="Times New Roman" w:hAnsi="Times New Roman" w:cs="Times New Roman"/>
          <w:color w:val="000000"/>
        </w:rPr>
        <w:t>government to the electrification ratio, energy usage, and excess generation capacity. By this model, the energy usage can be simulated for future years. This BAU model is the base model to design the following scenario</w:t>
      </w:r>
      <w:r w:rsidR="004A0EA6" w:rsidRPr="00B35E0D">
        <w:rPr>
          <w:rFonts w:ascii="Times New Roman" w:eastAsia="Times New Roman" w:hAnsi="Times New Roman" w:cs="Times New Roman"/>
          <w:color w:val="000000"/>
        </w:rPr>
        <w:t>.</w:t>
      </w:r>
    </w:p>
    <w:p w:rsidR="004A0EA6" w:rsidRDefault="00A7576E" w:rsidP="00E142CB">
      <w:pPr>
        <w:pStyle w:val="ListParagraph"/>
        <w:numPr>
          <w:ilvl w:val="0"/>
          <w:numId w:val="4"/>
        </w:numPr>
        <w:pBdr>
          <w:top w:val="nil"/>
          <w:left w:val="nil"/>
          <w:bottom w:val="nil"/>
          <w:right w:val="nil"/>
          <w:between w:val="nil"/>
        </w:pBdr>
        <w:tabs>
          <w:tab w:val="left" w:pos="426"/>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lang w:val="id-ID"/>
        </w:rPr>
        <w:t xml:space="preserve">Scenario 1 </w:t>
      </w:r>
      <w:r w:rsidR="009C5C1A">
        <w:rPr>
          <w:rFonts w:ascii="Times New Roman" w:eastAsia="Times New Roman" w:hAnsi="Times New Roman" w:cs="Times New Roman"/>
          <w:color w:val="000000"/>
          <w:lang w:val="id-ID"/>
        </w:rPr>
        <w:t xml:space="preserve">model </w:t>
      </w:r>
      <w:r>
        <w:rPr>
          <w:rFonts w:ascii="Times New Roman" w:eastAsia="Times New Roman" w:hAnsi="Times New Roman" w:cs="Times New Roman"/>
          <w:color w:val="000000"/>
          <w:lang w:val="id-ID"/>
        </w:rPr>
        <w:t>(</w:t>
      </w:r>
      <w:r w:rsidR="00560D99">
        <w:rPr>
          <w:rFonts w:ascii="Times New Roman" w:eastAsia="Times New Roman" w:hAnsi="Times New Roman" w:cs="Times New Roman"/>
          <w:color w:val="000000"/>
          <w:lang w:val="id-ID"/>
        </w:rPr>
        <w:t>Population growth</w:t>
      </w:r>
      <w:r>
        <w:rPr>
          <w:rFonts w:ascii="Times New Roman" w:eastAsia="Times New Roman" w:hAnsi="Times New Roman" w:cs="Times New Roman"/>
          <w:color w:val="000000"/>
          <w:lang w:val="id-ID"/>
        </w:rPr>
        <w:t>)</w:t>
      </w:r>
    </w:p>
    <w:p w:rsidR="004A0EA6" w:rsidRPr="00560D99" w:rsidRDefault="009718D3" w:rsidP="00E142CB">
      <w:pPr>
        <w:pBdr>
          <w:top w:val="nil"/>
          <w:left w:val="nil"/>
          <w:bottom w:val="nil"/>
          <w:right w:val="nil"/>
          <w:between w:val="nil"/>
        </w:pBdr>
        <w:tabs>
          <w:tab w:val="left" w:pos="426"/>
        </w:tabs>
        <w:spacing w:after="0" w:line="240" w:lineRule="auto"/>
        <w:ind w:left="426"/>
        <w:jc w:val="both"/>
        <w:rPr>
          <w:rFonts w:ascii="Times New Roman" w:eastAsia="Times New Roman" w:hAnsi="Times New Roman" w:cs="Times New Roman"/>
          <w:color w:val="000000"/>
          <w:lang w:val="id-ID"/>
        </w:rPr>
      </w:pPr>
      <w:r w:rsidRPr="009718D3">
        <w:rPr>
          <w:rFonts w:ascii="Times New Roman" w:eastAsia="Times New Roman" w:hAnsi="Times New Roman" w:cs="Times New Roman"/>
          <w:color w:val="000000"/>
        </w:rPr>
        <w:t>Base</w:t>
      </w:r>
      <w:r>
        <w:rPr>
          <w:rFonts w:ascii="Times New Roman" w:eastAsia="Times New Roman" w:hAnsi="Times New Roman" w:cs="Times New Roman"/>
          <w:color w:val="000000"/>
          <w:lang w:val="id-ID"/>
        </w:rPr>
        <w:t>d</w:t>
      </w:r>
      <w:r w:rsidRPr="009718D3">
        <w:rPr>
          <w:rFonts w:ascii="Times New Roman" w:eastAsia="Times New Roman" w:hAnsi="Times New Roman" w:cs="Times New Roman"/>
          <w:color w:val="000000"/>
        </w:rPr>
        <w:t xml:space="preserve"> on data from the central bureau of statistics, West Papua Province is the second province in Indonesia to be the migration destination; therefore, in this scenario, the population growth by the migration is assumed to be 200% from the BAU model. The energy usage from other sectors stays at its rate</w:t>
      </w:r>
      <w:r w:rsidR="00560D99">
        <w:rPr>
          <w:rFonts w:ascii="Times New Roman" w:eastAsia="Times New Roman" w:hAnsi="Times New Roman" w:cs="Times New Roman"/>
          <w:color w:val="000000"/>
          <w:lang w:val="id-ID"/>
        </w:rPr>
        <w:t>.</w:t>
      </w:r>
    </w:p>
    <w:p w:rsidR="00560D99" w:rsidRDefault="00A7576E" w:rsidP="00E142CB">
      <w:pPr>
        <w:pStyle w:val="ListParagraph"/>
        <w:numPr>
          <w:ilvl w:val="0"/>
          <w:numId w:val="4"/>
        </w:numPr>
        <w:pBdr>
          <w:top w:val="nil"/>
          <w:left w:val="nil"/>
          <w:bottom w:val="nil"/>
          <w:right w:val="nil"/>
          <w:between w:val="nil"/>
        </w:pBdr>
        <w:tabs>
          <w:tab w:val="left" w:pos="426"/>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lang w:val="id-ID"/>
        </w:rPr>
        <w:t xml:space="preserve">Scenario 2 </w:t>
      </w:r>
      <w:r w:rsidR="009C5C1A">
        <w:rPr>
          <w:rFonts w:ascii="Times New Roman" w:eastAsia="Times New Roman" w:hAnsi="Times New Roman" w:cs="Times New Roman"/>
          <w:color w:val="000000"/>
          <w:lang w:val="id-ID"/>
        </w:rPr>
        <w:t xml:space="preserve">model </w:t>
      </w:r>
      <w:r>
        <w:rPr>
          <w:rFonts w:ascii="Times New Roman" w:eastAsia="Times New Roman" w:hAnsi="Times New Roman" w:cs="Times New Roman"/>
          <w:color w:val="000000"/>
          <w:lang w:val="id-ID"/>
        </w:rPr>
        <w:t>(</w:t>
      </w:r>
      <w:r w:rsidR="00560D99">
        <w:rPr>
          <w:rFonts w:ascii="Times New Roman" w:eastAsia="Times New Roman" w:hAnsi="Times New Roman" w:cs="Times New Roman"/>
          <w:color w:val="000000"/>
          <w:lang w:val="id-ID"/>
        </w:rPr>
        <w:t>Energy growth</w:t>
      </w:r>
      <w:r>
        <w:rPr>
          <w:rFonts w:ascii="Times New Roman" w:eastAsia="Times New Roman" w:hAnsi="Times New Roman" w:cs="Times New Roman"/>
          <w:color w:val="000000"/>
          <w:lang w:val="id-ID"/>
        </w:rPr>
        <w:t>)</w:t>
      </w:r>
    </w:p>
    <w:p w:rsidR="00560D99" w:rsidRDefault="009718D3" w:rsidP="00E142CB">
      <w:pPr>
        <w:pBdr>
          <w:top w:val="nil"/>
          <w:left w:val="nil"/>
          <w:bottom w:val="nil"/>
          <w:right w:val="nil"/>
          <w:between w:val="nil"/>
        </w:pBdr>
        <w:tabs>
          <w:tab w:val="left" w:pos="426"/>
        </w:tabs>
        <w:spacing w:after="0" w:line="240" w:lineRule="auto"/>
        <w:ind w:left="426"/>
        <w:jc w:val="both"/>
        <w:rPr>
          <w:rFonts w:ascii="Times New Roman" w:eastAsia="Times New Roman" w:hAnsi="Times New Roman" w:cs="Times New Roman"/>
          <w:color w:val="000000"/>
          <w:lang w:val="id-ID"/>
        </w:rPr>
      </w:pPr>
      <w:r w:rsidRPr="009718D3">
        <w:rPr>
          <w:rFonts w:ascii="Times New Roman" w:eastAsia="Times New Roman" w:hAnsi="Times New Roman" w:cs="Times New Roman"/>
          <w:color w:val="000000"/>
        </w:rPr>
        <w:t>In this scenario, energy usage from both the population and other sectors is assumed to be increased. The population rate is set to reach 200%, while the energy rate from other sectors also increases about 150% from the BAU model</w:t>
      </w:r>
      <w:r w:rsidR="00560D99">
        <w:rPr>
          <w:rFonts w:ascii="Times New Roman" w:eastAsia="Times New Roman" w:hAnsi="Times New Roman" w:cs="Times New Roman"/>
          <w:color w:val="000000"/>
          <w:lang w:val="id-ID"/>
        </w:rPr>
        <w:t xml:space="preserve">. </w:t>
      </w:r>
    </w:p>
    <w:p w:rsidR="00560D99" w:rsidRPr="00560D99" w:rsidRDefault="00560D99" w:rsidP="00B35E0D">
      <w:pPr>
        <w:pBdr>
          <w:top w:val="nil"/>
          <w:left w:val="nil"/>
          <w:bottom w:val="nil"/>
          <w:right w:val="nil"/>
          <w:between w:val="nil"/>
        </w:pBdr>
        <w:tabs>
          <w:tab w:val="left" w:pos="567"/>
        </w:tabs>
        <w:spacing w:after="0" w:line="240" w:lineRule="auto"/>
        <w:ind w:left="567"/>
        <w:jc w:val="both"/>
        <w:rPr>
          <w:rFonts w:ascii="Times New Roman" w:eastAsia="Times New Roman" w:hAnsi="Times New Roman" w:cs="Times New Roman"/>
          <w:color w:val="000000"/>
          <w:lang w:val="id-ID"/>
        </w:rPr>
      </w:pPr>
    </w:p>
    <w:p w:rsidR="00B44A1C" w:rsidRDefault="00B44A1C" w:rsidP="00B44A1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2</w:t>
      </w:r>
      <w:r w:rsidRPr="00356EA1">
        <w:rPr>
          <w:rFonts w:ascii="Times New Roman" w:eastAsia="Times New Roman" w:hAnsi="Times New Roman" w:cs="Times New Roman"/>
          <w:i/>
          <w:color w:val="000000"/>
        </w:rPr>
        <w:t>.</w:t>
      </w:r>
      <w:r w:rsidR="00C21212">
        <w:rPr>
          <w:rFonts w:ascii="Times New Roman" w:eastAsia="Times New Roman" w:hAnsi="Times New Roman" w:cs="Times New Roman"/>
          <w:i/>
          <w:color w:val="000000"/>
          <w:lang w:val="id-ID"/>
        </w:rPr>
        <w:t>3</w:t>
      </w:r>
      <w:r w:rsidRPr="00356EA1">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Model validation</w:t>
      </w:r>
    </w:p>
    <w:p w:rsidR="00834536" w:rsidRPr="00834536" w:rsidRDefault="009718D3"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9718D3">
        <w:rPr>
          <w:rFonts w:ascii="Times New Roman" w:eastAsia="Times New Roman" w:hAnsi="Times New Roman" w:cs="Times New Roman"/>
          <w:color w:val="000000"/>
        </w:rPr>
        <w:t xml:space="preserve">In order to avoid any potential errors that arise after running the </w:t>
      </w:r>
      <w:r w:rsidR="00D641BF" w:rsidRPr="009718D3">
        <w:rPr>
          <w:rFonts w:ascii="Times New Roman" w:eastAsia="Times New Roman" w:hAnsi="Times New Roman" w:cs="Times New Roman"/>
          <w:color w:val="000000"/>
        </w:rPr>
        <w:t>modelling</w:t>
      </w:r>
      <w:r w:rsidRPr="009718D3">
        <w:rPr>
          <w:rFonts w:ascii="Times New Roman" w:eastAsia="Times New Roman" w:hAnsi="Times New Roman" w:cs="Times New Roman"/>
          <w:color w:val="000000"/>
        </w:rPr>
        <w:t xml:space="preserve"> scenario of the SFD, the designed model must be validated. By doing the validation process, the errors will be eliminated, then the model will be accurate enough, and the simulation will be </w:t>
      </w:r>
      <w:r w:rsidR="00D641BF" w:rsidRPr="009718D3">
        <w:rPr>
          <w:rFonts w:ascii="Times New Roman" w:eastAsia="Times New Roman" w:hAnsi="Times New Roman" w:cs="Times New Roman"/>
          <w:color w:val="000000"/>
        </w:rPr>
        <w:t>in lined</w:t>
      </w:r>
      <w:r w:rsidRPr="009718D3">
        <w:rPr>
          <w:rFonts w:ascii="Times New Roman" w:eastAsia="Times New Roman" w:hAnsi="Times New Roman" w:cs="Times New Roman"/>
          <w:color w:val="000000"/>
        </w:rPr>
        <w:t xml:space="preserve"> with the realities as expected. The absolute mean error (AME) is chosen to validate the model, and it can be formulated as follows</w:t>
      </w:r>
      <w:r w:rsidR="0033372E">
        <w:rPr>
          <w:rFonts w:ascii="Times New Roman" w:eastAsia="Times New Roman" w:hAnsi="Times New Roman" w:cs="Times New Roman"/>
          <w:color w:val="000000"/>
        </w:rPr>
        <w:fldChar w:fldCharType="begin"/>
      </w:r>
      <w:r w:rsidR="00CB1646">
        <w:rPr>
          <w:rFonts w:ascii="Times New Roman" w:eastAsia="Times New Roman" w:hAnsi="Times New Roman" w:cs="Times New Roman"/>
          <w:color w:val="000000"/>
        </w:rPr>
        <w:instrText xml:space="preserve"> ADDIN ZOTERO_ITEM CSL_CITATION {"citationID":"ftrACC8c","properties":{"formattedCitation":"[2]\\uc0\\u8211{}[6]","plainCitation":"[2]–[6]","noteIndex":0},"citationItems":[{"id":"LlYD3n9N/EMRyT09J","uris":["http://zotero.org/users/local/uAt8o06a/items/YTTTSRIS"],"uri":["http://zotero.org/users/local/uAt8o06a/items/YTTTSRIS"],"itemData":{"id":30,"type":"article-journal","abstract":"Solid waste is one of the main contributors to greenhouse gas (GHG) emissions. With an increasing population and Gross Domestic Regional Product (GDRP) of West Papua at 2.65% and 5.2% per annum, solid waste production will also be increased and GHG emissions. However, a specific amount of GHG emission in West Papua was yet to be determined due to the unavailability of solid waste generation across all districts within West Papua. This paper aims to assess solid waste generation by using a dynamic model system that involved total population and GDRP across West Papua as the main variables to measure the data above. This paper shows that 2 (two) scenarios to simulate the business as usual (BAU) process of existing waste management and proposed scenarios to reduce GHG emissions at a convenient level. Based on the BAU model, West Papua will produce 3.7 million tons of waste and 1.1 million tons CO2e in 2030. The proposed scenario suggests that West Papua should manage their waste of up to 118.297 tons/year to meet the NDC 29% emission reduction target. These models could be replicated to solve the same issues in different areas.","container-title":"IOP Conference Series: Earth and Environmental Science","DOI":"10.1088/1755-1315/716/1/012016","issue":"1","note":"publisher: IOP Publishing","page":"012016","title":"Towards a low carbon solid waste management in West Papua","volume":"716","author":[{"family":"Prabawardani","given":"Saraswati"},{"literal":"Hendri"},{"family":"Karuniasa","given":"Mahawan"},{"family":"Syamsudin","given":"Kati"},{"family":"Maharani","given":"Cynthia"},{"family":"Munichputranto","given":"Fajar"}],"issued":{"date-parts":[["2021",3]]}}},{"id":"LlYD3n9N/sg8WdwYo","uris":["http://zotero.org/users/local/uAt8o06a/items/HCRFKVA5"],"uri":["http://zotero.org/users/local/uAt8o06a/items/HCRFKVA5"],"itemData":{"id":31,"type":"article-journal","abstract":"West Papua’s tropical forests are one of the mega biodiversity in the Sahul Shelf ecoregion. The increasing economic growth has a déterrent impact on deforestation and forest degradation with the rate increased by 1.29% per year (2010-2018). Meanwhile, economic growth in Gross Regional Domestic Product (GRDP) reached 4.87% per year. This study aims to simulate carbon management from the forestry sector in West Papua into the long-term low-carbon sustainable development. This research uses a dynamic system method through Stock Flow Diagram (SDF) stage and model validation. The results showed that the forestry GRDP and emission based on the CM1 and CM2 scenarios calculated using emission reduction of 69.61% and 91.04% were determined by 0.28 and 0.09 times from BAU. The total GRDP and forestry GRDP decreased by 5.19% (CM1) and 6.59% (CM2) and 71.57% (CM1) and 90.93% (CM2). Under this scenario, West Papua could maintain a forest cover of more than 85%. The study concludes that the results of the BAU scenario predict forest cover of 70% in 2030. Simulations carried out with CM1 and CM2 reduction in emissions show that the achievement of forestry GRDP, total GRDP, and emissions is lower than BAU.","container-title":"IOP Conference Series: Earth and Environmental Science","DOI":"10.1088/1755-1315/716/1/012017","issue":"1","note":"publisher: IOP Publishing","page":"012017","title":"Scenario for West Papua contribution for NDC from forestry sector","volume":"716","author":[{"literal":"Hendri"},{"family":"Karuniasa","given":"Mahawan"},{"family":"Prabawardhani","given":"Saraswati"},{"family":"Syamsudin","given":"Kati"},{"family":"Pradafitri","given":"Wednes S."}],"issued":{"date-parts":[["2021",3]]}}},{"id":"LlYD3n9N/pTpQfcDn","uris":["http://zotero.org/users/local/uAt8o06a/items/7DLZPFI8"],"uri":["http://zotero.org/users/local/uAt8o06a/items/7DLZPFI8"],"itemData":{"id":34,"type":"article-journal","abstract":"West Papua province holds a crucial role to ensure the NDC target could be achieved in a measurable and timely manner. Despite its rich possession of pristine biodiversity, manufacture industry contributes 3% of the total provincial income. This study aims to predict the GRDP if West Papua incorporates Eco-Industrial Development (EID) to mitigate emissions from the industrial sector and its shares to the local community's economy and the global economy. System dynamic modelling was employed to simulate and project the scenarios. The results show that the GRDP projection under the BAU scenario will rise from about 1,200 billion IDR in 2010 to 2,500 billion IDR in 2030, in parallel with the gradual increase of GHGs emission to 72,000 tonCO2e. The intervention scenario shows that the emissions will reach 57,000 tonCO2e and the economic contraction to 2,000 billion IDR by 2030. Considering the intermediate input, the added benefit for local communities in 2030 could fall from 840 billion IDR to 670 billion IDR in the intervention scenario. The contribution to the outer region's economy could decrease from 230 to 180 billion IDR. Besides the benefit of EID to reduce emissions, the government should also consider the impact of economic contraction.","container-title":"IOP Conference Series: Earth and Environmental Science","issue":"1","note":"publisher: IOP Publishing","page":"012104","title":"Towards an eco-industrial development in West Papua economy","volume":"716","author":[{"family":"Wurarah","given":"Rully N"},{"family":"Karuniasa","given":"Mahawan"},{"family":"Wehantouw","given":"Frenly"},{"family":"Tuharea","given":"Abdullah"},{"family":"Muhsin","given":"Muhammad"}],"issued":{"date-parts":[["2021",3]]}}},{"id":"LlYD3n9N/t4DuGgvd","uris":["http://zotero.org/users/local/uAt8o06a/items/QZSKF2SY"],"uri":["http://zotero.org/users/local/uAt8o06a/items/QZSKF2SY"],"itemData":{"id":29,"type":"article-journal","abstract":"West Papua is one of the Indonesian remaining forest frontiers expected to contribute greatly to countries’ climate commitments. Although fast economic growth in West Papua may results in high emission to the environment, especially in the energy sector. This study aimed to simulate the Gross Regional Domestic Product (GRDP) linked to Emission variables and integrate climate-smart development. The dynamic system model will integrate the influencing factors such as GRDP, capital, investment, and emission in West Papua. The modeling stage comprises of concept drafting, modeling, model simulation, and validation process. Powersim 10 is used to run the model. A causal loop diagram of the initial model scenario is formed of one variable is positive (reinforcing). Modeling results has been declared valid by the AME value of 4,96%. The implementation of NDC 41% in the economic sector will cut GRDP to approximately a half than business as usual GRDP. Based on the initial scenario, the model simulations indicate that the CO2 emission along the simulation period is defined to the year 2030, about 14,397,034,50 tonCO2/year on average. After the structural intervention is conducted, the CO2 emission decrease up to 25,6%, reducing emission according to NDC, 41% will correct the economy.","container-title":"IOP Conference Series: Earth and Environmental Science","DOI":"10.1088/1755-1315/716/1/012015","issue":"1","note":"publisher: IOP Publishing","page":"012015","title":"Low carbon energy model in West Papua","volume":"716","author":[{"family":"Wehantouw","given":"Frenly"},{"family":"Karuniasa","given":"Mahawan"},{"family":"Wurarah","given":"Rully N."},{"family":"Tuharea","given":"Abdullah"},{"family":"Maharani","given":"Cynthia"},{"family":"Shalilah","given":"Himayatus"},{"family":"Pambudi","given":"Priyaji Agung"}],"issued":{"date-parts":[["2021",3]]}}},{"id":"LlYD3n9N/cYoSifYv","uris":["http://zotero.org/users/local/uAt8o06a/items/SIA73859"],"uri":["http://zotero.org/users/local/uAt8o06a/items/SIA73859"],"itemData":{"id":32,"type":"article-journal","abstract":"The West Papua Province has declared itself a sustainable development province by implementing various programs to achieve sustainable development goals (SDGs). The social, environmental, and economic factors in West Papua need to be linked to improving the HDI as one of the programs to achieve SDGs. The declining poverty rate in West Papua Province in 2010-2018 has had a significant impact on increasing the HDI of West Papua. This study aims to identify factors that affect the HDI and the dynamics and predictions concerning the Gross Regional Domestic Product (GRDP), agricultural sector development, and low-carbon development. This study uses the system dynamic method to understand the economic and environmental variables that affect the human development index. The simulation results indicate that the national GHG emission target can be achieved by a GRDP correction of 162.66 billion based on scenario 1 (29% reduction) and 115.55 billion based on scenario 2 (41% reduction). However, the West Papua HDI will only be corrected by 0.3 (Scenario 1) and 0.2 (Scenario 2). In conclusion, the total GRDP of West Papua was corrected with emission reduction under the 41% reduction scenario, but it does not significantly affect the HDI of West Papua Province.","container-title":"IOP Conference Series: Earth and Environmental Science","DOI":"10.1088/1755-1315/716/1/012106","issue":"1","note":"publisher: IOP Publishing","page":"012106","title":"Development of the sustainable human development index model in West Papua","volume":"716","author":[{"family":"Tjolli","given":"Ihwan"},{"family":"Karuniasa","given":"Mahawan"},{"family":"Rehiara","given":"Adelhard B."},{"family":"Jance","given":"Supit"},{"family":"Lestari","given":"Indah"}],"issued":{"date-parts":[["2021",3]]}}}],"schema":"https://github.com/citation-style-language/schema/raw/master/csl-citation.json"} </w:instrText>
      </w:r>
      <w:r w:rsidR="0033372E">
        <w:rPr>
          <w:rFonts w:ascii="Times New Roman" w:eastAsia="Times New Roman" w:hAnsi="Times New Roman" w:cs="Times New Roman"/>
          <w:color w:val="000000"/>
        </w:rPr>
        <w:fldChar w:fldCharType="separate"/>
      </w:r>
      <w:r w:rsidR="00AE49C0" w:rsidRPr="00AE49C0">
        <w:rPr>
          <w:rFonts w:ascii="Times New Roman" w:hAnsi="Times New Roman" w:cs="Times New Roman"/>
          <w:szCs w:val="24"/>
        </w:rPr>
        <w:t>[2]–[6]</w:t>
      </w:r>
      <w:r w:rsidR="0033372E">
        <w:rPr>
          <w:rFonts w:ascii="Times New Roman" w:eastAsia="Times New Roman" w:hAnsi="Times New Roman" w:cs="Times New Roman"/>
          <w:color w:val="000000"/>
        </w:rPr>
        <w:fldChar w:fldCharType="end"/>
      </w:r>
      <w:r w:rsidR="0027228E">
        <w:rPr>
          <w:rFonts w:ascii="Times New Roman" w:eastAsia="Times New Roman" w:hAnsi="Times New Roman" w:cs="Times New Roman"/>
          <w:color w:val="000000"/>
        </w:rPr>
        <w:t>.</w:t>
      </w:r>
    </w:p>
    <w:p w:rsidR="00834536" w:rsidRPr="006007D6" w:rsidRDefault="006007D6" w:rsidP="006007D6">
      <w:pPr>
        <w:pBdr>
          <w:top w:val="nil"/>
          <w:left w:val="nil"/>
          <w:bottom w:val="nil"/>
          <w:right w:val="nil"/>
          <w:between w:val="nil"/>
        </w:pBdr>
        <w:tabs>
          <w:tab w:val="left" w:pos="567"/>
          <w:tab w:val="center" w:pos="4536"/>
          <w:tab w:val="right" w:pos="9070"/>
        </w:tabs>
        <w:spacing w:after="0" w:line="240" w:lineRule="auto"/>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ab/>
      </w:r>
      <w:r>
        <w:rPr>
          <w:rFonts w:ascii="Times New Roman" w:eastAsia="Times New Roman" w:hAnsi="Times New Roman" w:cs="Times New Roman"/>
          <w:color w:val="000000"/>
          <w:lang w:val="id-ID"/>
        </w:rPr>
        <w:tab/>
      </w:r>
      <w:r w:rsidR="0027228E">
        <w:rPr>
          <w:rFonts w:ascii="Times New Roman" w:eastAsia="Times New Roman" w:hAnsi="Times New Roman" w:cs="Times New Roman"/>
          <w:color w:val="000000"/>
        </w:rPr>
        <w:t>AME = (</w:t>
      </w:r>
      <w:r w:rsidR="0027228E" w:rsidRPr="00082B89">
        <w:rPr>
          <w:rFonts w:ascii="Times New Roman" w:eastAsia="Times New Roman" w:hAnsi="Times New Roman" w:cs="Times New Roman"/>
          <w:i/>
          <w:color w:val="000000"/>
        </w:rPr>
        <w:t>S</w:t>
      </w:r>
      <w:r w:rsidR="0027228E" w:rsidRPr="00082B89">
        <w:rPr>
          <w:rFonts w:ascii="Times New Roman" w:eastAsia="Times New Roman" w:hAnsi="Times New Roman" w:cs="Times New Roman"/>
          <w:i/>
          <w:color w:val="000000"/>
          <w:vertAlign w:val="subscript"/>
        </w:rPr>
        <w:t>i</w:t>
      </w:r>
      <w:r w:rsidR="0027228E">
        <w:rPr>
          <w:rFonts w:ascii="Times New Roman" w:eastAsia="Times New Roman" w:hAnsi="Times New Roman" w:cs="Times New Roman"/>
          <w:color w:val="000000"/>
        </w:rPr>
        <w:t xml:space="preserve"> – </w:t>
      </w:r>
      <w:r w:rsidR="00082B89">
        <w:rPr>
          <w:rFonts w:ascii="Times New Roman" w:eastAsia="Times New Roman" w:hAnsi="Times New Roman" w:cs="Times New Roman"/>
          <w:i/>
          <w:color w:val="000000"/>
          <w:lang w:val="id-ID"/>
        </w:rPr>
        <w:t>A</w:t>
      </w:r>
      <w:proofErr w:type="spellStart"/>
      <w:r w:rsidR="00082B89" w:rsidRPr="00082B89">
        <w:rPr>
          <w:rFonts w:ascii="Times New Roman" w:eastAsia="Times New Roman" w:hAnsi="Times New Roman" w:cs="Times New Roman"/>
          <w:i/>
          <w:color w:val="000000"/>
          <w:vertAlign w:val="subscript"/>
        </w:rPr>
        <w:t>i</w:t>
      </w:r>
      <w:proofErr w:type="spellEnd"/>
      <w:r w:rsidR="0027228E">
        <w:rPr>
          <w:rFonts w:ascii="Times New Roman" w:eastAsia="Times New Roman" w:hAnsi="Times New Roman" w:cs="Times New Roman"/>
          <w:color w:val="000000"/>
        </w:rPr>
        <w:t>)</w:t>
      </w:r>
      <w:r w:rsidR="00082B89">
        <w:rPr>
          <w:rFonts w:ascii="Times New Roman" w:eastAsia="Times New Roman" w:hAnsi="Times New Roman" w:cs="Times New Roman"/>
          <w:color w:val="000000"/>
          <w:lang w:val="id-ID"/>
        </w:rPr>
        <w:t xml:space="preserve"> </w:t>
      </w:r>
      <w:r w:rsidR="0027228E">
        <w:rPr>
          <w:rFonts w:ascii="Times New Roman" w:eastAsia="Times New Roman" w:hAnsi="Times New Roman" w:cs="Times New Roman"/>
          <w:color w:val="000000"/>
        </w:rPr>
        <w:t xml:space="preserve">/ </w:t>
      </w:r>
      <w:r w:rsidR="00082B89">
        <w:rPr>
          <w:rFonts w:ascii="Times New Roman" w:eastAsia="Times New Roman" w:hAnsi="Times New Roman" w:cs="Times New Roman"/>
          <w:i/>
          <w:color w:val="000000"/>
          <w:lang w:val="id-ID"/>
        </w:rPr>
        <w:t>A</w:t>
      </w:r>
      <w:proofErr w:type="spellStart"/>
      <w:r w:rsidR="00082B89" w:rsidRPr="00082B89">
        <w:rPr>
          <w:rFonts w:ascii="Times New Roman" w:eastAsia="Times New Roman" w:hAnsi="Times New Roman" w:cs="Times New Roman"/>
          <w:i/>
          <w:color w:val="000000"/>
          <w:vertAlign w:val="subscript"/>
        </w:rPr>
        <w:t>i</w:t>
      </w:r>
      <w:proofErr w:type="spellEnd"/>
      <w:r w:rsidR="0027228E">
        <w:rPr>
          <w:rFonts w:ascii="Times New Roman" w:eastAsia="Times New Roman" w:hAnsi="Times New Roman" w:cs="Times New Roman"/>
          <w:color w:val="000000"/>
        </w:rPr>
        <w:t xml:space="preserve"> x 100%</w:t>
      </w:r>
      <w:r>
        <w:rPr>
          <w:rFonts w:ascii="Times New Roman" w:eastAsia="Times New Roman" w:hAnsi="Times New Roman" w:cs="Times New Roman"/>
          <w:color w:val="000000"/>
          <w:lang w:val="id-ID"/>
        </w:rPr>
        <w:tab/>
        <w:t>(1)</w:t>
      </w:r>
    </w:p>
    <w:p w:rsidR="00B44A1C" w:rsidRPr="0027228E" w:rsidRDefault="00834536" w:rsidP="00F058B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34536">
        <w:rPr>
          <w:rFonts w:ascii="Times New Roman" w:eastAsia="Times New Roman" w:hAnsi="Times New Roman" w:cs="Times New Roman"/>
          <w:color w:val="000000"/>
        </w:rPr>
        <w:lastRenderedPageBreak/>
        <w:t xml:space="preserve">Where </w:t>
      </w:r>
      <w:r w:rsidRPr="00883F34">
        <w:rPr>
          <w:rFonts w:ascii="Times New Roman" w:eastAsia="Times New Roman" w:hAnsi="Times New Roman" w:cs="Times New Roman"/>
          <w:i/>
          <w:color w:val="000000"/>
        </w:rPr>
        <w:t>A</w:t>
      </w:r>
      <w:r w:rsidRPr="00834536">
        <w:rPr>
          <w:rFonts w:ascii="Times New Roman" w:eastAsia="Times New Roman" w:hAnsi="Times New Roman" w:cs="Times New Roman"/>
          <w:color w:val="000000"/>
        </w:rPr>
        <w:t xml:space="preserve"> is the actual </w:t>
      </w:r>
      <w:r w:rsidR="006007D6" w:rsidRPr="00834536">
        <w:rPr>
          <w:rFonts w:ascii="Times New Roman" w:eastAsia="Times New Roman" w:hAnsi="Times New Roman" w:cs="Times New Roman"/>
          <w:color w:val="000000"/>
        </w:rPr>
        <w:t>value</w:t>
      </w:r>
      <w:r w:rsidRPr="00834536">
        <w:rPr>
          <w:rFonts w:ascii="Times New Roman" w:eastAsia="Times New Roman" w:hAnsi="Times New Roman" w:cs="Times New Roman"/>
          <w:color w:val="000000"/>
        </w:rPr>
        <w:t xml:space="preserve"> an</w:t>
      </w:r>
      <w:r w:rsidR="0027228E">
        <w:rPr>
          <w:rFonts w:ascii="Times New Roman" w:eastAsia="Times New Roman" w:hAnsi="Times New Roman" w:cs="Times New Roman"/>
          <w:color w:val="000000"/>
        </w:rPr>
        <w:t xml:space="preserve">d </w:t>
      </w:r>
      <w:r w:rsidR="0027228E" w:rsidRPr="00883F34">
        <w:rPr>
          <w:rFonts w:ascii="Times New Roman" w:eastAsia="Times New Roman" w:hAnsi="Times New Roman" w:cs="Times New Roman"/>
          <w:i/>
          <w:color w:val="000000"/>
        </w:rPr>
        <w:t>S</w:t>
      </w:r>
      <w:r w:rsidR="0027228E">
        <w:rPr>
          <w:rFonts w:ascii="Times New Roman" w:eastAsia="Times New Roman" w:hAnsi="Times New Roman" w:cs="Times New Roman"/>
          <w:color w:val="000000"/>
        </w:rPr>
        <w:t xml:space="preserve"> is the value of simulation while subscription </w:t>
      </w:r>
      <w:proofErr w:type="spellStart"/>
      <w:r w:rsidR="0027228E" w:rsidRPr="00A7576E">
        <w:rPr>
          <w:rFonts w:ascii="Times New Roman" w:eastAsia="Times New Roman" w:hAnsi="Times New Roman" w:cs="Times New Roman"/>
          <w:i/>
          <w:color w:val="000000"/>
        </w:rPr>
        <w:t>i</w:t>
      </w:r>
      <w:proofErr w:type="spellEnd"/>
      <w:r w:rsidR="0027228E">
        <w:rPr>
          <w:rFonts w:ascii="Times New Roman" w:eastAsia="Times New Roman" w:hAnsi="Times New Roman" w:cs="Times New Roman"/>
          <w:color w:val="000000"/>
        </w:rPr>
        <w:t xml:space="preserve"> represents </w:t>
      </w:r>
      <w:r w:rsidR="00A7576E">
        <w:rPr>
          <w:rFonts w:ascii="Times New Roman" w:eastAsia="Times New Roman" w:hAnsi="Times New Roman" w:cs="Times New Roman"/>
          <w:color w:val="000000"/>
          <w:lang w:val="id-ID"/>
        </w:rPr>
        <w:t xml:space="preserve">number of </w:t>
      </w:r>
      <w:r w:rsidR="0027228E">
        <w:rPr>
          <w:rFonts w:ascii="Times New Roman" w:eastAsia="Times New Roman" w:hAnsi="Times New Roman" w:cs="Times New Roman"/>
          <w:color w:val="000000"/>
        </w:rPr>
        <w:t>data sequences. T</w:t>
      </w:r>
      <w:r w:rsidRPr="00834536">
        <w:rPr>
          <w:rFonts w:ascii="Times New Roman" w:eastAsia="Times New Roman" w:hAnsi="Times New Roman" w:cs="Times New Roman"/>
          <w:color w:val="000000"/>
        </w:rPr>
        <w:t>he AME limit value</w:t>
      </w:r>
      <w:r w:rsidR="0027228E">
        <w:rPr>
          <w:rFonts w:ascii="Times New Roman" w:eastAsia="Times New Roman" w:hAnsi="Times New Roman" w:cs="Times New Roman"/>
          <w:color w:val="000000"/>
        </w:rPr>
        <w:t xml:space="preserve"> about 30% is</w:t>
      </w:r>
      <w:r w:rsidR="00883F34">
        <w:rPr>
          <w:rFonts w:ascii="Times New Roman" w:eastAsia="Times New Roman" w:hAnsi="Times New Roman" w:cs="Times New Roman"/>
          <w:color w:val="000000"/>
          <w:lang w:val="id-ID"/>
        </w:rPr>
        <w:t xml:space="preserve"> </w:t>
      </w:r>
      <w:r w:rsidR="006713B2" w:rsidRPr="0027228E">
        <w:rPr>
          <w:rFonts w:ascii="Times New Roman" w:eastAsia="Times New Roman" w:hAnsi="Times New Roman" w:cs="Times New Roman"/>
          <w:color w:val="000000"/>
        </w:rPr>
        <w:t>considered</w:t>
      </w:r>
      <w:r w:rsidR="00883F34">
        <w:rPr>
          <w:rFonts w:ascii="Times New Roman" w:eastAsia="Times New Roman" w:hAnsi="Times New Roman" w:cs="Times New Roman"/>
          <w:color w:val="000000"/>
          <w:lang w:val="id-ID"/>
        </w:rPr>
        <w:t xml:space="preserve"> </w:t>
      </w:r>
      <w:r w:rsidRPr="00834536">
        <w:rPr>
          <w:rFonts w:ascii="Times New Roman" w:eastAsia="Times New Roman" w:hAnsi="Times New Roman" w:cs="Times New Roman"/>
          <w:color w:val="000000"/>
        </w:rPr>
        <w:t>strong enough to support the valid</w:t>
      </w:r>
      <w:r w:rsidR="006713B2">
        <w:rPr>
          <w:rFonts w:ascii="Times New Roman" w:eastAsia="Times New Roman" w:hAnsi="Times New Roman" w:cs="Times New Roman"/>
          <w:color w:val="000000"/>
        </w:rPr>
        <w:t>ation</w:t>
      </w:r>
      <w:r w:rsidRPr="00834536">
        <w:rPr>
          <w:rFonts w:ascii="Times New Roman" w:eastAsia="Times New Roman" w:hAnsi="Times New Roman" w:cs="Times New Roman"/>
          <w:color w:val="000000"/>
        </w:rPr>
        <w:t xml:space="preserve"> model </w:t>
      </w:r>
      <w:r w:rsidR="00AE49C0">
        <w:rPr>
          <w:rFonts w:ascii="Times New Roman" w:eastAsia="Times New Roman" w:hAnsi="Times New Roman" w:cs="Times New Roman"/>
          <w:color w:val="000000"/>
        </w:rPr>
        <w:t>process</w:t>
      </w:r>
      <w:r w:rsidRPr="00834536">
        <w:rPr>
          <w:rFonts w:ascii="Times New Roman" w:eastAsia="Times New Roman" w:hAnsi="Times New Roman" w:cs="Times New Roman"/>
          <w:color w:val="000000"/>
        </w:rPr>
        <w:t>.</w:t>
      </w:r>
      <w:r w:rsidRPr="00834536">
        <w:rPr>
          <w:rFonts w:ascii="Times New Roman" w:eastAsia="Times New Roman" w:hAnsi="Times New Roman" w:cs="Times New Roman"/>
          <w:color w:val="000000"/>
        </w:rPr>
        <w:cr/>
      </w:r>
    </w:p>
    <w:p w:rsidR="00011643" w:rsidRDefault="00834536">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834536">
        <w:rPr>
          <w:rFonts w:ascii="Times New Roman" w:eastAsia="Times New Roman" w:hAnsi="Times New Roman" w:cs="Times New Roman"/>
          <w:b/>
          <w:color w:val="000000"/>
        </w:rPr>
        <w:t>Result and discussion</w:t>
      </w:r>
    </w:p>
    <w:p w:rsidR="00834536" w:rsidRDefault="00834536"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sidRPr="00356EA1">
        <w:rPr>
          <w:rFonts w:ascii="Times New Roman" w:eastAsia="Times New Roman" w:hAnsi="Times New Roman" w:cs="Times New Roman"/>
          <w:i/>
          <w:color w:val="000000"/>
        </w:rPr>
        <w:t>.</w:t>
      </w:r>
      <w:r>
        <w:rPr>
          <w:rFonts w:ascii="Times New Roman" w:eastAsia="Times New Roman" w:hAnsi="Times New Roman" w:cs="Times New Roman"/>
          <w:i/>
          <w:color w:val="000000"/>
        </w:rPr>
        <w:t>1</w:t>
      </w:r>
      <w:r w:rsidRPr="00356EA1">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Model </w:t>
      </w:r>
      <w:r w:rsidR="0032321A">
        <w:rPr>
          <w:rFonts w:ascii="Times New Roman" w:eastAsia="Times New Roman" w:hAnsi="Times New Roman" w:cs="Times New Roman"/>
          <w:i/>
          <w:color w:val="000000"/>
        </w:rPr>
        <w:t xml:space="preserve">development </w:t>
      </w:r>
    </w:p>
    <w:p w:rsidR="00C529A3" w:rsidRDefault="00C529A3"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121FF6" w:rsidRDefault="00121FF6"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6F29F6" w:rsidRDefault="00121FF6"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121FF6">
        <w:rPr>
          <w:rFonts w:ascii="Times New Roman" w:eastAsia="Times New Roman" w:hAnsi="Times New Roman" w:cs="Times New Roman"/>
          <w:color w:val="000000"/>
          <w:lang w:val="id-ID"/>
        </w:rPr>
        <w:t xml:space="preserve">The system dynamics modeling for energy demand is implemented in PowerSim 10 software, and its SFD is figured in Figure 1. Data for the model is taken from West Papua in Number 2010 to 2021 by </w:t>
      </w:r>
      <w:r w:rsidR="00E142CB">
        <w:rPr>
          <w:rFonts w:ascii="Times New Roman" w:eastAsia="Times New Roman" w:hAnsi="Times New Roman" w:cs="Times New Roman"/>
          <w:color w:val="000000"/>
          <w:lang w:val="id-ID"/>
        </w:rPr>
        <w:fldChar w:fldCharType="begin"/>
      </w:r>
      <w:r w:rsidR="00CB1646">
        <w:rPr>
          <w:rFonts w:ascii="Times New Roman" w:eastAsia="Times New Roman" w:hAnsi="Times New Roman" w:cs="Times New Roman"/>
          <w:color w:val="000000"/>
          <w:lang w:val="id-ID"/>
        </w:rPr>
        <w:instrText xml:space="preserve"> ADDIN ZOTERO_ITEM CSL_CITATION {"citationID":"L7cfpgK1","properties":{"formattedCitation":"[7]","plainCitation":"[7]","noteIndex":0},"citationItems":[{"id":49,"uris":["http://zotero.org/users/local/Ft4xB1KH/items/MVPDGJPV"],"uri":["http://zotero.org/users/local/Ft4xB1KH/items/MVPDGJPV"],"itemData":{"id":49,"type":"book","publisher":"Central Bureau of Statistics","title":"Papua Barat Dalam Angka","author":[{"family":"Anonymous","given":""}],"issued":{"date-parts":[["2010"]],"season":"2021"}}}],"schema":"https://github.com/citation-style-language/schema/raw/master/csl-citation.json"} </w:instrText>
      </w:r>
      <w:r w:rsidR="00E142CB">
        <w:rPr>
          <w:rFonts w:ascii="Times New Roman" w:eastAsia="Times New Roman" w:hAnsi="Times New Roman" w:cs="Times New Roman"/>
          <w:color w:val="000000"/>
          <w:lang w:val="id-ID"/>
        </w:rPr>
        <w:fldChar w:fldCharType="separate"/>
      </w:r>
      <w:r w:rsidR="00E142CB" w:rsidRPr="00E142CB">
        <w:rPr>
          <w:rFonts w:ascii="Times New Roman" w:hAnsi="Times New Roman" w:cs="Times New Roman"/>
        </w:rPr>
        <w:t>[7]</w:t>
      </w:r>
      <w:r w:rsidR="00E142CB">
        <w:rPr>
          <w:rFonts w:ascii="Times New Roman" w:eastAsia="Times New Roman" w:hAnsi="Times New Roman" w:cs="Times New Roman"/>
          <w:color w:val="000000"/>
          <w:lang w:val="id-ID"/>
        </w:rPr>
        <w:fldChar w:fldCharType="end"/>
      </w:r>
      <w:r w:rsidR="0065217B">
        <w:rPr>
          <w:rFonts w:ascii="Times New Roman" w:eastAsia="Times New Roman" w:hAnsi="Times New Roman" w:cs="Times New Roman"/>
          <w:color w:val="000000"/>
          <w:lang w:val="id-ID"/>
        </w:rPr>
        <w:t>,</w:t>
      </w:r>
      <w:r w:rsidR="00787287">
        <w:rPr>
          <w:rFonts w:ascii="Times New Roman" w:eastAsia="Times New Roman" w:hAnsi="Times New Roman" w:cs="Times New Roman"/>
          <w:color w:val="000000"/>
          <w:lang w:val="id-ID"/>
        </w:rPr>
        <w:t xml:space="preserve"> Electricity Statistic </w:t>
      </w:r>
      <w:r w:rsidR="00E142CB">
        <w:rPr>
          <w:rFonts w:ascii="Times New Roman" w:eastAsia="Times New Roman" w:hAnsi="Times New Roman" w:cs="Times New Roman"/>
          <w:color w:val="000000"/>
          <w:lang w:val="id-ID"/>
        </w:rPr>
        <w:t xml:space="preserve">2010 to 2021 </w:t>
      </w:r>
      <w:r w:rsidR="00E142CB">
        <w:rPr>
          <w:rFonts w:ascii="Times New Roman" w:eastAsia="Times New Roman" w:hAnsi="Times New Roman" w:cs="Times New Roman"/>
          <w:color w:val="000000"/>
          <w:lang w:val="id-ID"/>
        </w:rPr>
        <w:fldChar w:fldCharType="begin"/>
      </w:r>
      <w:r w:rsidR="00CB1646">
        <w:rPr>
          <w:rFonts w:ascii="Times New Roman" w:eastAsia="Times New Roman" w:hAnsi="Times New Roman" w:cs="Times New Roman"/>
          <w:color w:val="000000"/>
          <w:lang w:val="id-ID"/>
        </w:rPr>
        <w:instrText xml:space="preserve"> ADDIN ZOTERO_ITEM CSL_CITATION {"citationID":"gALwEua6","properties":{"formattedCitation":"[8]","plainCitation":"[8]","noteIndex":0},"citationItems":[{"id":50,"uris":["http://zotero.org/users/local/Ft4xB1KH/items/K9JN37IV"],"uri":["http://zotero.org/users/local/Ft4xB1KH/items/K9JN37IV"],"itemData":{"id":50,"type":"book","publisher":"Ministry of Energy and Mineral Resources","title":"Statistik Ketenagalistrikan","author":[{"family":"Anonymous","given":""}],"issued":{"date-parts":[["2010"]],"season":"2020"}}}],"schema":"https://github.com/citation-style-language/schema/raw/master/csl-citation.json"} </w:instrText>
      </w:r>
      <w:r w:rsidR="00E142CB">
        <w:rPr>
          <w:rFonts w:ascii="Times New Roman" w:eastAsia="Times New Roman" w:hAnsi="Times New Roman" w:cs="Times New Roman"/>
          <w:color w:val="000000"/>
          <w:lang w:val="id-ID"/>
        </w:rPr>
        <w:fldChar w:fldCharType="separate"/>
      </w:r>
      <w:r w:rsidR="00E142CB" w:rsidRPr="00E142CB">
        <w:rPr>
          <w:rFonts w:ascii="Times New Roman" w:hAnsi="Times New Roman" w:cs="Times New Roman"/>
        </w:rPr>
        <w:t>[8]</w:t>
      </w:r>
      <w:r w:rsidR="00E142CB">
        <w:rPr>
          <w:rFonts w:ascii="Times New Roman" w:eastAsia="Times New Roman" w:hAnsi="Times New Roman" w:cs="Times New Roman"/>
          <w:color w:val="000000"/>
          <w:lang w:val="id-ID"/>
        </w:rPr>
        <w:fldChar w:fldCharType="end"/>
      </w:r>
      <w:r w:rsidR="0065217B">
        <w:rPr>
          <w:rFonts w:ascii="Times New Roman" w:eastAsia="Times New Roman" w:hAnsi="Times New Roman" w:cs="Times New Roman"/>
          <w:color w:val="000000"/>
          <w:lang w:val="id-ID"/>
        </w:rPr>
        <w:t>,</w:t>
      </w:r>
      <w:r w:rsidR="00787287">
        <w:rPr>
          <w:rFonts w:ascii="Times New Roman" w:eastAsia="Times New Roman" w:hAnsi="Times New Roman" w:cs="Times New Roman"/>
          <w:color w:val="000000"/>
          <w:lang w:val="id-ID"/>
        </w:rPr>
        <w:t xml:space="preserve"> and </w:t>
      </w:r>
      <w:r w:rsidR="00262536">
        <w:rPr>
          <w:rFonts w:ascii="Times New Roman" w:eastAsia="Times New Roman" w:hAnsi="Times New Roman" w:cs="Times New Roman"/>
          <w:color w:val="000000"/>
          <w:lang w:val="id-ID"/>
        </w:rPr>
        <w:t xml:space="preserve">PLN </w:t>
      </w:r>
      <w:r w:rsidR="0065217B">
        <w:rPr>
          <w:rFonts w:ascii="Times New Roman" w:eastAsia="Times New Roman" w:hAnsi="Times New Roman" w:cs="Times New Roman"/>
          <w:color w:val="000000"/>
          <w:lang w:val="id-ID"/>
        </w:rPr>
        <w:t>Statistic</w:t>
      </w:r>
      <w:r w:rsidR="00E142CB">
        <w:rPr>
          <w:rFonts w:ascii="Times New Roman" w:eastAsia="Times New Roman" w:hAnsi="Times New Roman" w:cs="Times New Roman"/>
          <w:color w:val="000000"/>
          <w:lang w:val="id-ID"/>
        </w:rPr>
        <w:t xml:space="preserve"> 2021</w:t>
      </w:r>
      <w:r w:rsidR="0065217B">
        <w:rPr>
          <w:rFonts w:ascii="Times New Roman" w:eastAsia="Times New Roman" w:hAnsi="Times New Roman" w:cs="Times New Roman"/>
          <w:color w:val="000000"/>
          <w:lang w:val="id-ID"/>
        </w:rPr>
        <w:t xml:space="preserve"> </w:t>
      </w:r>
      <w:r w:rsidR="00E142CB">
        <w:rPr>
          <w:rFonts w:ascii="Times New Roman" w:eastAsia="Times New Roman" w:hAnsi="Times New Roman" w:cs="Times New Roman"/>
          <w:color w:val="000000"/>
          <w:lang w:val="id-ID"/>
        </w:rPr>
        <w:fldChar w:fldCharType="begin"/>
      </w:r>
      <w:r w:rsidR="00CB1646">
        <w:rPr>
          <w:rFonts w:ascii="Times New Roman" w:eastAsia="Times New Roman" w:hAnsi="Times New Roman" w:cs="Times New Roman"/>
          <w:color w:val="000000"/>
          <w:lang w:val="id-ID"/>
        </w:rPr>
        <w:instrText xml:space="preserve"> ADDIN ZOTERO_ITEM CSL_CITATION {"citationID":"wrtqAbWw","properties":{"formattedCitation":"[9]","plainCitation":"[9]","noteIndex":0},"citationItems":[{"id":51,"uris":["http://zotero.org/users/local/Ft4xB1KH/items/A8SM6WDX"],"uri":["http://zotero.org/users/local/Ft4xB1KH/items/A8SM6WDX"],"itemData":{"id":51,"type":"book","publisher":"State Electricity Company","title":"Statistik PLN","author":[{"family":"Anonymous","given":""}],"issued":{"date-parts":[["2021"]]}}}],"schema":"https://github.com/citation-style-language/schema/raw/master/csl-citation.json"} </w:instrText>
      </w:r>
      <w:r w:rsidR="00E142CB">
        <w:rPr>
          <w:rFonts w:ascii="Times New Roman" w:eastAsia="Times New Roman" w:hAnsi="Times New Roman" w:cs="Times New Roman"/>
          <w:color w:val="000000"/>
          <w:lang w:val="id-ID"/>
        </w:rPr>
        <w:fldChar w:fldCharType="separate"/>
      </w:r>
      <w:r w:rsidR="00E142CB" w:rsidRPr="00E142CB">
        <w:rPr>
          <w:rFonts w:ascii="Times New Roman" w:hAnsi="Times New Roman" w:cs="Times New Roman"/>
        </w:rPr>
        <w:t>[9]</w:t>
      </w:r>
      <w:r w:rsidR="00E142CB">
        <w:rPr>
          <w:rFonts w:ascii="Times New Roman" w:eastAsia="Times New Roman" w:hAnsi="Times New Roman" w:cs="Times New Roman"/>
          <w:color w:val="000000"/>
          <w:lang w:val="id-ID"/>
        </w:rPr>
        <w:fldChar w:fldCharType="end"/>
      </w:r>
      <w:r w:rsidR="00787287">
        <w:rPr>
          <w:rFonts w:ascii="Times New Roman" w:eastAsia="Times New Roman" w:hAnsi="Times New Roman" w:cs="Times New Roman"/>
          <w:color w:val="000000"/>
          <w:lang w:val="id-ID"/>
        </w:rPr>
        <w:t xml:space="preserve">. </w:t>
      </w:r>
      <w:r w:rsidR="0065217B">
        <w:rPr>
          <w:rFonts w:ascii="Times New Roman" w:eastAsia="Times New Roman" w:hAnsi="Times New Roman" w:cs="Times New Roman"/>
          <w:color w:val="000000"/>
          <w:lang w:val="id-ID"/>
        </w:rPr>
        <w:t>Some initial values used in the simulation are given in Table 1.</w:t>
      </w:r>
    </w:p>
    <w:p w:rsidR="002C52DB" w:rsidRDefault="002C52DB"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tbl>
      <w:tblPr>
        <w:tblStyle w:val="Style43"/>
        <w:tblW w:w="8621" w:type="dxa"/>
        <w:tblInd w:w="135" w:type="dxa"/>
        <w:tblLayout w:type="fixed"/>
        <w:tblLook w:val="04A0" w:firstRow="1" w:lastRow="0" w:firstColumn="1" w:lastColumn="0" w:noHBand="0" w:noVBand="1"/>
      </w:tblPr>
      <w:tblGrid>
        <w:gridCol w:w="2618"/>
        <w:gridCol w:w="2001"/>
        <w:gridCol w:w="921"/>
        <w:gridCol w:w="3081"/>
      </w:tblGrid>
      <w:tr w:rsidR="002C52DB" w:rsidTr="0065217B">
        <w:tc>
          <w:tcPr>
            <w:tcW w:w="8621" w:type="dxa"/>
            <w:gridSpan w:val="4"/>
            <w:tcBorders>
              <w:bottom w:val="single" w:sz="4" w:space="0" w:color="auto"/>
            </w:tcBorders>
            <w:hideMark/>
          </w:tcPr>
          <w:p w:rsidR="002C52DB" w:rsidRDefault="002C52DB" w:rsidP="002C52DB">
            <w:pPr>
              <w:spacing w:after="120" w:line="273" w:lineRule="auto"/>
              <w:jc w:val="center"/>
              <w:rPr>
                <w:b/>
                <w:color w:val="000000"/>
                <w:sz w:val="22"/>
                <w:szCs w:val="22"/>
              </w:rPr>
            </w:pPr>
            <w:r>
              <w:rPr>
                <w:b/>
                <w:color w:val="000000"/>
              </w:rPr>
              <w:t>Table 1.</w:t>
            </w:r>
            <w:r>
              <w:rPr>
                <w:color w:val="000000"/>
              </w:rPr>
              <w:t xml:space="preserve"> </w:t>
            </w:r>
            <w:r>
              <w:rPr>
                <w:color w:val="000000"/>
                <w:lang w:val="id-ID"/>
              </w:rPr>
              <w:t>Initial values of simulations</w:t>
            </w:r>
          </w:p>
        </w:tc>
      </w:tr>
      <w:tr w:rsidR="002C52DB" w:rsidTr="0065217B">
        <w:trPr>
          <w:trHeight w:val="373"/>
        </w:trPr>
        <w:tc>
          <w:tcPr>
            <w:tcW w:w="2618" w:type="dxa"/>
            <w:tcBorders>
              <w:top w:val="single" w:sz="4" w:space="0" w:color="auto"/>
              <w:bottom w:val="single" w:sz="4" w:space="0" w:color="auto"/>
            </w:tcBorders>
            <w:vAlign w:val="center"/>
          </w:tcPr>
          <w:p w:rsidR="002C52DB" w:rsidRPr="002C52DB" w:rsidRDefault="002C52DB" w:rsidP="002C52DB">
            <w:pPr>
              <w:spacing w:before="40" w:after="40" w:line="273" w:lineRule="auto"/>
              <w:ind w:left="131"/>
              <w:rPr>
                <w:color w:val="000000"/>
                <w:lang w:val="id-ID"/>
              </w:rPr>
            </w:pPr>
            <w:r>
              <w:rPr>
                <w:color w:val="000000"/>
                <w:lang w:val="id-ID"/>
              </w:rPr>
              <w:t>Variables</w:t>
            </w:r>
          </w:p>
        </w:tc>
        <w:tc>
          <w:tcPr>
            <w:tcW w:w="2001" w:type="dxa"/>
            <w:tcBorders>
              <w:top w:val="single" w:sz="4" w:space="0" w:color="auto"/>
              <w:bottom w:val="single" w:sz="4" w:space="0" w:color="auto"/>
            </w:tcBorders>
            <w:hideMark/>
          </w:tcPr>
          <w:p w:rsidR="002C52DB" w:rsidRPr="00A7576E" w:rsidRDefault="002C52DB" w:rsidP="00A04B47">
            <w:pPr>
              <w:spacing w:before="40" w:after="40" w:line="273" w:lineRule="auto"/>
              <w:ind w:left="111"/>
              <w:jc w:val="center"/>
              <w:rPr>
                <w:color w:val="000000"/>
                <w:lang w:val="id-ID"/>
              </w:rPr>
            </w:pPr>
            <w:r>
              <w:rPr>
                <w:color w:val="000000"/>
                <w:lang w:val="id-ID"/>
              </w:rPr>
              <w:t>Baseline value</w:t>
            </w:r>
          </w:p>
        </w:tc>
        <w:tc>
          <w:tcPr>
            <w:tcW w:w="921" w:type="dxa"/>
            <w:tcBorders>
              <w:top w:val="single" w:sz="4" w:space="0" w:color="auto"/>
              <w:bottom w:val="single" w:sz="4" w:space="0" w:color="auto"/>
            </w:tcBorders>
          </w:tcPr>
          <w:p w:rsidR="002C52DB" w:rsidRPr="002C52DB" w:rsidRDefault="002C52DB" w:rsidP="00A04B47">
            <w:pPr>
              <w:spacing w:before="40" w:after="40" w:line="273" w:lineRule="auto"/>
              <w:jc w:val="center"/>
              <w:rPr>
                <w:color w:val="000000"/>
                <w:lang w:val="id-ID"/>
              </w:rPr>
            </w:pPr>
            <w:r>
              <w:rPr>
                <w:color w:val="000000"/>
                <w:lang w:val="id-ID"/>
              </w:rPr>
              <w:t>Unit</w:t>
            </w:r>
          </w:p>
        </w:tc>
        <w:tc>
          <w:tcPr>
            <w:tcW w:w="3081" w:type="dxa"/>
            <w:tcBorders>
              <w:top w:val="single" w:sz="4" w:space="0" w:color="auto"/>
              <w:bottom w:val="single" w:sz="4" w:space="0" w:color="auto"/>
            </w:tcBorders>
            <w:hideMark/>
          </w:tcPr>
          <w:p w:rsidR="002C52DB" w:rsidRPr="002C52DB" w:rsidRDefault="002C52DB" w:rsidP="00A04B47">
            <w:pPr>
              <w:spacing w:before="40" w:after="40" w:line="273" w:lineRule="auto"/>
              <w:ind w:left="189"/>
              <w:jc w:val="center"/>
              <w:rPr>
                <w:color w:val="000000"/>
                <w:lang w:val="id-ID"/>
              </w:rPr>
            </w:pPr>
            <w:r>
              <w:rPr>
                <w:color w:val="000000"/>
                <w:lang w:val="id-ID"/>
              </w:rPr>
              <w:t>Resources</w:t>
            </w:r>
          </w:p>
        </w:tc>
      </w:tr>
      <w:tr w:rsidR="002C52DB" w:rsidTr="0065217B">
        <w:trPr>
          <w:trHeight w:val="373"/>
        </w:trPr>
        <w:tc>
          <w:tcPr>
            <w:tcW w:w="2618" w:type="dxa"/>
            <w:tcBorders>
              <w:top w:val="single" w:sz="4" w:space="0" w:color="auto"/>
            </w:tcBorders>
            <w:vAlign w:val="center"/>
          </w:tcPr>
          <w:p w:rsidR="002C52DB" w:rsidRDefault="00657263" w:rsidP="002C52DB">
            <w:pPr>
              <w:spacing w:before="40" w:after="40" w:line="273" w:lineRule="auto"/>
              <w:ind w:left="131"/>
              <w:rPr>
                <w:color w:val="000000"/>
                <w:lang w:val="id-ID"/>
              </w:rPr>
            </w:pPr>
            <w:r>
              <w:rPr>
                <w:color w:val="000000"/>
                <w:lang w:val="id-ID"/>
              </w:rPr>
              <w:t>Installed g</w:t>
            </w:r>
            <w:r w:rsidR="002C52DB">
              <w:rPr>
                <w:color w:val="000000"/>
                <w:lang w:val="id-ID"/>
              </w:rPr>
              <w:t>eneration capacity</w:t>
            </w:r>
          </w:p>
        </w:tc>
        <w:tc>
          <w:tcPr>
            <w:tcW w:w="2001" w:type="dxa"/>
            <w:tcBorders>
              <w:top w:val="single" w:sz="4" w:space="0" w:color="auto"/>
            </w:tcBorders>
          </w:tcPr>
          <w:p w:rsidR="002C52DB" w:rsidRDefault="00657263" w:rsidP="00657263">
            <w:pPr>
              <w:spacing w:before="40" w:after="40" w:line="273" w:lineRule="auto"/>
              <w:ind w:left="131"/>
              <w:jc w:val="center"/>
              <w:rPr>
                <w:color w:val="000000"/>
                <w:lang w:val="id-ID"/>
              </w:rPr>
            </w:pPr>
            <w:r w:rsidRPr="00657263">
              <w:rPr>
                <w:color w:val="000000"/>
                <w:lang w:val="id-ID"/>
              </w:rPr>
              <w:t>459</w:t>
            </w:r>
            <w:r>
              <w:rPr>
                <w:color w:val="000000"/>
                <w:lang w:val="id-ID"/>
              </w:rPr>
              <w:t>.</w:t>
            </w:r>
            <w:r w:rsidRPr="00657263">
              <w:rPr>
                <w:color w:val="000000"/>
                <w:lang w:val="id-ID"/>
              </w:rPr>
              <w:t>55</w:t>
            </w:r>
          </w:p>
        </w:tc>
        <w:tc>
          <w:tcPr>
            <w:tcW w:w="921" w:type="dxa"/>
            <w:tcBorders>
              <w:top w:val="single" w:sz="4" w:space="0" w:color="auto"/>
            </w:tcBorders>
          </w:tcPr>
          <w:p w:rsidR="002C52DB" w:rsidRDefault="002C52DB" w:rsidP="00A04B47">
            <w:pPr>
              <w:spacing w:before="40" w:after="40" w:line="273" w:lineRule="auto"/>
              <w:jc w:val="center"/>
              <w:rPr>
                <w:color w:val="000000"/>
                <w:lang w:val="id-ID"/>
              </w:rPr>
            </w:pPr>
            <w:r>
              <w:rPr>
                <w:color w:val="000000"/>
                <w:lang w:val="id-ID"/>
              </w:rPr>
              <w:t>MW</w:t>
            </w:r>
          </w:p>
        </w:tc>
        <w:tc>
          <w:tcPr>
            <w:tcW w:w="3081" w:type="dxa"/>
            <w:tcBorders>
              <w:top w:val="single" w:sz="4" w:space="0" w:color="auto"/>
            </w:tcBorders>
          </w:tcPr>
          <w:p w:rsidR="002C52DB" w:rsidRDefault="00657263" w:rsidP="0065217B">
            <w:pPr>
              <w:spacing w:before="40" w:after="40" w:line="273" w:lineRule="auto"/>
              <w:ind w:left="189"/>
              <w:jc w:val="both"/>
              <w:rPr>
                <w:color w:val="000000"/>
                <w:lang w:val="id-ID"/>
              </w:rPr>
            </w:pPr>
            <w:r>
              <w:rPr>
                <w:color w:val="000000"/>
                <w:lang w:val="id-ID"/>
              </w:rPr>
              <w:t xml:space="preserve">2021 </w:t>
            </w:r>
            <w:r w:rsidR="0065217B">
              <w:rPr>
                <w:color w:val="000000"/>
                <w:lang w:val="id-ID"/>
              </w:rPr>
              <w:t>PLN Statistic</w:t>
            </w:r>
          </w:p>
        </w:tc>
      </w:tr>
      <w:tr w:rsidR="00657263" w:rsidTr="0065217B">
        <w:trPr>
          <w:trHeight w:val="373"/>
        </w:trPr>
        <w:tc>
          <w:tcPr>
            <w:tcW w:w="2618" w:type="dxa"/>
            <w:vAlign w:val="center"/>
          </w:tcPr>
          <w:p w:rsidR="00657263" w:rsidRDefault="00657263" w:rsidP="002C52DB">
            <w:pPr>
              <w:spacing w:before="40" w:after="40" w:line="273" w:lineRule="auto"/>
              <w:ind w:left="131"/>
              <w:rPr>
                <w:color w:val="000000"/>
                <w:lang w:val="id-ID"/>
              </w:rPr>
            </w:pPr>
            <w:r>
              <w:rPr>
                <w:color w:val="000000"/>
                <w:lang w:val="id-ID"/>
              </w:rPr>
              <w:t>Maximum support generation units</w:t>
            </w:r>
          </w:p>
        </w:tc>
        <w:tc>
          <w:tcPr>
            <w:tcW w:w="2001" w:type="dxa"/>
          </w:tcPr>
          <w:p w:rsidR="00657263" w:rsidRPr="00657263" w:rsidRDefault="00657263" w:rsidP="00657263">
            <w:pPr>
              <w:spacing w:before="40" w:after="40" w:line="273" w:lineRule="auto"/>
              <w:ind w:left="131"/>
              <w:jc w:val="center"/>
              <w:rPr>
                <w:color w:val="000000"/>
                <w:lang w:val="id-ID"/>
              </w:rPr>
            </w:pPr>
            <w:r w:rsidRPr="00657263">
              <w:rPr>
                <w:color w:val="000000"/>
                <w:lang w:val="id-ID"/>
              </w:rPr>
              <w:t>396</w:t>
            </w:r>
            <w:r>
              <w:rPr>
                <w:color w:val="000000"/>
                <w:lang w:val="id-ID"/>
              </w:rPr>
              <w:t>.</w:t>
            </w:r>
            <w:r w:rsidRPr="00657263">
              <w:rPr>
                <w:color w:val="000000"/>
                <w:lang w:val="id-ID"/>
              </w:rPr>
              <w:t>98</w:t>
            </w:r>
          </w:p>
        </w:tc>
        <w:tc>
          <w:tcPr>
            <w:tcW w:w="921" w:type="dxa"/>
          </w:tcPr>
          <w:p w:rsidR="00657263" w:rsidRDefault="00657263" w:rsidP="00A04B47">
            <w:pPr>
              <w:spacing w:before="40" w:after="40" w:line="273" w:lineRule="auto"/>
              <w:jc w:val="center"/>
              <w:rPr>
                <w:color w:val="000000"/>
                <w:lang w:val="id-ID"/>
              </w:rPr>
            </w:pPr>
            <w:r>
              <w:rPr>
                <w:color w:val="000000"/>
                <w:lang w:val="id-ID"/>
              </w:rPr>
              <w:t>MW</w:t>
            </w:r>
          </w:p>
        </w:tc>
        <w:tc>
          <w:tcPr>
            <w:tcW w:w="3081" w:type="dxa"/>
          </w:tcPr>
          <w:p w:rsidR="00657263" w:rsidRDefault="00657263" w:rsidP="0065217B">
            <w:pPr>
              <w:spacing w:before="40" w:after="40" w:line="273" w:lineRule="auto"/>
              <w:ind w:left="189"/>
              <w:jc w:val="both"/>
              <w:rPr>
                <w:color w:val="000000"/>
                <w:lang w:val="id-ID"/>
              </w:rPr>
            </w:pPr>
            <w:r>
              <w:rPr>
                <w:color w:val="000000"/>
                <w:lang w:val="id-ID"/>
              </w:rPr>
              <w:t xml:space="preserve">2021 </w:t>
            </w:r>
            <w:r w:rsidR="0065217B">
              <w:rPr>
                <w:color w:val="000000"/>
                <w:lang w:val="id-ID"/>
              </w:rPr>
              <w:t>PLN Statistic</w:t>
            </w:r>
          </w:p>
        </w:tc>
      </w:tr>
      <w:tr w:rsidR="0065217B" w:rsidTr="0065217B">
        <w:trPr>
          <w:trHeight w:val="373"/>
        </w:trPr>
        <w:tc>
          <w:tcPr>
            <w:tcW w:w="2618" w:type="dxa"/>
            <w:vAlign w:val="center"/>
          </w:tcPr>
          <w:p w:rsidR="0065217B" w:rsidRDefault="0065217B" w:rsidP="00A04B47">
            <w:pPr>
              <w:spacing w:before="40" w:after="40" w:line="273" w:lineRule="auto"/>
              <w:ind w:left="131"/>
              <w:rPr>
                <w:color w:val="000000"/>
                <w:lang w:val="id-ID"/>
              </w:rPr>
            </w:pPr>
            <w:r>
              <w:rPr>
                <w:color w:val="000000"/>
                <w:lang w:val="id-ID"/>
              </w:rPr>
              <w:t xml:space="preserve">Average household energy sell </w:t>
            </w:r>
          </w:p>
        </w:tc>
        <w:tc>
          <w:tcPr>
            <w:tcW w:w="2001" w:type="dxa"/>
          </w:tcPr>
          <w:p w:rsidR="0065217B" w:rsidRDefault="0065217B" w:rsidP="00A04B47">
            <w:pPr>
              <w:spacing w:before="40" w:after="40" w:line="273" w:lineRule="auto"/>
              <w:ind w:left="131"/>
              <w:jc w:val="center"/>
              <w:rPr>
                <w:color w:val="000000"/>
                <w:lang w:val="id-ID"/>
              </w:rPr>
            </w:pPr>
            <w:r w:rsidRPr="00657263">
              <w:rPr>
                <w:lang w:val="id-ID"/>
              </w:rPr>
              <w:t>1</w:t>
            </w:r>
            <w:r>
              <w:rPr>
                <w:lang w:val="id-ID"/>
              </w:rPr>
              <w:t>,</w:t>
            </w:r>
            <w:r w:rsidRPr="00657263">
              <w:rPr>
                <w:lang w:val="id-ID"/>
              </w:rPr>
              <w:t>544</w:t>
            </w:r>
            <w:r>
              <w:rPr>
                <w:lang w:val="id-ID"/>
              </w:rPr>
              <w:t>.</w:t>
            </w:r>
            <w:r w:rsidRPr="00657263">
              <w:rPr>
                <w:lang w:val="id-ID"/>
              </w:rPr>
              <w:t>12</w:t>
            </w:r>
          </w:p>
        </w:tc>
        <w:tc>
          <w:tcPr>
            <w:tcW w:w="921" w:type="dxa"/>
          </w:tcPr>
          <w:p w:rsidR="0065217B" w:rsidRDefault="0065217B" w:rsidP="00A04B47">
            <w:pPr>
              <w:spacing w:before="40" w:after="40" w:line="273" w:lineRule="auto"/>
              <w:jc w:val="center"/>
              <w:rPr>
                <w:color w:val="000000"/>
                <w:lang w:val="id-ID"/>
              </w:rPr>
            </w:pPr>
            <w:r>
              <w:rPr>
                <w:color w:val="000000"/>
                <w:lang w:val="id-ID"/>
              </w:rPr>
              <w:t>KWh</w:t>
            </w:r>
          </w:p>
        </w:tc>
        <w:tc>
          <w:tcPr>
            <w:tcW w:w="3081" w:type="dxa"/>
          </w:tcPr>
          <w:p w:rsidR="0065217B" w:rsidRDefault="0065217B" w:rsidP="0065217B">
            <w:pPr>
              <w:spacing w:before="40" w:after="40" w:line="273" w:lineRule="auto"/>
              <w:ind w:left="189"/>
              <w:jc w:val="both"/>
              <w:rPr>
                <w:color w:val="000000"/>
                <w:lang w:val="id-ID"/>
              </w:rPr>
            </w:pPr>
            <w:r>
              <w:rPr>
                <w:color w:val="000000"/>
                <w:lang w:val="id-ID"/>
              </w:rPr>
              <w:t>2021 PLN Statistic</w:t>
            </w:r>
          </w:p>
        </w:tc>
      </w:tr>
      <w:tr w:rsidR="0065217B" w:rsidTr="0065217B">
        <w:trPr>
          <w:trHeight w:val="373"/>
        </w:trPr>
        <w:tc>
          <w:tcPr>
            <w:tcW w:w="2618" w:type="dxa"/>
            <w:vAlign w:val="center"/>
          </w:tcPr>
          <w:p w:rsidR="0065217B" w:rsidRDefault="0065217B" w:rsidP="002C52DB">
            <w:pPr>
              <w:spacing w:before="40" w:after="40" w:line="273" w:lineRule="auto"/>
              <w:ind w:left="131"/>
              <w:rPr>
                <w:color w:val="000000"/>
                <w:lang w:val="id-ID"/>
              </w:rPr>
            </w:pPr>
            <w:r>
              <w:rPr>
                <w:color w:val="000000"/>
                <w:lang w:val="id-ID"/>
              </w:rPr>
              <w:t>Energy sell from non household sector</w:t>
            </w:r>
          </w:p>
        </w:tc>
        <w:tc>
          <w:tcPr>
            <w:tcW w:w="2001" w:type="dxa"/>
          </w:tcPr>
          <w:p w:rsidR="0065217B" w:rsidRPr="00657263" w:rsidRDefault="0065217B" w:rsidP="00657263">
            <w:pPr>
              <w:spacing w:before="40" w:after="40" w:line="273" w:lineRule="auto"/>
              <w:jc w:val="center"/>
              <w:rPr>
                <w:color w:val="000000"/>
                <w:lang w:val="id-ID"/>
              </w:rPr>
            </w:pPr>
            <w:r w:rsidRPr="00657263">
              <w:rPr>
                <w:color w:val="000000"/>
                <w:lang w:val="id-ID"/>
              </w:rPr>
              <w:t>146.14</w:t>
            </w:r>
          </w:p>
        </w:tc>
        <w:tc>
          <w:tcPr>
            <w:tcW w:w="921" w:type="dxa"/>
          </w:tcPr>
          <w:p w:rsidR="0065217B" w:rsidRDefault="0065217B" w:rsidP="00A04B47">
            <w:pPr>
              <w:spacing w:before="40" w:after="40" w:line="273" w:lineRule="auto"/>
              <w:jc w:val="center"/>
              <w:rPr>
                <w:color w:val="000000"/>
                <w:lang w:val="id-ID"/>
              </w:rPr>
            </w:pPr>
            <w:r>
              <w:rPr>
                <w:color w:val="000000"/>
                <w:lang w:val="id-ID"/>
              </w:rPr>
              <w:t>GWh</w:t>
            </w:r>
          </w:p>
        </w:tc>
        <w:tc>
          <w:tcPr>
            <w:tcW w:w="3081" w:type="dxa"/>
          </w:tcPr>
          <w:p w:rsidR="0065217B" w:rsidRDefault="0065217B" w:rsidP="0065217B">
            <w:pPr>
              <w:spacing w:before="40" w:after="40" w:line="273" w:lineRule="auto"/>
              <w:ind w:left="189"/>
              <w:jc w:val="both"/>
              <w:rPr>
                <w:color w:val="000000"/>
                <w:lang w:val="id-ID"/>
              </w:rPr>
            </w:pPr>
            <w:r>
              <w:rPr>
                <w:color w:val="000000"/>
                <w:lang w:val="id-ID"/>
              </w:rPr>
              <w:t>2010 Electricity Statistic</w:t>
            </w:r>
          </w:p>
        </w:tc>
      </w:tr>
      <w:tr w:rsidR="0065217B" w:rsidTr="0065217B">
        <w:trPr>
          <w:trHeight w:val="373"/>
        </w:trPr>
        <w:tc>
          <w:tcPr>
            <w:tcW w:w="2618" w:type="dxa"/>
            <w:vAlign w:val="center"/>
          </w:tcPr>
          <w:p w:rsidR="0065217B" w:rsidRDefault="0065217B" w:rsidP="002C52DB">
            <w:pPr>
              <w:spacing w:before="40" w:after="40" w:line="273" w:lineRule="auto"/>
              <w:ind w:left="131"/>
              <w:rPr>
                <w:color w:val="000000"/>
                <w:lang w:val="id-ID"/>
              </w:rPr>
            </w:pPr>
            <w:r>
              <w:rPr>
                <w:color w:val="000000"/>
                <w:lang w:val="id-ID"/>
              </w:rPr>
              <w:t>Household costumer</w:t>
            </w:r>
          </w:p>
        </w:tc>
        <w:tc>
          <w:tcPr>
            <w:tcW w:w="2001" w:type="dxa"/>
          </w:tcPr>
          <w:p w:rsidR="0065217B" w:rsidRPr="00657263" w:rsidRDefault="0065217B" w:rsidP="00657263">
            <w:pPr>
              <w:spacing w:before="40" w:after="40" w:line="273" w:lineRule="auto"/>
              <w:ind w:left="131"/>
              <w:jc w:val="center"/>
              <w:rPr>
                <w:color w:val="000000"/>
                <w:lang w:val="id-ID"/>
              </w:rPr>
            </w:pPr>
            <w:r w:rsidRPr="00657263">
              <w:rPr>
                <w:color w:val="000000"/>
                <w:lang w:val="id-ID"/>
              </w:rPr>
              <w:t>77,333</w:t>
            </w:r>
          </w:p>
        </w:tc>
        <w:tc>
          <w:tcPr>
            <w:tcW w:w="921" w:type="dxa"/>
          </w:tcPr>
          <w:p w:rsidR="0065217B" w:rsidRDefault="0065217B" w:rsidP="00A04B47">
            <w:pPr>
              <w:spacing w:before="40" w:after="40" w:line="273" w:lineRule="auto"/>
              <w:jc w:val="center"/>
              <w:rPr>
                <w:color w:val="000000"/>
                <w:lang w:val="id-ID"/>
              </w:rPr>
            </w:pPr>
            <w:r>
              <w:rPr>
                <w:color w:val="000000"/>
                <w:lang w:val="id-ID"/>
              </w:rPr>
              <w:t>Customer</w:t>
            </w:r>
          </w:p>
        </w:tc>
        <w:tc>
          <w:tcPr>
            <w:tcW w:w="3081" w:type="dxa"/>
          </w:tcPr>
          <w:p w:rsidR="0065217B" w:rsidRDefault="0065217B" w:rsidP="0065217B">
            <w:pPr>
              <w:spacing w:before="40" w:after="40" w:line="273" w:lineRule="auto"/>
              <w:ind w:left="189"/>
              <w:jc w:val="both"/>
              <w:rPr>
                <w:color w:val="000000"/>
                <w:lang w:val="id-ID"/>
              </w:rPr>
            </w:pPr>
            <w:r>
              <w:rPr>
                <w:color w:val="000000"/>
                <w:lang w:val="id-ID"/>
              </w:rPr>
              <w:t>2010 Electricity Statistic</w:t>
            </w:r>
          </w:p>
        </w:tc>
      </w:tr>
      <w:tr w:rsidR="0065217B" w:rsidTr="0065217B">
        <w:trPr>
          <w:trHeight w:val="373"/>
        </w:trPr>
        <w:tc>
          <w:tcPr>
            <w:tcW w:w="2618" w:type="dxa"/>
            <w:vAlign w:val="center"/>
          </w:tcPr>
          <w:p w:rsidR="0065217B" w:rsidRDefault="0065217B" w:rsidP="002C52DB">
            <w:pPr>
              <w:spacing w:before="40" w:after="40" w:line="273" w:lineRule="auto"/>
              <w:ind w:left="131"/>
              <w:rPr>
                <w:color w:val="000000"/>
                <w:lang w:val="id-ID"/>
              </w:rPr>
            </w:pPr>
            <w:r>
              <w:rPr>
                <w:color w:val="000000"/>
                <w:lang w:val="id-ID"/>
              </w:rPr>
              <w:t>Total household</w:t>
            </w:r>
          </w:p>
        </w:tc>
        <w:tc>
          <w:tcPr>
            <w:tcW w:w="2001" w:type="dxa"/>
          </w:tcPr>
          <w:p w:rsidR="0065217B" w:rsidRPr="00657263" w:rsidRDefault="0065217B" w:rsidP="00657263">
            <w:pPr>
              <w:spacing w:before="40" w:after="40" w:line="273" w:lineRule="auto"/>
              <w:ind w:left="131"/>
              <w:jc w:val="center"/>
              <w:rPr>
                <w:color w:val="000000"/>
                <w:lang w:val="id-ID"/>
              </w:rPr>
            </w:pPr>
            <w:r w:rsidRPr="00657263">
              <w:rPr>
                <w:color w:val="000000"/>
                <w:lang w:val="id-ID"/>
              </w:rPr>
              <w:t>184,600</w:t>
            </w:r>
          </w:p>
        </w:tc>
        <w:tc>
          <w:tcPr>
            <w:tcW w:w="921" w:type="dxa"/>
          </w:tcPr>
          <w:p w:rsidR="0065217B" w:rsidRDefault="0065217B" w:rsidP="00A04B47">
            <w:pPr>
              <w:spacing w:before="40" w:after="40" w:line="273" w:lineRule="auto"/>
              <w:jc w:val="center"/>
              <w:rPr>
                <w:color w:val="000000"/>
                <w:lang w:val="id-ID"/>
              </w:rPr>
            </w:pPr>
            <w:r>
              <w:rPr>
                <w:color w:val="000000"/>
                <w:lang w:val="id-ID"/>
              </w:rPr>
              <w:t>Household</w:t>
            </w:r>
          </w:p>
        </w:tc>
        <w:tc>
          <w:tcPr>
            <w:tcW w:w="3081" w:type="dxa"/>
          </w:tcPr>
          <w:p w:rsidR="0065217B" w:rsidRDefault="0065217B" w:rsidP="0065217B">
            <w:pPr>
              <w:spacing w:before="40" w:after="40" w:line="273" w:lineRule="auto"/>
              <w:ind w:left="189"/>
              <w:jc w:val="both"/>
              <w:rPr>
                <w:color w:val="000000"/>
                <w:lang w:val="id-ID"/>
              </w:rPr>
            </w:pPr>
            <w:r>
              <w:rPr>
                <w:color w:val="000000"/>
                <w:lang w:val="id-ID"/>
              </w:rPr>
              <w:t>2010 Electricity Statistic</w:t>
            </w:r>
          </w:p>
        </w:tc>
      </w:tr>
      <w:tr w:rsidR="0065217B" w:rsidTr="0065217B">
        <w:trPr>
          <w:trHeight w:val="373"/>
        </w:trPr>
        <w:tc>
          <w:tcPr>
            <w:tcW w:w="2618" w:type="dxa"/>
            <w:tcBorders>
              <w:bottom w:val="single" w:sz="4" w:space="0" w:color="auto"/>
            </w:tcBorders>
            <w:vAlign w:val="center"/>
          </w:tcPr>
          <w:p w:rsidR="0065217B" w:rsidRDefault="0065217B" w:rsidP="002C52DB">
            <w:pPr>
              <w:spacing w:before="40" w:after="40" w:line="273" w:lineRule="auto"/>
              <w:ind w:left="131"/>
              <w:rPr>
                <w:color w:val="000000"/>
                <w:lang w:val="id-ID"/>
              </w:rPr>
            </w:pPr>
            <w:r>
              <w:rPr>
                <w:color w:val="000000"/>
                <w:lang w:val="id-ID"/>
              </w:rPr>
              <w:t>Population</w:t>
            </w:r>
          </w:p>
        </w:tc>
        <w:tc>
          <w:tcPr>
            <w:tcW w:w="2001" w:type="dxa"/>
            <w:tcBorders>
              <w:bottom w:val="single" w:sz="4" w:space="0" w:color="auto"/>
            </w:tcBorders>
          </w:tcPr>
          <w:p w:rsidR="0065217B" w:rsidRPr="00657263" w:rsidRDefault="0065217B" w:rsidP="00657263">
            <w:pPr>
              <w:spacing w:before="40" w:after="40" w:line="273" w:lineRule="auto"/>
              <w:ind w:left="131"/>
              <w:jc w:val="center"/>
              <w:rPr>
                <w:color w:val="000000"/>
                <w:lang w:val="id-ID"/>
              </w:rPr>
            </w:pPr>
            <w:r w:rsidRPr="00657263">
              <w:rPr>
                <w:color w:val="000000"/>
                <w:lang w:val="id-ID"/>
              </w:rPr>
              <w:t>757,700</w:t>
            </w:r>
          </w:p>
        </w:tc>
        <w:tc>
          <w:tcPr>
            <w:tcW w:w="921" w:type="dxa"/>
            <w:tcBorders>
              <w:bottom w:val="single" w:sz="4" w:space="0" w:color="auto"/>
            </w:tcBorders>
          </w:tcPr>
          <w:p w:rsidR="0065217B" w:rsidRDefault="0065217B" w:rsidP="00A04B47">
            <w:pPr>
              <w:spacing w:before="40" w:after="40" w:line="273" w:lineRule="auto"/>
              <w:jc w:val="center"/>
              <w:rPr>
                <w:color w:val="000000"/>
                <w:lang w:val="id-ID"/>
              </w:rPr>
            </w:pPr>
            <w:r>
              <w:rPr>
                <w:color w:val="000000"/>
                <w:lang w:val="id-ID"/>
              </w:rPr>
              <w:t>Person</w:t>
            </w:r>
          </w:p>
        </w:tc>
        <w:tc>
          <w:tcPr>
            <w:tcW w:w="3081" w:type="dxa"/>
            <w:tcBorders>
              <w:bottom w:val="single" w:sz="4" w:space="0" w:color="auto"/>
            </w:tcBorders>
          </w:tcPr>
          <w:p w:rsidR="0065217B" w:rsidRDefault="0065217B" w:rsidP="0065217B">
            <w:pPr>
              <w:spacing w:before="40" w:after="40" w:line="273" w:lineRule="auto"/>
              <w:ind w:left="189"/>
              <w:jc w:val="both"/>
              <w:rPr>
                <w:color w:val="000000"/>
                <w:lang w:val="id-ID"/>
              </w:rPr>
            </w:pPr>
            <w:r>
              <w:rPr>
                <w:color w:val="000000"/>
                <w:lang w:val="id-ID"/>
              </w:rPr>
              <w:t>2010 West Papua in Number</w:t>
            </w:r>
          </w:p>
        </w:tc>
      </w:tr>
    </w:tbl>
    <w:p w:rsidR="002C52DB" w:rsidRDefault="002C52DB"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121FF6" w:rsidRPr="00121FF6" w:rsidRDefault="00121FF6" w:rsidP="00121FF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121FF6">
        <w:rPr>
          <w:rFonts w:ascii="Times New Roman" w:eastAsia="Times New Roman" w:hAnsi="Times New Roman" w:cs="Times New Roman"/>
          <w:color w:val="000000"/>
          <w:lang w:val="id-ID"/>
        </w:rPr>
        <w:t>In system dynamics modeling, the designed model will be made upon the natural world, and then the availability of data becomes a crucial issue. For this condition, several assumptions will play essential roles in overcoming the lack of data in modeling.  The list of assumptions made for the energy demand model is given as follows.</w:t>
      </w:r>
    </w:p>
    <w:p w:rsidR="00DF4120" w:rsidRPr="00DF4120" w:rsidRDefault="00DF4120" w:rsidP="00DF4120">
      <w:pPr>
        <w:pStyle w:val="ListParagraph"/>
        <w:numPr>
          <w:ilvl w:val="0"/>
          <w:numId w:val="6"/>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DF4120">
        <w:rPr>
          <w:rFonts w:ascii="Times New Roman" w:eastAsia="Times New Roman" w:hAnsi="Times New Roman" w:cs="Times New Roman"/>
          <w:color w:val="000000"/>
          <w:lang w:val="id-ID"/>
        </w:rPr>
        <w:t>The excess generation capacity is the unused capacity of the system.</w:t>
      </w:r>
    </w:p>
    <w:p w:rsidR="00DF4120" w:rsidRDefault="00121FF6" w:rsidP="00121FF6">
      <w:pPr>
        <w:pStyle w:val="ListParagraph"/>
        <w:numPr>
          <w:ilvl w:val="0"/>
          <w:numId w:val="6"/>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121FF6">
        <w:rPr>
          <w:rFonts w:ascii="Times New Roman" w:eastAsia="Times New Roman" w:hAnsi="Times New Roman" w:cs="Times New Roman"/>
          <w:color w:val="000000"/>
          <w:lang w:val="id-ID"/>
        </w:rPr>
        <w:t>Others energy rate sale is the energy sell from the household sector, industrial sector, commercial sector, and public/social sector</w:t>
      </w:r>
      <w:r w:rsidR="006007D6" w:rsidRPr="006007D6">
        <w:rPr>
          <w:rFonts w:ascii="Times New Roman" w:eastAsia="Times New Roman" w:hAnsi="Times New Roman" w:cs="Times New Roman"/>
          <w:color w:val="000000"/>
          <w:lang w:val="id-ID"/>
        </w:rPr>
        <w:t>.</w:t>
      </w:r>
    </w:p>
    <w:p w:rsidR="006007D6" w:rsidRDefault="00121FF6" w:rsidP="00121FF6">
      <w:pPr>
        <w:pStyle w:val="ListParagraph"/>
        <w:numPr>
          <w:ilvl w:val="0"/>
          <w:numId w:val="6"/>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121FF6">
        <w:rPr>
          <w:rFonts w:ascii="Times New Roman" w:eastAsia="Times New Roman" w:hAnsi="Times New Roman" w:cs="Times New Roman"/>
          <w:color w:val="000000"/>
          <w:lang w:val="id-ID"/>
        </w:rPr>
        <w:t>Electrification ratio is the ratio between the number of households and the number of electricity customers</w:t>
      </w:r>
      <w:r w:rsidR="006007D6">
        <w:rPr>
          <w:rFonts w:ascii="Times New Roman" w:eastAsia="Times New Roman" w:hAnsi="Times New Roman" w:cs="Times New Roman"/>
          <w:color w:val="000000"/>
          <w:lang w:val="id-ID"/>
        </w:rPr>
        <w:t>.</w:t>
      </w:r>
    </w:p>
    <w:p w:rsidR="006007D6" w:rsidRDefault="006007D6" w:rsidP="00DF4120">
      <w:pPr>
        <w:pStyle w:val="ListParagraph"/>
        <w:numPr>
          <w:ilvl w:val="0"/>
          <w:numId w:val="6"/>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Average energy usage is the average of energy usage in households in a year.</w:t>
      </w:r>
    </w:p>
    <w:p w:rsidR="00DF4120" w:rsidRPr="00DF4120" w:rsidRDefault="00DF4120" w:rsidP="00DF4120">
      <w:pPr>
        <w:pStyle w:val="ListParagraph"/>
        <w:numPr>
          <w:ilvl w:val="0"/>
          <w:numId w:val="6"/>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DF4120">
        <w:rPr>
          <w:rFonts w:ascii="Times New Roman" w:eastAsia="Times New Roman" w:hAnsi="Times New Roman" w:cs="Times New Roman"/>
          <w:color w:val="000000"/>
          <w:lang w:val="id-ID"/>
        </w:rPr>
        <w:t xml:space="preserve">Installing generation capacity is remain constant  </w:t>
      </w:r>
      <w:r w:rsidR="006007D6">
        <w:rPr>
          <w:rFonts w:ascii="Times New Roman" w:eastAsia="Times New Roman" w:hAnsi="Times New Roman" w:cs="Times New Roman"/>
          <w:color w:val="000000"/>
          <w:lang w:val="id-ID"/>
        </w:rPr>
        <w:t xml:space="preserve">about </w:t>
      </w:r>
      <w:r w:rsidRPr="00DF4120">
        <w:rPr>
          <w:rFonts w:ascii="Times New Roman" w:eastAsia="Times New Roman" w:hAnsi="Times New Roman" w:cs="Times New Roman"/>
          <w:color w:val="000000"/>
          <w:lang w:val="id-ID"/>
        </w:rPr>
        <w:t>459.55 MW</w:t>
      </w:r>
      <w:r w:rsidR="006007D6">
        <w:rPr>
          <w:rFonts w:ascii="Times New Roman" w:eastAsia="Times New Roman" w:hAnsi="Times New Roman" w:cs="Times New Roman"/>
          <w:color w:val="000000"/>
          <w:lang w:val="id-ID"/>
        </w:rPr>
        <w:t xml:space="preserve"> in 2021</w:t>
      </w:r>
      <w:r w:rsidRPr="00DF4120">
        <w:rPr>
          <w:rFonts w:ascii="Times New Roman" w:eastAsia="Times New Roman" w:hAnsi="Times New Roman" w:cs="Times New Roman"/>
          <w:color w:val="000000"/>
          <w:lang w:val="id-ID"/>
        </w:rPr>
        <w:t>.</w:t>
      </w:r>
    </w:p>
    <w:p w:rsidR="00DF4120" w:rsidRDefault="00DF4120" w:rsidP="006521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65217B" w:rsidRDefault="0065217B" w:rsidP="006521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65217B" w:rsidRPr="006F29F6" w:rsidRDefault="0065217B" w:rsidP="006521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6021E8" w:rsidRDefault="008B1558" w:rsidP="00A7576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lang w:val="id-ID"/>
        </w:rPr>
      </w:pPr>
      <w:r>
        <w:rPr>
          <w:rFonts w:ascii="Times New Roman" w:eastAsia="Times New Roman" w:hAnsi="Times New Roman" w:cs="Times New Roman"/>
          <w:noProof/>
          <w:color w:val="000000"/>
          <w:lang w:val="id-ID"/>
        </w:rPr>
        <w:lastRenderedPageBreak/>
        <w:drawing>
          <wp:inline distT="0" distB="0" distL="0" distR="0" wp14:anchorId="4188AF25" wp14:editId="33B3F9C8">
            <wp:extent cx="3967701" cy="25427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7814" cy="2542796"/>
                    </a:xfrm>
                    <a:prstGeom prst="rect">
                      <a:avLst/>
                    </a:prstGeom>
                    <a:noFill/>
                    <a:ln>
                      <a:noFill/>
                    </a:ln>
                  </pic:spPr>
                </pic:pic>
              </a:graphicData>
            </a:graphic>
          </wp:inline>
        </w:drawing>
      </w:r>
    </w:p>
    <w:p w:rsidR="00A7576E" w:rsidRPr="00A7576E" w:rsidRDefault="00A7576E" w:rsidP="00A7576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lang w:val="id-ID"/>
        </w:rPr>
      </w:pPr>
      <w:proofErr w:type="gramStart"/>
      <w:r>
        <w:rPr>
          <w:rFonts w:ascii="Times New Roman" w:eastAsia="Times New Roman" w:hAnsi="Times New Roman" w:cs="Times New Roman"/>
          <w:b/>
          <w:color w:val="000000"/>
        </w:rPr>
        <w:t>Figure 1.</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lang w:val="id-ID"/>
        </w:rPr>
        <w:t>SFD diagram</w:t>
      </w:r>
    </w:p>
    <w:p w:rsidR="00A7576E" w:rsidRPr="00A7576E" w:rsidRDefault="00A7576E" w:rsidP="00A7576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lang w:val="id-ID"/>
        </w:rPr>
      </w:pPr>
    </w:p>
    <w:p w:rsidR="00834536" w:rsidRDefault="00834536"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sidRPr="00356EA1">
        <w:rPr>
          <w:rFonts w:ascii="Times New Roman" w:eastAsia="Times New Roman" w:hAnsi="Times New Roman" w:cs="Times New Roman"/>
          <w:i/>
          <w:color w:val="000000"/>
        </w:rPr>
        <w:t>.</w:t>
      </w:r>
      <w:r>
        <w:rPr>
          <w:rFonts w:ascii="Times New Roman" w:eastAsia="Times New Roman" w:hAnsi="Times New Roman" w:cs="Times New Roman"/>
          <w:i/>
          <w:color w:val="000000"/>
        </w:rPr>
        <w:t>2</w:t>
      </w:r>
      <w:r w:rsidRPr="00356EA1">
        <w:rPr>
          <w:rFonts w:ascii="Times New Roman" w:eastAsia="Times New Roman" w:hAnsi="Times New Roman" w:cs="Times New Roman"/>
          <w:i/>
          <w:color w:val="000000"/>
        </w:rPr>
        <w:t xml:space="preserve">. </w:t>
      </w:r>
      <w:r w:rsidR="0032321A">
        <w:rPr>
          <w:rFonts w:ascii="Times New Roman" w:eastAsia="Times New Roman" w:hAnsi="Times New Roman" w:cs="Times New Roman"/>
          <w:i/>
          <w:color w:val="000000"/>
        </w:rPr>
        <w:t>Simulation and analysis</w:t>
      </w:r>
    </w:p>
    <w:p w:rsidR="00A7576E" w:rsidRDefault="00121FF6"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121FF6">
        <w:rPr>
          <w:rFonts w:ascii="Times New Roman" w:eastAsia="Times New Roman" w:hAnsi="Times New Roman" w:cs="Times New Roman"/>
          <w:color w:val="000000"/>
          <w:lang w:val="id-ID"/>
        </w:rPr>
        <w:t>Base on the model shown in Figure 1, the simulation is running under scenarios designed previously. The result is shown in Figure 2-4</w:t>
      </w:r>
      <w:r w:rsidR="006F29F6">
        <w:rPr>
          <w:rFonts w:ascii="Times New Roman" w:eastAsia="Times New Roman" w:hAnsi="Times New Roman" w:cs="Times New Roman"/>
          <w:color w:val="000000"/>
          <w:lang w:val="id-ID"/>
        </w:rPr>
        <w:t>.</w:t>
      </w:r>
    </w:p>
    <w:p w:rsidR="006021E8" w:rsidRDefault="008B1558"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Pr>
          <w:rFonts w:ascii="Times New Roman" w:eastAsia="Times New Roman" w:hAnsi="Times New Roman" w:cs="Times New Roman"/>
          <w:noProof/>
          <w:color w:val="000000"/>
          <w:lang w:val="id-ID"/>
        </w:rPr>
        <w:drawing>
          <wp:inline distT="0" distB="0" distL="0" distR="0" wp14:anchorId="1A82313F" wp14:editId="0FA7EB39">
            <wp:extent cx="5756910" cy="12884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1288415"/>
                    </a:xfrm>
                    <a:prstGeom prst="rect">
                      <a:avLst/>
                    </a:prstGeom>
                    <a:noFill/>
                    <a:ln>
                      <a:noFill/>
                    </a:ln>
                  </pic:spPr>
                </pic:pic>
              </a:graphicData>
            </a:graphic>
          </wp:inline>
        </w:drawing>
      </w:r>
    </w:p>
    <w:p w:rsidR="00A7576E" w:rsidRPr="00A7576E" w:rsidRDefault="00A7576E" w:rsidP="00A7576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lang w:val="id-ID"/>
        </w:rPr>
      </w:pPr>
      <w:proofErr w:type="gramStart"/>
      <w:r>
        <w:rPr>
          <w:rFonts w:ascii="Times New Roman" w:eastAsia="Times New Roman" w:hAnsi="Times New Roman" w:cs="Times New Roman"/>
          <w:b/>
          <w:color w:val="000000"/>
        </w:rPr>
        <w:t xml:space="preserve">Figure </w:t>
      </w:r>
      <w:r>
        <w:rPr>
          <w:rFonts w:ascii="Times New Roman" w:eastAsia="Times New Roman" w:hAnsi="Times New Roman" w:cs="Times New Roman"/>
          <w:b/>
          <w:color w:val="000000"/>
          <w:lang w:val="id-ID"/>
        </w:rPr>
        <w:t>2</w:t>
      </w:r>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lang w:val="id-ID"/>
        </w:rPr>
        <w:t>BAU simulation</w:t>
      </w:r>
    </w:p>
    <w:p w:rsidR="006F29F6" w:rsidRDefault="006F29F6" w:rsidP="006F29F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6F29F6" w:rsidRPr="00834536" w:rsidRDefault="00121FF6" w:rsidP="006F29F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121FF6">
        <w:rPr>
          <w:rFonts w:ascii="Times New Roman" w:eastAsia="Times New Roman" w:hAnsi="Times New Roman" w:cs="Times New Roman"/>
          <w:color w:val="000000"/>
          <w:lang w:val="id-ID"/>
        </w:rPr>
        <w:t>It can be seen from Figure 2 that typically, in Business as Usual (BAU), the increase of population is also followed by the number of customers from the household sector. It is also shown that energy usage from other sectors, including industrial, commercial, and public sectors, is growing, but the household sector has dominated it. On the other hand, the total energy demand in 2050 is about 3741.87 GWh, supplied by 427.15 MW installed generation units. Therefore the excess generation capacity is still available for all sectors in West Papua Province, which are degraded from 381.15 MW in 2020 to 17.60 in 2050</w:t>
      </w:r>
      <w:r w:rsidR="00952056">
        <w:rPr>
          <w:rFonts w:ascii="Times New Roman" w:eastAsia="Times New Roman" w:hAnsi="Times New Roman" w:cs="Times New Roman"/>
          <w:color w:val="000000"/>
          <w:lang w:val="id-ID"/>
        </w:rPr>
        <w:t xml:space="preserve">. </w:t>
      </w:r>
    </w:p>
    <w:p w:rsidR="00A7576E" w:rsidRPr="00A7576E" w:rsidRDefault="00A7576E"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6021E8" w:rsidRDefault="00B00B39"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Pr>
          <w:rFonts w:ascii="Times New Roman" w:eastAsia="Times New Roman" w:hAnsi="Times New Roman" w:cs="Times New Roman"/>
          <w:noProof/>
          <w:color w:val="000000"/>
          <w:lang w:val="id-ID"/>
        </w:rPr>
        <w:drawing>
          <wp:inline distT="0" distB="0" distL="0" distR="0" wp14:anchorId="37F79910" wp14:editId="30B7CCDC">
            <wp:extent cx="5756910" cy="1296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1296035"/>
                    </a:xfrm>
                    <a:prstGeom prst="rect">
                      <a:avLst/>
                    </a:prstGeom>
                    <a:noFill/>
                    <a:ln>
                      <a:noFill/>
                    </a:ln>
                  </pic:spPr>
                </pic:pic>
              </a:graphicData>
            </a:graphic>
          </wp:inline>
        </w:drawing>
      </w:r>
    </w:p>
    <w:p w:rsidR="00A7576E" w:rsidRDefault="00A7576E" w:rsidP="00A7576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lang w:val="id-ID"/>
        </w:rPr>
      </w:pPr>
      <w:proofErr w:type="gramStart"/>
      <w:r>
        <w:rPr>
          <w:rFonts w:ascii="Times New Roman" w:eastAsia="Times New Roman" w:hAnsi="Times New Roman" w:cs="Times New Roman"/>
          <w:b/>
          <w:color w:val="000000"/>
        </w:rPr>
        <w:t xml:space="preserve">Figure </w:t>
      </w:r>
      <w:r>
        <w:rPr>
          <w:rFonts w:ascii="Times New Roman" w:eastAsia="Times New Roman" w:hAnsi="Times New Roman" w:cs="Times New Roman"/>
          <w:b/>
          <w:color w:val="000000"/>
          <w:lang w:val="id-ID"/>
        </w:rPr>
        <w:t>3</w:t>
      </w:r>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lang w:val="id-ID"/>
        </w:rPr>
        <w:t xml:space="preserve">Scenario </w:t>
      </w:r>
      <w:r w:rsidR="00952056">
        <w:rPr>
          <w:rFonts w:ascii="Times New Roman" w:eastAsia="Times New Roman" w:hAnsi="Times New Roman" w:cs="Times New Roman"/>
          <w:color w:val="000000"/>
          <w:lang w:val="id-ID"/>
        </w:rPr>
        <w:t>1</w:t>
      </w:r>
      <w:r>
        <w:rPr>
          <w:rFonts w:ascii="Times New Roman" w:eastAsia="Times New Roman" w:hAnsi="Times New Roman" w:cs="Times New Roman"/>
          <w:color w:val="000000"/>
          <w:lang w:val="id-ID"/>
        </w:rPr>
        <w:t xml:space="preserve"> simulation</w:t>
      </w:r>
    </w:p>
    <w:p w:rsidR="00DD649A" w:rsidRDefault="00DD649A" w:rsidP="0095205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952056" w:rsidRPr="00834536" w:rsidRDefault="00121FF6" w:rsidP="0095205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121FF6">
        <w:rPr>
          <w:rFonts w:ascii="Times New Roman" w:eastAsia="Times New Roman" w:hAnsi="Times New Roman" w:cs="Times New Roman"/>
          <w:color w:val="000000"/>
          <w:lang w:val="id-ID"/>
        </w:rPr>
        <w:t xml:space="preserve">Under scenario 1, the population is assumed to grow twice faster than the rate in the BAU condition, and its simulation result is plotted in Figure 3. Figure 3 shows that although the population increases, </w:t>
      </w:r>
      <w:r w:rsidRPr="00121FF6">
        <w:rPr>
          <w:rFonts w:ascii="Times New Roman" w:eastAsia="Times New Roman" w:hAnsi="Times New Roman" w:cs="Times New Roman"/>
          <w:color w:val="000000"/>
          <w:lang w:val="id-ID"/>
        </w:rPr>
        <w:lastRenderedPageBreak/>
        <w:t>the costumer from the household sector only a little higher compared to the BAU, which is 1391249 of BAU and 2190731 of scenario 1 in 2050. As the population increased, the energy usage in the household sector is far leading the other sector. So the generator capacity may not be enough for the people in this province in 2043. This lack is due to the increasing energy demand, which is reached 5012.09 GWh</w:t>
      </w:r>
      <w:r w:rsidR="000D148F">
        <w:rPr>
          <w:rFonts w:ascii="Times New Roman" w:eastAsia="Times New Roman" w:hAnsi="Times New Roman" w:cs="Times New Roman"/>
          <w:color w:val="000000"/>
          <w:lang w:val="id-ID"/>
        </w:rPr>
        <w:t>.</w:t>
      </w:r>
    </w:p>
    <w:p w:rsidR="00A7576E" w:rsidRPr="00A7576E" w:rsidRDefault="00A7576E"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6021E8" w:rsidRDefault="00B00B39"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Pr>
          <w:rFonts w:ascii="Times New Roman" w:eastAsia="Times New Roman" w:hAnsi="Times New Roman" w:cs="Times New Roman"/>
          <w:noProof/>
          <w:color w:val="000000"/>
          <w:lang w:val="id-ID"/>
        </w:rPr>
        <w:drawing>
          <wp:inline distT="0" distB="0" distL="0" distR="0" wp14:anchorId="163AE9CB" wp14:editId="6D27CA5D">
            <wp:extent cx="5756910" cy="1296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1296035"/>
                    </a:xfrm>
                    <a:prstGeom prst="rect">
                      <a:avLst/>
                    </a:prstGeom>
                    <a:noFill/>
                    <a:ln>
                      <a:noFill/>
                    </a:ln>
                  </pic:spPr>
                </pic:pic>
              </a:graphicData>
            </a:graphic>
          </wp:inline>
        </w:drawing>
      </w:r>
    </w:p>
    <w:p w:rsidR="00A7576E" w:rsidRDefault="00A7576E" w:rsidP="00A7576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lang w:val="id-ID"/>
        </w:rPr>
      </w:pPr>
      <w:proofErr w:type="gramStart"/>
      <w:r>
        <w:rPr>
          <w:rFonts w:ascii="Times New Roman" w:eastAsia="Times New Roman" w:hAnsi="Times New Roman" w:cs="Times New Roman"/>
          <w:b/>
          <w:color w:val="000000"/>
        </w:rPr>
        <w:t xml:space="preserve">Figure </w:t>
      </w:r>
      <w:r w:rsidR="006E4168">
        <w:rPr>
          <w:rFonts w:ascii="Times New Roman" w:eastAsia="Times New Roman" w:hAnsi="Times New Roman" w:cs="Times New Roman"/>
          <w:b/>
          <w:color w:val="000000"/>
          <w:lang w:val="id-ID"/>
        </w:rPr>
        <w:t>4</w:t>
      </w:r>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lang w:val="id-ID"/>
        </w:rPr>
        <w:t>Scenario 2 simulation</w:t>
      </w:r>
    </w:p>
    <w:p w:rsidR="006E4168" w:rsidRPr="00834536" w:rsidRDefault="00121FF6" w:rsidP="006E416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121FF6">
        <w:rPr>
          <w:rFonts w:ascii="Times New Roman" w:eastAsia="Times New Roman" w:hAnsi="Times New Roman" w:cs="Times New Roman"/>
          <w:color w:val="000000"/>
          <w:lang w:val="id-ID"/>
        </w:rPr>
        <w:t>In scenario 2, it is assumed that the population is growing 200%, as same as scenario 1. Additionally, the energy from other sectors is supposed to increase by 150%. The result of the simulation is given in Figure 4. In this figure, energy usage from other sectors is within the close of the household sector; then, it becomes the forefront in 2047. On the other hand, this scenario shows that people in this province may not get enough electricity by 2043. The generation may not support the demand because of the lack of generation capacity. It is seen from the energy demand, which is reached 7406.98 GWh in 2050. Therefore installing generation capacities has to be risen to fulfill the demand. Overall simulation shows that the electrification ratio may be reached in 2022 as it now reaches 99.98% in actual condition</w:t>
      </w:r>
      <w:r w:rsidR="00986641">
        <w:rPr>
          <w:rFonts w:ascii="Times New Roman" w:eastAsia="Times New Roman" w:hAnsi="Times New Roman" w:cs="Times New Roman"/>
          <w:color w:val="000000"/>
          <w:lang w:val="id-ID"/>
        </w:rPr>
        <w:t>.</w:t>
      </w:r>
      <w:r w:rsidR="002C52DB">
        <w:rPr>
          <w:rFonts w:ascii="Times New Roman" w:eastAsia="Times New Roman" w:hAnsi="Times New Roman" w:cs="Times New Roman"/>
          <w:color w:val="000000"/>
          <w:lang w:val="id-ID"/>
        </w:rPr>
        <w:t xml:space="preserve"> </w:t>
      </w:r>
    </w:p>
    <w:p w:rsidR="00A7576E" w:rsidRPr="00A7576E" w:rsidRDefault="00A7576E"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834536" w:rsidRDefault="00834536"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sidRPr="00356EA1">
        <w:rPr>
          <w:rFonts w:ascii="Times New Roman" w:eastAsia="Times New Roman" w:hAnsi="Times New Roman" w:cs="Times New Roman"/>
          <w:i/>
          <w:color w:val="000000"/>
        </w:rPr>
        <w:t>.</w:t>
      </w:r>
      <w:r>
        <w:rPr>
          <w:rFonts w:ascii="Times New Roman" w:eastAsia="Times New Roman" w:hAnsi="Times New Roman" w:cs="Times New Roman"/>
          <w:i/>
          <w:color w:val="000000"/>
        </w:rPr>
        <w:t>3</w:t>
      </w:r>
      <w:r w:rsidRPr="00356EA1">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Model validation</w:t>
      </w:r>
    </w:p>
    <w:p w:rsidR="00834536" w:rsidRDefault="00121FF6"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121FF6">
        <w:rPr>
          <w:rFonts w:ascii="Times New Roman" w:eastAsia="Times New Roman" w:hAnsi="Times New Roman" w:cs="Times New Roman"/>
          <w:color w:val="000000"/>
          <w:lang w:val="id-ID"/>
        </w:rPr>
        <w:t>As previously mentioned that to get an appropriate simulation result, a precise model is required. Therefore to ensure that the model is accurate enough, the model has to be validated. Table 2 provides the number of simulations and collected data for validating the model</w:t>
      </w:r>
      <w:r w:rsidR="00314007">
        <w:rPr>
          <w:rFonts w:ascii="Times New Roman" w:eastAsia="Times New Roman" w:hAnsi="Times New Roman" w:cs="Times New Roman"/>
          <w:color w:val="000000"/>
          <w:lang w:val="id-ID"/>
        </w:rPr>
        <w:t>.</w:t>
      </w:r>
    </w:p>
    <w:p w:rsidR="004D161B" w:rsidRPr="00986641" w:rsidRDefault="004D161B"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tbl>
      <w:tblPr>
        <w:tblStyle w:val="Style43"/>
        <w:tblW w:w="8621" w:type="dxa"/>
        <w:tblInd w:w="135" w:type="dxa"/>
        <w:tblLayout w:type="fixed"/>
        <w:tblLook w:val="04A0" w:firstRow="1" w:lastRow="0" w:firstColumn="1" w:lastColumn="0" w:noHBand="0" w:noVBand="1"/>
      </w:tblPr>
      <w:tblGrid>
        <w:gridCol w:w="617"/>
        <w:gridCol w:w="963"/>
        <w:gridCol w:w="1038"/>
        <w:gridCol w:w="1002"/>
        <w:gridCol w:w="999"/>
        <w:gridCol w:w="964"/>
        <w:gridCol w:w="1037"/>
        <w:gridCol w:w="964"/>
        <w:gridCol w:w="1037"/>
      </w:tblGrid>
      <w:tr w:rsidR="00C529A3" w:rsidTr="00EE319D">
        <w:tc>
          <w:tcPr>
            <w:tcW w:w="8621" w:type="dxa"/>
            <w:gridSpan w:val="9"/>
            <w:tcBorders>
              <w:bottom w:val="single" w:sz="4" w:space="0" w:color="auto"/>
            </w:tcBorders>
            <w:hideMark/>
          </w:tcPr>
          <w:p w:rsidR="00C529A3" w:rsidRDefault="00C529A3" w:rsidP="00082B89">
            <w:pPr>
              <w:spacing w:after="120" w:line="273" w:lineRule="auto"/>
              <w:jc w:val="center"/>
              <w:rPr>
                <w:b/>
                <w:color w:val="000000"/>
                <w:sz w:val="22"/>
                <w:szCs w:val="22"/>
              </w:rPr>
            </w:pPr>
            <w:r>
              <w:rPr>
                <w:b/>
                <w:color w:val="000000"/>
              </w:rPr>
              <w:t xml:space="preserve">Table </w:t>
            </w:r>
            <w:r w:rsidR="00082B89">
              <w:rPr>
                <w:b/>
                <w:color w:val="000000"/>
                <w:lang w:val="id-ID"/>
              </w:rPr>
              <w:t>2</w:t>
            </w:r>
            <w:r>
              <w:rPr>
                <w:b/>
                <w:color w:val="000000"/>
              </w:rPr>
              <w:t>.</w:t>
            </w:r>
            <w:r>
              <w:rPr>
                <w:color w:val="000000"/>
              </w:rPr>
              <w:t xml:space="preserve"> </w:t>
            </w:r>
            <w:r w:rsidR="00986641">
              <w:rPr>
                <w:color w:val="000000"/>
                <w:lang w:val="id-ID"/>
              </w:rPr>
              <w:t>Model validation</w:t>
            </w:r>
          </w:p>
        </w:tc>
      </w:tr>
      <w:tr w:rsidR="00853EF6" w:rsidTr="00A7576E">
        <w:trPr>
          <w:trHeight w:val="373"/>
        </w:trPr>
        <w:tc>
          <w:tcPr>
            <w:tcW w:w="617" w:type="dxa"/>
            <w:vMerge w:val="restart"/>
            <w:tcBorders>
              <w:top w:val="single" w:sz="4" w:space="0" w:color="auto"/>
            </w:tcBorders>
            <w:vAlign w:val="center"/>
          </w:tcPr>
          <w:p w:rsidR="00853EF6" w:rsidRPr="00A7576E" w:rsidRDefault="00853EF6" w:rsidP="00A7576E">
            <w:pPr>
              <w:spacing w:before="40" w:after="40" w:line="273" w:lineRule="auto"/>
              <w:jc w:val="center"/>
              <w:rPr>
                <w:color w:val="000000"/>
              </w:rPr>
            </w:pPr>
            <w:r w:rsidRPr="00A7576E">
              <w:rPr>
                <w:color w:val="000000"/>
              </w:rPr>
              <w:t>Years</w:t>
            </w:r>
          </w:p>
        </w:tc>
        <w:tc>
          <w:tcPr>
            <w:tcW w:w="2001" w:type="dxa"/>
            <w:gridSpan w:val="2"/>
            <w:tcBorders>
              <w:top w:val="single" w:sz="4" w:space="0" w:color="auto"/>
              <w:bottom w:val="single" w:sz="4" w:space="0" w:color="auto"/>
            </w:tcBorders>
            <w:hideMark/>
          </w:tcPr>
          <w:p w:rsidR="00853EF6" w:rsidRPr="00A7576E" w:rsidRDefault="00853EF6" w:rsidP="00A7576E">
            <w:pPr>
              <w:spacing w:before="40" w:after="40" w:line="273" w:lineRule="auto"/>
              <w:ind w:left="131"/>
              <w:jc w:val="center"/>
              <w:rPr>
                <w:color w:val="000000"/>
                <w:lang w:val="id-ID"/>
              </w:rPr>
            </w:pPr>
            <w:r w:rsidRPr="00853EF6">
              <w:rPr>
                <w:color w:val="000000"/>
              </w:rPr>
              <w:t>Population</w:t>
            </w:r>
          </w:p>
        </w:tc>
        <w:tc>
          <w:tcPr>
            <w:tcW w:w="2001" w:type="dxa"/>
            <w:gridSpan w:val="2"/>
            <w:tcBorders>
              <w:top w:val="single" w:sz="4" w:space="0" w:color="auto"/>
              <w:bottom w:val="single" w:sz="4" w:space="0" w:color="auto"/>
            </w:tcBorders>
            <w:hideMark/>
          </w:tcPr>
          <w:p w:rsidR="00853EF6" w:rsidRPr="00A7576E" w:rsidRDefault="00314007" w:rsidP="00A7576E">
            <w:pPr>
              <w:spacing w:before="40" w:after="40" w:line="273" w:lineRule="auto"/>
              <w:ind w:left="111"/>
              <w:jc w:val="center"/>
              <w:rPr>
                <w:color w:val="000000"/>
                <w:lang w:val="id-ID"/>
              </w:rPr>
            </w:pPr>
            <w:r>
              <w:rPr>
                <w:color w:val="000000"/>
                <w:lang w:val="id-ID"/>
              </w:rPr>
              <w:t>Household</w:t>
            </w:r>
            <w:r w:rsidR="00853EF6" w:rsidRPr="00853EF6">
              <w:rPr>
                <w:color w:val="000000"/>
              </w:rPr>
              <w:t xml:space="preserve"> Customer</w:t>
            </w:r>
          </w:p>
        </w:tc>
        <w:tc>
          <w:tcPr>
            <w:tcW w:w="2001" w:type="dxa"/>
            <w:gridSpan w:val="2"/>
            <w:tcBorders>
              <w:top w:val="single" w:sz="4" w:space="0" w:color="auto"/>
              <w:bottom w:val="single" w:sz="4" w:space="0" w:color="auto"/>
            </w:tcBorders>
          </w:tcPr>
          <w:p w:rsidR="00853EF6" w:rsidRPr="00314007" w:rsidRDefault="00853EF6" w:rsidP="00314007">
            <w:pPr>
              <w:spacing w:before="40" w:after="40" w:line="273" w:lineRule="auto"/>
              <w:jc w:val="center"/>
              <w:rPr>
                <w:color w:val="000000"/>
                <w:lang w:val="id-ID"/>
              </w:rPr>
            </w:pPr>
            <w:r w:rsidRPr="00853EF6">
              <w:rPr>
                <w:color w:val="000000"/>
              </w:rPr>
              <w:t xml:space="preserve">Sum of </w:t>
            </w:r>
            <w:r w:rsidR="00314007">
              <w:rPr>
                <w:color w:val="000000"/>
                <w:lang w:val="id-ID"/>
              </w:rPr>
              <w:t>Household</w:t>
            </w:r>
          </w:p>
        </w:tc>
        <w:tc>
          <w:tcPr>
            <w:tcW w:w="2001" w:type="dxa"/>
            <w:gridSpan w:val="2"/>
            <w:tcBorders>
              <w:top w:val="single" w:sz="4" w:space="0" w:color="auto"/>
              <w:bottom w:val="single" w:sz="4" w:space="0" w:color="auto"/>
            </w:tcBorders>
            <w:hideMark/>
          </w:tcPr>
          <w:p w:rsidR="00853EF6" w:rsidRPr="00853EF6" w:rsidRDefault="00853EF6" w:rsidP="00A7576E">
            <w:pPr>
              <w:spacing w:before="40" w:after="40" w:line="273" w:lineRule="auto"/>
              <w:ind w:left="189"/>
              <w:jc w:val="center"/>
              <w:rPr>
                <w:color w:val="000000"/>
                <w:sz w:val="22"/>
                <w:szCs w:val="22"/>
              </w:rPr>
            </w:pPr>
            <w:r w:rsidRPr="00853EF6">
              <w:rPr>
                <w:color w:val="000000"/>
              </w:rPr>
              <w:t>Energy Usage</w:t>
            </w:r>
          </w:p>
        </w:tc>
      </w:tr>
      <w:tr w:rsidR="00853EF6" w:rsidTr="00EE319D">
        <w:tc>
          <w:tcPr>
            <w:tcW w:w="617" w:type="dxa"/>
            <w:vMerge/>
            <w:tcBorders>
              <w:bottom w:val="single" w:sz="4" w:space="0" w:color="auto"/>
            </w:tcBorders>
            <w:hideMark/>
          </w:tcPr>
          <w:p w:rsidR="00853EF6" w:rsidRPr="00853EF6" w:rsidRDefault="00853EF6">
            <w:pPr>
              <w:spacing w:line="273" w:lineRule="auto"/>
              <w:jc w:val="both"/>
              <w:rPr>
                <w:color w:val="000000"/>
                <w:sz w:val="22"/>
                <w:szCs w:val="22"/>
              </w:rPr>
            </w:pPr>
          </w:p>
        </w:tc>
        <w:tc>
          <w:tcPr>
            <w:tcW w:w="963" w:type="dxa"/>
            <w:tcBorders>
              <w:top w:val="single" w:sz="4" w:space="0" w:color="auto"/>
              <w:bottom w:val="single" w:sz="4" w:space="0" w:color="auto"/>
            </w:tcBorders>
            <w:hideMark/>
          </w:tcPr>
          <w:p w:rsidR="00853EF6" w:rsidRPr="00853EF6" w:rsidRDefault="00853EF6" w:rsidP="00EE319D">
            <w:pPr>
              <w:spacing w:before="40" w:after="40" w:line="273" w:lineRule="auto"/>
              <w:ind w:left="63"/>
              <w:jc w:val="center"/>
              <w:rPr>
                <w:color w:val="000000"/>
              </w:rPr>
            </w:pPr>
            <w:r w:rsidRPr="00853EF6">
              <w:rPr>
                <w:color w:val="000000"/>
              </w:rPr>
              <w:t>Simulation</w:t>
            </w:r>
          </w:p>
        </w:tc>
        <w:tc>
          <w:tcPr>
            <w:tcW w:w="1038" w:type="dxa"/>
            <w:tcBorders>
              <w:top w:val="single" w:sz="4" w:space="0" w:color="auto"/>
              <w:bottom w:val="single" w:sz="4" w:space="0" w:color="auto"/>
            </w:tcBorders>
          </w:tcPr>
          <w:p w:rsidR="00853EF6" w:rsidRPr="00853EF6" w:rsidRDefault="00853EF6" w:rsidP="00EE319D">
            <w:pPr>
              <w:spacing w:before="40" w:after="40" w:line="273" w:lineRule="auto"/>
              <w:ind w:left="131"/>
              <w:jc w:val="center"/>
              <w:rPr>
                <w:color w:val="000000"/>
              </w:rPr>
            </w:pPr>
            <w:r w:rsidRPr="00853EF6">
              <w:rPr>
                <w:color w:val="000000"/>
              </w:rPr>
              <w:t>Data</w:t>
            </w:r>
          </w:p>
        </w:tc>
        <w:tc>
          <w:tcPr>
            <w:tcW w:w="1002" w:type="dxa"/>
            <w:tcBorders>
              <w:top w:val="single" w:sz="4" w:space="0" w:color="auto"/>
              <w:bottom w:val="single" w:sz="4" w:space="0" w:color="auto"/>
            </w:tcBorders>
            <w:hideMark/>
          </w:tcPr>
          <w:p w:rsidR="00853EF6" w:rsidRPr="00853EF6" w:rsidRDefault="00853EF6" w:rsidP="00EE319D">
            <w:pPr>
              <w:spacing w:before="40" w:after="40" w:line="273" w:lineRule="auto"/>
              <w:ind w:left="63"/>
              <w:jc w:val="center"/>
              <w:rPr>
                <w:color w:val="000000"/>
              </w:rPr>
            </w:pPr>
            <w:r w:rsidRPr="00853EF6">
              <w:rPr>
                <w:color w:val="000000"/>
              </w:rPr>
              <w:t>Simulation</w:t>
            </w:r>
          </w:p>
        </w:tc>
        <w:tc>
          <w:tcPr>
            <w:tcW w:w="999" w:type="dxa"/>
            <w:tcBorders>
              <w:top w:val="single" w:sz="4" w:space="0" w:color="auto"/>
              <w:bottom w:val="single" w:sz="4" w:space="0" w:color="auto"/>
            </w:tcBorders>
          </w:tcPr>
          <w:p w:rsidR="00853EF6" w:rsidRPr="00853EF6" w:rsidRDefault="00853EF6" w:rsidP="00EE319D">
            <w:pPr>
              <w:spacing w:before="40" w:after="40" w:line="273" w:lineRule="auto"/>
              <w:ind w:left="131"/>
              <w:jc w:val="center"/>
              <w:rPr>
                <w:color w:val="000000"/>
              </w:rPr>
            </w:pPr>
            <w:r w:rsidRPr="00853EF6">
              <w:rPr>
                <w:color w:val="000000"/>
              </w:rPr>
              <w:t>Data</w:t>
            </w:r>
          </w:p>
        </w:tc>
        <w:tc>
          <w:tcPr>
            <w:tcW w:w="964" w:type="dxa"/>
            <w:tcBorders>
              <w:top w:val="single" w:sz="4" w:space="0" w:color="auto"/>
              <w:bottom w:val="single" w:sz="4" w:space="0" w:color="auto"/>
            </w:tcBorders>
          </w:tcPr>
          <w:p w:rsidR="00853EF6" w:rsidRPr="00853EF6" w:rsidRDefault="00853EF6" w:rsidP="00EE319D">
            <w:pPr>
              <w:spacing w:before="40" w:after="40" w:line="273" w:lineRule="auto"/>
              <w:ind w:left="63"/>
              <w:jc w:val="center"/>
              <w:rPr>
                <w:color w:val="000000"/>
              </w:rPr>
            </w:pPr>
            <w:r w:rsidRPr="00853EF6">
              <w:rPr>
                <w:color w:val="000000"/>
              </w:rPr>
              <w:t>Simulation</w:t>
            </w:r>
          </w:p>
        </w:tc>
        <w:tc>
          <w:tcPr>
            <w:tcW w:w="1037" w:type="dxa"/>
            <w:tcBorders>
              <w:top w:val="single" w:sz="4" w:space="0" w:color="auto"/>
              <w:bottom w:val="single" w:sz="4" w:space="0" w:color="auto"/>
            </w:tcBorders>
          </w:tcPr>
          <w:p w:rsidR="00853EF6" w:rsidRPr="00853EF6" w:rsidRDefault="00853EF6" w:rsidP="00EE319D">
            <w:pPr>
              <w:spacing w:before="40" w:after="40" w:line="273" w:lineRule="auto"/>
              <w:ind w:left="131"/>
              <w:jc w:val="center"/>
              <w:rPr>
                <w:color w:val="000000"/>
              </w:rPr>
            </w:pPr>
            <w:r w:rsidRPr="00853EF6">
              <w:rPr>
                <w:color w:val="000000"/>
              </w:rPr>
              <w:t>Data</w:t>
            </w:r>
          </w:p>
        </w:tc>
        <w:tc>
          <w:tcPr>
            <w:tcW w:w="964" w:type="dxa"/>
            <w:tcBorders>
              <w:top w:val="single" w:sz="4" w:space="0" w:color="auto"/>
              <w:bottom w:val="single" w:sz="4" w:space="0" w:color="auto"/>
            </w:tcBorders>
          </w:tcPr>
          <w:p w:rsidR="00853EF6" w:rsidRPr="00853EF6" w:rsidRDefault="00853EF6" w:rsidP="00EE319D">
            <w:pPr>
              <w:spacing w:before="40" w:after="40" w:line="273" w:lineRule="auto"/>
              <w:ind w:left="63"/>
              <w:jc w:val="center"/>
              <w:rPr>
                <w:color w:val="000000"/>
              </w:rPr>
            </w:pPr>
            <w:r w:rsidRPr="00853EF6">
              <w:rPr>
                <w:color w:val="000000"/>
              </w:rPr>
              <w:t>Simulation</w:t>
            </w:r>
          </w:p>
        </w:tc>
        <w:tc>
          <w:tcPr>
            <w:tcW w:w="1037" w:type="dxa"/>
            <w:tcBorders>
              <w:top w:val="single" w:sz="4" w:space="0" w:color="auto"/>
              <w:bottom w:val="single" w:sz="4" w:space="0" w:color="auto"/>
            </w:tcBorders>
          </w:tcPr>
          <w:p w:rsidR="00853EF6" w:rsidRPr="00853EF6" w:rsidRDefault="00853EF6" w:rsidP="00EE319D">
            <w:pPr>
              <w:spacing w:before="40" w:after="40" w:line="273" w:lineRule="auto"/>
              <w:ind w:left="131"/>
              <w:jc w:val="center"/>
              <w:rPr>
                <w:color w:val="000000"/>
              </w:rPr>
            </w:pPr>
            <w:r w:rsidRPr="00853EF6">
              <w:rPr>
                <w:color w:val="000000"/>
              </w:rPr>
              <w:t>Data</w:t>
            </w:r>
          </w:p>
        </w:tc>
      </w:tr>
      <w:tr w:rsidR="00853EF6" w:rsidTr="00EE319D">
        <w:trPr>
          <w:trHeight w:val="67"/>
        </w:trPr>
        <w:tc>
          <w:tcPr>
            <w:tcW w:w="617" w:type="dxa"/>
            <w:tcBorders>
              <w:top w:val="single" w:sz="4" w:space="0" w:color="auto"/>
            </w:tcBorders>
            <w:hideMark/>
          </w:tcPr>
          <w:p w:rsidR="00853EF6" w:rsidRPr="008B2F65" w:rsidRDefault="00853EF6" w:rsidP="00853EF6">
            <w:pPr>
              <w:jc w:val="center"/>
            </w:pPr>
            <w:r w:rsidRPr="008B2F65">
              <w:t>2010</w:t>
            </w:r>
          </w:p>
        </w:tc>
        <w:tc>
          <w:tcPr>
            <w:tcW w:w="963" w:type="dxa"/>
            <w:tcBorders>
              <w:top w:val="single" w:sz="4" w:space="0" w:color="auto"/>
            </w:tcBorders>
            <w:vAlign w:val="bottom"/>
            <w:hideMark/>
          </w:tcPr>
          <w:p w:rsidR="00853EF6" w:rsidRPr="003152CC" w:rsidRDefault="00853EF6" w:rsidP="00853EF6">
            <w:pPr>
              <w:jc w:val="right"/>
            </w:pPr>
            <w:r w:rsidRPr="003152CC">
              <w:t>757,700</w:t>
            </w:r>
          </w:p>
        </w:tc>
        <w:tc>
          <w:tcPr>
            <w:tcW w:w="1038" w:type="dxa"/>
            <w:tcBorders>
              <w:top w:val="single" w:sz="4" w:space="0" w:color="auto"/>
            </w:tcBorders>
          </w:tcPr>
          <w:p w:rsidR="00853EF6" w:rsidRPr="00190E66" w:rsidRDefault="00853EF6" w:rsidP="00853EF6">
            <w:pPr>
              <w:jc w:val="right"/>
            </w:pPr>
            <w:r w:rsidRPr="00190E66">
              <w:t xml:space="preserve"> 757,700 </w:t>
            </w:r>
          </w:p>
        </w:tc>
        <w:tc>
          <w:tcPr>
            <w:tcW w:w="1002" w:type="dxa"/>
            <w:tcBorders>
              <w:top w:val="single" w:sz="4" w:space="0" w:color="auto"/>
            </w:tcBorders>
            <w:vAlign w:val="bottom"/>
            <w:hideMark/>
          </w:tcPr>
          <w:p w:rsidR="00853EF6" w:rsidRPr="003152CC" w:rsidRDefault="00853EF6" w:rsidP="00853EF6">
            <w:pPr>
              <w:jc w:val="right"/>
            </w:pPr>
            <w:r w:rsidRPr="003152CC">
              <w:t xml:space="preserve">77,333 </w:t>
            </w:r>
          </w:p>
        </w:tc>
        <w:tc>
          <w:tcPr>
            <w:tcW w:w="999" w:type="dxa"/>
            <w:tcBorders>
              <w:top w:val="single" w:sz="4" w:space="0" w:color="auto"/>
            </w:tcBorders>
          </w:tcPr>
          <w:p w:rsidR="00853EF6" w:rsidRPr="00190E66" w:rsidRDefault="00853EF6" w:rsidP="00853EF6">
            <w:pPr>
              <w:jc w:val="right"/>
            </w:pPr>
            <w:r w:rsidRPr="00190E66">
              <w:t xml:space="preserve"> 77,333 </w:t>
            </w:r>
          </w:p>
        </w:tc>
        <w:tc>
          <w:tcPr>
            <w:tcW w:w="964" w:type="dxa"/>
            <w:tcBorders>
              <w:top w:val="single" w:sz="4" w:space="0" w:color="auto"/>
            </w:tcBorders>
            <w:vAlign w:val="bottom"/>
          </w:tcPr>
          <w:p w:rsidR="00853EF6" w:rsidRPr="00853EF6" w:rsidRDefault="00853EF6" w:rsidP="00853EF6">
            <w:pPr>
              <w:jc w:val="right"/>
            </w:pPr>
            <w:r w:rsidRPr="00853EF6">
              <w:t xml:space="preserve">     184,600 </w:t>
            </w:r>
          </w:p>
        </w:tc>
        <w:tc>
          <w:tcPr>
            <w:tcW w:w="1037" w:type="dxa"/>
            <w:tcBorders>
              <w:top w:val="single" w:sz="4" w:space="0" w:color="auto"/>
            </w:tcBorders>
          </w:tcPr>
          <w:p w:rsidR="00853EF6" w:rsidRPr="00190E66" w:rsidRDefault="00853EF6" w:rsidP="00853EF6">
            <w:pPr>
              <w:jc w:val="right"/>
            </w:pPr>
            <w:r w:rsidRPr="00190E66">
              <w:t xml:space="preserve"> 184,600 </w:t>
            </w:r>
          </w:p>
        </w:tc>
        <w:tc>
          <w:tcPr>
            <w:tcW w:w="964" w:type="dxa"/>
            <w:tcBorders>
              <w:top w:val="single" w:sz="4" w:space="0" w:color="auto"/>
            </w:tcBorders>
            <w:hideMark/>
          </w:tcPr>
          <w:p w:rsidR="00853EF6" w:rsidRPr="007122E3" w:rsidRDefault="00853EF6" w:rsidP="00853EF6">
            <w:pPr>
              <w:jc w:val="right"/>
            </w:pPr>
            <w:r w:rsidRPr="007122E3">
              <w:t>146.14</w:t>
            </w:r>
          </w:p>
        </w:tc>
        <w:tc>
          <w:tcPr>
            <w:tcW w:w="1037" w:type="dxa"/>
            <w:tcBorders>
              <w:top w:val="single" w:sz="4" w:space="0" w:color="auto"/>
            </w:tcBorders>
          </w:tcPr>
          <w:p w:rsidR="00853EF6" w:rsidRPr="00190E66" w:rsidRDefault="00853EF6" w:rsidP="00853EF6">
            <w:pPr>
              <w:jc w:val="right"/>
            </w:pPr>
            <w:r w:rsidRPr="00190E66">
              <w:t xml:space="preserve"> 146.14 </w:t>
            </w:r>
          </w:p>
        </w:tc>
      </w:tr>
      <w:tr w:rsidR="00853EF6" w:rsidTr="00EE319D">
        <w:tc>
          <w:tcPr>
            <w:tcW w:w="617" w:type="dxa"/>
            <w:hideMark/>
          </w:tcPr>
          <w:p w:rsidR="00853EF6" w:rsidRPr="008B2F65" w:rsidRDefault="00853EF6" w:rsidP="00853EF6">
            <w:pPr>
              <w:jc w:val="center"/>
            </w:pPr>
            <w:r w:rsidRPr="008B2F65">
              <w:t>2011</w:t>
            </w:r>
          </w:p>
        </w:tc>
        <w:tc>
          <w:tcPr>
            <w:tcW w:w="963" w:type="dxa"/>
            <w:vAlign w:val="bottom"/>
            <w:hideMark/>
          </w:tcPr>
          <w:p w:rsidR="00853EF6" w:rsidRPr="003152CC" w:rsidRDefault="00853EF6" w:rsidP="00853EF6">
            <w:pPr>
              <w:jc w:val="right"/>
            </w:pPr>
            <w:r w:rsidRPr="003152CC">
              <w:t xml:space="preserve">783,159 </w:t>
            </w:r>
          </w:p>
        </w:tc>
        <w:tc>
          <w:tcPr>
            <w:tcW w:w="1038" w:type="dxa"/>
          </w:tcPr>
          <w:p w:rsidR="00853EF6" w:rsidRPr="00190E66" w:rsidRDefault="00853EF6" w:rsidP="00853EF6">
            <w:pPr>
              <w:jc w:val="right"/>
            </w:pPr>
            <w:r w:rsidRPr="00190E66">
              <w:t xml:space="preserve"> 789,300 </w:t>
            </w:r>
          </w:p>
        </w:tc>
        <w:tc>
          <w:tcPr>
            <w:tcW w:w="1002" w:type="dxa"/>
            <w:vAlign w:val="bottom"/>
            <w:hideMark/>
          </w:tcPr>
          <w:p w:rsidR="00853EF6" w:rsidRPr="003152CC" w:rsidRDefault="00853EF6" w:rsidP="00853EF6">
            <w:pPr>
              <w:jc w:val="right"/>
            </w:pPr>
            <w:r w:rsidRPr="003152CC">
              <w:t xml:space="preserve">95,896 </w:t>
            </w:r>
          </w:p>
        </w:tc>
        <w:tc>
          <w:tcPr>
            <w:tcW w:w="999" w:type="dxa"/>
          </w:tcPr>
          <w:p w:rsidR="00853EF6" w:rsidRPr="00190E66" w:rsidRDefault="00853EF6" w:rsidP="00853EF6">
            <w:pPr>
              <w:jc w:val="right"/>
            </w:pPr>
            <w:r w:rsidRPr="00190E66">
              <w:t xml:space="preserve"> 89,842 </w:t>
            </w:r>
          </w:p>
        </w:tc>
        <w:tc>
          <w:tcPr>
            <w:tcW w:w="964" w:type="dxa"/>
            <w:vAlign w:val="bottom"/>
          </w:tcPr>
          <w:p w:rsidR="00853EF6" w:rsidRPr="00853EF6" w:rsidRDefault="00853EF6" w:rsidP="00853EF6">
            <w:pPr>
              <w:jc w:val="right"/>
            </w:pPr>
            <w:r w:rsidRPr="00853EF6">
              <w:t xml:space="preserve">189,727 </w:t>
            </w:r>
          </w:p>
        </w:tc>
        <w:tc>
          <w:tcPr>
            <w:tcW w:w="1037" w:type="dxa"/>
          </w:tcPr>
          <w:p w:rsidR="00853EF6" w:rsidRPr="00190E66" w:rsidRDefault="00853EF6" w:rsidP="00853EF6">
            <w:pPr>
              <w:jc w:val="right"/>
            </w:pPr>
            <w:r w:rsidRPr="00190E66">
              <w:t xml:space="preserve"> 165,500 </w:t>
            </w:r>
          </w:p>
        </w:tc>
        <w:tc>
          <w:tcPr>
            <w:tcW w:w="964" w:type="dxa"/>
            <w:hideMark/>
          </w:tcPr>
          <w:p w:rsidR="00853EF6" w:rsidRPr="007122E3" w:rsidRDefault="00853EF6" w:rsidP="00853EF6">
            <w:pPr>
              <w:jc w:val="right"/>
            </w:pPr>
            <w:r w:rsidRPr="007122E3">
              <w:t>156.09</w:t>
            </w:r>
          </w:p>
        </w:tc>
        <w:tc>
          <w:tcPr>
            <w:tcW w:w="1037" w:type="dxa"/>
          </w:tcPr>
          <w:p w:rsidR="00853EF6" w:rsidRPr="00190E66" w:rsidRDefault="00853EF6" w:rsidP="00853EF6">
            <w:pPr>
              <w:jc w:val="right"/>
            </w:pPr>
            <w:r w:rsidRPr="00190E66">
              <w:t xml:space="preserve"> 160.60 </w:t>
            </w:r>
          </w:p>
        </w:tc>
      </w:tr>
      <w:tr w:rsidR="00853EF6" w:rsidTr="00EE319D">
        <w:tc>
          <w:tcPr>
            <w:tcW w:w="617" w:type="dxa"/>
            <w:hideMark/>
          </w:tcPr>
          <w:p w:rsidR="00853EF6" w:rsidRPr="008B2F65" w:rsidRDefault="00853EF6" w:rsidP="00853EF6">
            <w:pPr>
              <w:jc w:val="center"/>
            </w:pPr>
            <w:r w:rsidRPr="008B2F65">
              <w:t>2012</w:t>
            </w:r>
          </w:p>
        </w:tc>
        <w:tc>
          <w:tcPr>
            <w:tcW w:w="963" w:type="dxa"/>
            <w:vAlign w:val="bottom"/>
            <w:hideMark/>
          </w:tcPr>
          <w:p w:rsidR="00853EF6" w:rsidRPr="003152CC" w:rsidRDefault="00853EF6" w:rsidP="00853EF6">
            <w:pPr>
              <w:jc w:val="right"/>
            </w:pPr>
            <w:r w:rsidRPr="003152CC">
              <w:t xml:space="preserve">809,473 </w:t>
            </w:r>
          </w:p>
        </w:tc>
        <w:tc>
          <w:tcPr>
            <w:tcW w:w="1038" w:type="dxa"/>
          </w:tcPr>
          <w:p w:rsidR="00853EF6" w:rsidRPr="00190E66" w:rsidRDefault="00853EF6" w:rsidP="00853EF6">
            <w:pPr>
              <w:jc w:val="right"/>
            </w:pPr>
            <w:r w:rsidRPr="00190E66">
              <w:t xml:space="preserve"> 816,300 </w:t>
            </w:r>
          </w:p>
        </w:tc>
        <w:tc>
          <w:tcPr>
            <w:tcW w:w="1002" w:type="dxa"/>
            <w:vAlign w:val="bottom"/>
            <w:hideMark/>
          </w:tcPr>
          <w:p w:rsidR="00853EF6" w:rsidRPr="003152CC" w:rsidRDefault="00853EF6" w:rsidP="00853EF6">
            <w:pPr>
              <w:jc w:val="right"/>
            </w:pPr>
            <w:r w:rsidRPr="003152CC">
              <w:t xml:space="preserve"> 114,914 </w:t>
            </w:r>
          </w:p>
        </w:tc>
        <w:tc>
          <w:tcPr>
            <w:tcW w:w="999" w:type="dxa"/>
          </w:tcPr>
          <w:p w:rsidR="00853EF6" w:rsidRPr="00190E66" w:rsidRDefault="00853EF6" w:rsidP="00853EF6">
            <w:pPr>
              <w:jc w:val="right"/>
            </w:pPr>
            <w:r w:rsidRPr="00190E66">
              <w:t xml:space="preserve"> 108,640 </w:t>
            </w:r>
          </w:p>
        </w:tc>
        <w:tc>
          <w:tcPr>
            <w:tcW w:w="964" w:type="dxa"/>
            <w:vAlign w:val="bottom"/>
          </w:tcPr>
          <w:p w:rsidR="00853EF6" w:rsidRPr="00853EF6" w:rsidRDefault="00853EF6" w:rsidP="00853EF6">
            <w:pPr>
              <w:jc w:val="right"/>
            </w:pPr>
            <w:r w:rsidRPr="00853EF6">
              <w:t xml:space="preserve">     195,027 </w:t>
            </w:r>
          </w:p>
        </w:tc>
        <w:tc>
          <w:tcPr>
            <w:tcW w:w="1037" w:type="dxa"/>
          </w:tcPr>
          <w:p w:rsidR="00853EF6" w:rsidRPr="00190E66" w:rsidRDefault="00853EF6" w:rsidP="00853EF6">
            <w:pPr>
              <w:jc w:val="right"/>
            </w:pPr>
            <w:r w:rsidRPr="00190E66">
              <w:t xml:space="preserve"> 176,800 </w:t>
            </w:r>
          </w:p>
        </w:tc>
        <w:tc>
          <w:tcPr>
            <w:tcW w:w="964" w:type="dxa"/>
            <w:hideMark/>
          </w:tcPr>
          <w:p w:rsidR="00853EF6" w:rsidRPr="007122E3" w:rsidRDefault="00853EF6" w:rsidP="00853EF6">
            <w:pPr>
              <w:jc w:val="right"/>
            </w:pPr>
            <w:r w:rsidRPr="007122E3">
              <w:t>166.72</w:t>
            </w:r>
          </w:p>
        </w:tc>
        <w:tc>
          <w:tcPr>
            <w:tcW w:w="1037" w:type="dxa"/>
          </w:tcPr>
          <w:p w:rsidR="00853EF6" w:rsidRPr="00190E66" w:rsidRDefault="00853EF6" w:rsidP="00853EF6">
            <w:pPr>
              <w:jc w:val="right"/>
            </w:pPr>
            <w:r w:rsidRPr="00190E66">
              <w:t xml:space="preserve"> 174.43 </w:t>
            </w:r>
          </w:p>
        </w:tc>
      </w:tr>
      <w:tr w:rsidR="00853EF6" w:rsidTr="00EE319D">
        <w:tc>
          <w:tcPr>
            <w:tcW w:w="617" w:type="dxa"/>
            <w:hideMark/>
          </w:tcPr>
          <w:p w:rsidR="00853EF6" w:rsidRPr="008B2F65" w:rsidRDefault="00853EF6" w:rsidP="00853EF6">
            <w:pPr>
              <w:jc w:val="center"/>
            </w:pPr>
            <w:r w:rsidRPr="008B2F65">
              <w:t>2013</w:t>
            </w:r>
          </w:p>
        </w:tc>
        <w:tc>
          <w:tcPr>
            <w:tcW w:w="963" w:type="dxa"/>
            <w:vAlign w:val="bottom"/>
            <w:hideMark/>
          </w:tcPr>
          <w:p w:rsidR="00853EF6" w:rsidRPr="003152CC" w:rsidRDefault="00853EF6" w:rsidP="00853EF6">
            <w:pPr>
              <w:jc w:val="right"/>
            </w:pPr>
            <w:r w:rsidRPr="003152CC">
              <w:t xml:space="preserve"> 836,671 </w:t>
            </w:r>
          </w:p>
        </w:tc>
        <w:tc>
          <w:tcPr>
            <w:tcW w:w="1038" w:type="dxa"/>
          </w:tcPr>
          <w:p w:rsidR="00853EF6" w:rsidRPr="00190E66" w:rsidRDefault="00853EF6" w:rsidP="00853EF6">
            <w:pPr>
              <w:jc w:val="right"/>
            </w:pPr>
            <w:r w:rsidRPr="00190E66">
              <w:t xml:space="preserve"> 828,300 </w:t>
            </w:r>
          </w:p>
        </w:tc>
        <w:tc>
          <w:tcPr>
            <w:tcW w:w="1002" w:type="dxa"/>
            <w:vAlign w:val="bottom"/>
            <w:hideMark/>
          </w:tcPr>
          <w:p w:rsidR="00853EF6" w:rsidRPr="003152CC" w:rsidRDefault="00853EF6" w:rsidP="00853EF6">
            <w:pPr>
              <w:jc w:val="right"/>
            </w:pPr>
            <w:r w:rsidRPr="003152CC">
              <w:t xml:space="preserve"> 134,404 </w:t>
            </w:r>
          </w:p>
        </w:tc>
        <w:tc>
          <w:tcPr>
            <w:tcW w:w="999" w:type="dxa"/>
          </w:tcPr>
          <w:p w:rsidR="00853EF6" w:rsidRPr="00190E66" w:rsidRDefault="00853EF6" w:rsidP="00853EF6">
            <w:pPr>
              <w:jc w:val="right"/>
            </w:pPr>
            <w:r w:rsidRPr="00190E66">
              <w:t xml:space="preserve"> 136,893 </w:t>
            </w:r>
          </w:p>
        </w:tc>
        <w:tc>
          <w:tcPr>
            <w:tcW w:w="964" w:type="dxa"/>
            <w:vAlign w:val="bottom"/>
          </w:tcPr>
          <w:p w:rsidR="00853EF6" w:rsidRPr="00853EF6" w:rsidRDefault="00853EF6" w:rsidP="00853EF6">
            <w:pPr>
              <w:jc w:val="right"/>
            </w:pPr>
            <w:r w:rsidRPr="00853EF6">
              <w:t xml:space="preserve">200,504 </w:t>
            </w:r>
          </w:p>
        </w:tc>
        <w:tc>
          <w:tcPr>
            <w:tcW w:w="1037" w:type="dxa"/>
          </w:tcPr>
          <w:p w:rsidR="00853EF6" w:rsidRPr="00190E66" w:rsidRDefault="00853EF6" w:rsidP="00853EF6">
            <w:pPr>
              <w:jc w:val="right"/>
            </w:pPr>
            <w:r w:rsidRPr="00190E66">
              <w:t xml:space="preserve"> 188,000 </w:t>
            </w:r>
          </w:p>
        </w:tc>
        <w:tc>
          <w:tcPr>
            <w:tcW w:w="964" w:type="dxa"/>
            <w:hideMark/>
          </w:tcPr>
          <w:p w:rsidR="00853EF6" w:rsidRPr="007122E3" w:rsidRDefault="00853EF6" w:rsidP="00853EF6">
            <w:pPr>
              <w:jc w:val="right"/>
            </w:pPr>
            <w:r w:rsidRPr="007122E3">
              <w:t>178.08</w:t>
            </w:r>
          </w:p>
        </w:tc>
        <w:tc>
          <w:tcPr>
            <w:tcW w:w="1037" w:type="dxa"/>
          </w:tcPr>
          <w:p w:rsidR="00853EF6" w:rsidRPr="00190E66" w:rsidRDefault="00853EF6" w:rsidP="00853EF6">
            <w:pPr>
              <w:jc w:val="right"/>
            </w:pPr>
            <w:r w:rsidRPr="00190E66">
              <w:t xml:space="preserve"> 183.81 </w:t>
            </w:r>
          </w:p>
        </w:tc>
      </w:tr>
      <w:tr w:rsidR="00853EF6" w:rsidTr="00EE319D">
        <w:tc>
          <w:tcPr>
            <w:tcW w:w="617" w:type="dxa"/>
            <w:hideMark/>
          </w:tcPr>
          <w:p w:rsidR="00853EF6" w:rsidRPr="008B2F65" w:rsidRDefault="00853EF6" w:rsidP="00853EF6">
            <w:pPr>
              <w:jc w:val="center"/>
            </w:pPr>
            <w:r w:rsidRPr="008B2F65">
              <w:t>2014</w:t>
            </w:r>
          </w:p>
        </w:tc>
        <w:tc>
          <w:tcPr>
            <w:tcW w:w="963" w:type="dxa"/>
            <w:vAlign w:val="bottom"/>
            <w:hideMark/>
          </w:tcPr>
          <w:p w:rsidR="00853EF6" w:rsidRPr="003152CC" w:rsidRDefault="00853EF6" w:rsidP="00853EF6">
            <w:pPr>
              <w:jc w:val="right"/>
            </w:pPr>
            <w:r w:rsidRPr="003152CC">
              <w:t xml:space="preserve">864,783 </w:t>
            </w:r>
          </w:p>
        </w:tc>
        <w:tc>
          <w:tcPr>
            <w:tcW w:w="1038" w:type="dxa"/>
          </w:tcPr>
          <w:p w:rsidR="00853EF6" w:rsidRPr="00190E66" w:rsidRDefault="00853EF6" w:rsidP="00853EF6">
            <w:pPr>
              <w:jc w:val="right"/>
            </w:pPr>
            <w:r w:rsidRPr="00190E66">
              <w:t xml:space="preserve"> 849,800 </w:t>
            </w:r>
          </w:p>
        </w:tc>
        <w:tc>
          <w:tcPr>
            <w:tcW w:w="1002" w:type="dxa"/>
            <w:vAlign w:val="bottom"/>
            <w:hideMark/>
          </w:tcPr>
          <w:p w:rsidR="00853EF6" w:rsidRPr="003152CC" w:rsidRDefault="00853EF6" w:rsidP="00853EF6">
            <w:pPr>
              <w:jc w:val="right"/>
            </w:pPr>
            <w:r w:rsidRPr="003152CC">
              <w:t xml:space="preserve"> 154,380 </w:t>
            </w:r>
          </w:p>
        </w:tc>
        <w:tc>
          <w:tcPr>
            <w:tcW w:w="999" w:type="dxa"/>
          </w:tcPr>
          <w:p w:rsidR="00853EF6" w:rsidRPr="00190E66" w:rsidRDefault="00853EF6" w:rsidP="00853EF6">
            <w:pPr>
              <w:jc w:val="right"/>
            </w:pPr>
            <w:r w:rsidRPr="00190E66">
              <w:t xml:space="preserve"> 156,505 </w:t>
            </w:r>
          </w:p>
        </w:tc>
        <w:tc>
          <w:tcPr>
            <w:tcW w:w="964" w:type="dxa"/>
            <w:vAlign w:val="bottom"/>
          </w:tcPr>
          <w:p w:rsidR="00853EF6" w:rsidRPr="00853EF6" w:rsidRDefault="00853EF6" w:rsidP="00853EF6">
            <w:pPr>
              <w:jc w:val="right"/>
            </w:pPr>
            <w:r w:rsidRPr="00853EF6">
              <w:t xml:space="preserve"> 206,166 </w:t>
            </w:r>
          </w:p>
        </w:tc>
        <w:tc>
          <w:tcPr>
            <w:tcW w:w="1037" w:type="dxa"/>
          </w:tcPr>
          <w:p w:rsidR="00853EF6" w:rsidRPr="00190E66" w:rsidRDefault="00853EF6" w:rsidP="00853EF6">
            <w:pPr>
              <w:jc w:val="right"/>
            </w:pPr>
            <w:r w:rsidRPr="00190E66">
              <w:t xml:space="preserve"> 195,200 </w:t>
            </w:r>
          </w:p>
        </w:tc>
        <w:tc>
          <w:tcPr>
            <w:tcW w:w="964" w:type="dxa"/>
            <w:hideMark/>
          </w:tcPr>
          <w:p w:rsidR="00853EF6" w:rsidRPr="007122E3" w:rsidRDefault="00853EF6" w:rsidP="00853EF6">
            <w:pPr>
              <w:jc w:val="right"/>
            </w:pPr>
            <w:r w:rsidRPr="007122E3">
              <w:t>190.21</w:t>
            </w:r>
          </w:p>
        </w:tc>
        <w:tc>
          <w:tcPr>
            <w:tcW w:w="1037" w:type="dxa"/>
          </w:tcPr>
          <w:p w:rsidR="00853EF6" w:rsidRPr="00190E66" w:rsidRDefault="00853EF6" w:rsidP="00853EF6">
            <w:pPr>
              <w:jc w:val="right"/>
            </w:pPr>
            <w:r w:rsidRPr="00190E66">
              <w:t xml:space="preserve"> 202.39 </w:t>
            </w:r>
          </w:p>
        </w:tc>
      </w:tr>
      <w:tr w:rsidR="00853EF6" w:rsidTr="00EE319D">
        <w:tc>
          <w:tcPr>
            <w:tcW w:w="617" w:type="dxa"/>
            <w:hideMark/>
          </w:tcPr>
          <w:p w:rsidR="00853EF6" w:rsidRPr="008B2F65" w:rsidRDefault="00853EF6" w:rsidP="00853EF6">
            <w:pPr>
              <w:jc w:val="center"/>
            </w:pPr>
            <w:r w:rsidRPr="008B2F65">
              <w:t>2015</w:t>
            </w:r>
          </w:p>
        </w:tc>
        <w:tc>
          <w:tcPr>
            <w:tcW w:w="963" w:type="dxa"/>
            <w:vAlign w:val="bottom"/>
            <w:hideMark/>
          </w:tcPr>
          <w:p w:rsidR="00853EF6" w:rsidRPr="003152CC" w:rsidRDefault="00853EF6" w:rsidP="00853EF6">
            <w:pPr>
              <w:jc w:val="right"/>
            </w:pPr>
            <w:r w:rsidRPr="003152CC">
              <w:t xml:space="preserve">893,840 </w:t>
            </w:r>
          </w:p>
        </w:tc>
        <w:tc>
          <w:tcPr>
            <w:tcW w:w="1038" w:type="dxa"/>
          </w:tcPr>
          <w:p w:rsidR="00853EF6" w:rsidRPr="00190E66" w:rsidRDefault="00853EF6" w:rsidP="00853EF6">
            <w:pPr>
              <w:jc w:val="right"/>
            </w:pPr>
            <w:r w:rsidRPr="00190E66">
              <w:t xml:space="preserve"> 871,500 </w:t>
            </w:r>
          </w:p>
        </w:tc>
        <w:tc>
          <w:tcPr>
            <w:tcW w:w="1002" w:type="dxa"/>
            <w:vAlign w:val="bottom"/>
            <w:hideMark/>
          </w:tcPr>
          <w:p w:rsidR="00853EF6" w:rsidRPr="003152CC" w:rsidRDefault="00853EF6" w:rsidP="00853EF6">
            <w:pPr>
              <w:jc w:val="right"/>
            </w:pPr>
            <w:r w:rsidRPr="003152CC">
              <w:t xml:space="preserve"> 174,860 </w:t>
            </w:r>
          </w:p>
        </w:tc>
        <w:tc>
          <w:tcPr>
            <w:tcW w:w="999" w:type="dxa"/>
          </w:tcPr>
          <w:p w:rsidR="00853EF6" w:rsidRPr="00190E66" w:rsidRDefault="00853EF6" w:rsidP="00853EF6">
            <w:pPr>
              <w:jc w:val="right"/>
            </w:pPr>
            <w:r w:rsidRPr="00190E66">
              <w:t xml:space="preserve"> 173,991 </w:t>
            </w:r>
          </w:p>
        </w:tc>
        <w:tc>
          <w:tcPr>
            <w:tcW w:w="964" w:type="dxa"/>
            <w:vAlign w:val="bottom"/>
          </w:tcPr>
          <w:p w:rsidR="00853EF6" w:rsidRPr="00853EF6" w:rsidRDefault="00853EF6" w:rsidP="00853EF6">
            <w:pPr>
              <w:jc w:val="right"/>
            </w:pPr>
            <w:r w:rsidRPr="00853EF6">
              <w:t xml:space="preserve">     212,017 </w:t>
            </w:r>
          </w:p>
        </w:tc>
        <w:tc>
          <w:tcPr>
            <w:tcW w:w="1037" w:type="dxa"/>
          </w:tcPr>
          <w:p w:rsidR="00853EF6" w:rsidRPr="00190E66" w:rsidRDefault="00853EF6" w:rsidP="00853EF6">
            <w:pPr>
              <w:jc w:val="right"/>
            </w:pPr>
            <w:r w:rsidRPr="00190E66">
              <w:t xml:space="preserve"> 192,600 </w:t>
            </w:r>
          </w:p>
        </w:tc>
        <w:tc>
          <w:tcPr>
            <w:tcW w:w="964" w:type="dxa"/>
            <w:hideMark/>
          </w:tcPr>
          <w:p w:rsidR="00853EF6" w:rsidRPr="007122E3" w:rsidRDefault="00853EF6" w:rsidP="00853EF6">
            <w:pPr>
              <w:jc w:val="right"/>
            </w:pPr>
            <w:r w:rsidRPr="007122E3">
              <w:t>203.16</w:t>
            </w:r>
          </w:p>
        </w:tc>
        <w:tc>
          <w:tcPr>
            <w:tcW w:w="1037" w:type="dxa"/>
          </w:tcPr>
          <w:p w:rsidR="00853EF6" w:rsidRPr="00190E66" w:rsidRDefault="00853EF6" w:rsidP="00853EF6">
            <w:pPr>
              <w:jc w:val="right"/>
            </w:pPr>
            <w:r w:rsidRPr="00190E66">
              <w:t xml:space="preserve"> 218.35 </w:t>
            </w:r>
          </w:p>
        </w:tc>
      </w:tr>
      <w:tr w:rsidR="00853EF6" w:rsidTr="00EE319D">
        <w:tc>
          <w:tcPr>
            <w:tcW w:w="617" w:type="dxa"/>
            <w:hideMark/>
          </w:tcPr>
          <w:p w:rsidR="00853EF6" w:rsidRPr="008B2F65" w:rsidRDefault="00853EF6" w:rsidP="00853EF6">
            <w:pPr>
              <w:jc w:val="center"/>
            </w:pPr>
            <w:r w:rsidRPr="008B2F65">
              <w:t>2016</w:t>
            </w:r>
          </w:p>
        </w:tc>
        <w:tc>
          <w:tcPr>
            <w:tcW w:w="963" w:type="dxa"/>
            <w:vAlign w:val="bottom"/>
            <w:hideMark/>
          </w:tcPr>
          <w:p w:rsidR="00853EF6" w:rsidRPr="003152CC" w:rsidRDefault="00853EF6" w:rsidP="00853EF6">
            <w:pPr>
              <w:jc w:val="right"/>
            </w:pPr>
            <w:r w:rsidRPr="003152CC">
              <w:t xml:space="preserve"> 923,873 </w:t>
            </w:r>
          </w:p>
        </w:tc>
        <w:tc>
          <w:tcPr>
            <w:tcW w:w="1038" w:type="dxa"/>
          </w:tcPr>
          <w:p w:rsidR="00853EF6" w:rsidRPr="00190E66" w:rsidRDefault="00853EF6" w:rsidP="00853EF6">
            <w:pPr>
              <w:jc w:val="right"/>
            </w:pPr>
            <w:r w:rsidRPr="00190E66">
              <w:t xml:space="preserve"> 893,400 </w:t>
            </w:r>
          </w:p>
        </w:tc>
        <w:tc>
          <w:tcPr>
            <w:tcW w:w="1002" w:type="dxa"/>
            <w:vAlign w:val="bottom"/>
            <w:hideMark/>
          </w:tcPr>
          <w:p w:rsidR="00853EF6" w:rsidRPr="003152CC" w:rsidRDefault="00853EF6" w:rsidP="00853EF6">
            <w:pPr>
              <w:jc w:val="right"/>
            </w:pPr>
            <w:r w:rsidRPr="003152CC">
              <w:t xml:space="preserve">195,860 </w:t>
            </w:r>
          </w:p>
        </w:tc>
        <w:tc>
          <w:tcPr>
            <w:tcW w:w="999" w:type="dxa"/>
          </w:tcPr>
          <w:p w:rsidR="00853EF6" w:rsidRPr="00190E66" w:rsidRDefault="00853EF6" w:rsidP="00853EF6">
            <w:pPr>
              <w:jc w:val="right"/>
            </w:pPr>
            <w:r w:rsidRPr="00190E66">
              <w:t xml:space="preserve"> 188,599 </w:t>
            </w:r>
          </w:p>
        </w:tc>
        <w:tc>
          <w:tcPr>
            <w:tcW w:w="964" w:type="dxa"/>
            <w:vAlign w:val="bottom"/>
          </w:tcPr>
          <w:p w:rsidR="00853EF6" w:rsidRPr="00853EF6" w:rsidRDefault="00853EF6" w:rsidP="00853EF6">
            <w:pPr>
              <w:jc w:val="right"/>
            </w:pPr>
            <w:r w:rsidRPr="00853EF6">
              <w:t xml:space="preserve">     218,066 </w:t>
            </w:r>
          </w:p>
        </w:tc>
        <w:tc>
          <w:tcPr>
            <w:tcW w:w="1037" w:type="dxa"/>
          </w:tcPr>
          <w:p w:rsidR="00853EF6" w:rsidRPr="00190E66" w:rsidRDefault="00853EF6" w:rsidP="00853EF6">
            <w:pPr>
              <w:jc w:val="right"/>
            </w:pPr>
            <w:r w:rsidRPr="00190E66">
              <w:t xml:space="preserve"> 197,500 </w:t>
            </w:r>
          </w:p>
        </w:tc>
        <w:tc>
          <w:tcPr>
            <w:tcW w:w="964" w:type="dxa"/>
            <w:hideMark/>
          </w:tcPr>
          <w:p w:rsidR="00853EF6" w:rsidRPr="007122E3" w:rsidRDefault="00853EF6" w:rsidP="00853EF6">
            <w:pPr>
              <w:jc w:val="right"/>
            </w:pPr>
            <w:r w:rsidRPr="007122E3">
              <w:t>216.99</w:t>
            </w:r>
          </w:p>
        </w:tc>
        <w:tc>
          <w:tcPr>
            <w:tcW w:w="1037" w:type="dxa"/>
          </w:tcPr>
          <w:p w:rsidR="00853EF6" w:rsidRPr="00190E66" w:rsidRDefault="00853EF6" w:rsidP="00853EF6">
            <w:pPr>
              <w:jc w:val="right"/>
            </w:pPr>
            <w:r w:rsidRPr="00190E66">
              <w:t xml:space="preserve"> 236.84 </w:t>
            </w:r>
          </w:p>
        </w:tc>
      </w:tr>
      <w:tr w:rsidR="00853EF6" w:rsidTr="00EE319D">
        <w:tc>
          <w:tcPr>
            <w:tcW w:w="617" w:type="dxa"/>
            <w:hideMark/>
          </w:tcPr>
          <w:p w:rsidR="00853EF6" w:rsidRPr="008B2F65" w:rsidRDefault="00853EF6" w:rsidP="00853EF6">
            <w:pPr>
              <w:jc w:val="center"/>
            </w:pPr>
            <w:r w:rsidRPr="008B2F65">
              <w:t>2017</w:t>
            </w:r>
          </w:p>
        </w:tc>
        <w:tc>
          <w:tcPr>
            <w:tcW w:w="963" w:type="dxa"/>
            <w:vAlign w:val="bottom"/>
            <w:hideMark/>
          </w:tcPr>
          <w:p w:rsidR="00853EF6" w:rsidRPr="003152CC" w:rsidRDefault="00853EF6" w:rsidP="00853EF6">
            <w:pPr>
              <w:jc w:val="right"/>
            </w:pPr>
            <w:r w:rsidRPr="003152CC">
              <w:t xml:space="preserve">954,915 </w:t>
            </w:r>
          </w:p>
        </w:tc>
        <w:tc>
          <w:tcPr>
            <w:tcW w:w="1038" w:type="dxa"/>
          </w:tcPr>
          <w:p w:rsidR="00853EF6" w:rsidRPr="00190E66" w:rsidRDefault="00853EF6" w:rsidP="00853EF6">
            <w:pPr>
              <w:jc w:val="right"/>
            </w:pPr>
            <w:r w:rsidRPr="00190E66">
              <w:t xml:space="preserve"> 915,400 </w:t>
            </w:r>
          </w:p>
        </w:tc>
        <w:tc>
          <w:tcPr>
            <w:tcW w:w="1002" w:type="dxa"/>
            <w:vAlign w:val="bottom"/>
            <w:hideMark/>
          </w:tcPr>
          <w:p w:rsidR="00853EF6" w:rsidRPr="003152CC" w:rsidRDefault="00853EF6" w:rsidP="00853EF6">
            <w:pPr>
              <w:jc w:val="right"/>
            </w:pPr>
            <w:r w:rsidRPr="003152CC">
              <w:t xml:space="preserve">217,397 </w:t>
            </w:r>
          </w:p>
        </w:tc>
        <w:tc>
          <w:tcPr>
            <w:tcW w:w="999" w:type="dxa"/>
          </w:tcPr>
          <w:p w:rsidR="00853EF6" w:rsidRPr="00190E66" w:rsidRDefault="00853EF6" w:rsidP="00853EF6">
            <w:pPr>
              <w:jc w:val="right"/>
            </w:pPr>
            <w:r w:rsidRPr="00190E66">
              <w:t xml:space="preserve"> 205,035 </w:t>
            </w:r>
          </w:p>
        </w:tc>
        <w:tc>
          <w:tcPr>
            <w:tcW w:w="964" w:type="dxa"/>
            <w:vAlign w:val="bottom"/>
          </w:tcPr>
          <w:p w:rsidR="00853EF6" w:rsidRPr="00853EF6" w:rsidRDefault="00853EF6" w:rsidP="00853EF6">
            <w:pPr>
              <w:jc w:val="right"/>
            </w:pPr>
            <w:r w:rsidRPr="00853EF6">
              <w:t xml:space="preserve">     224,317 </w:t>
            </w:r>
          </w:p>
        </w:tc>
        <w:tc>
          <w:tcPr>
            <w:tcW w:w="1037" w:type="dxa"/>
          </w:tcPr>
          <w:p w:rsidR="00853EF6" w:rsidRPr="00190E66" w:rsidRDefault="00853EF6" w:rsidP="00853EF6">
            <w:pPr>
              <w:jc w:val="right"/>
            </w:pPr>
            <w:r w:rsidRPr="00190E66">
              <w:t xml:space="preserve"> 203,400 </w:t>
            </w:r>
          </w:p>
        </w:tc>
        <w:tc>
          <w:tcPr>
            <w:tcW w:w="964" w:type="dxa"/>
            <w:hideMark/>
          </w:tcPr>
          <w:p w:rsidR="00853EF6" w:rsidRPr="007122E3" w:rsidRDefault="00853EF6" w:rsidP="00853EF6">
            <w:pPr>
              <w:jc w:val="right"/>
            </w:pPr>
            <w:r w:rsidRPr="007122E3">
              <w:t>231.77</w:t>
            </w:r>
          </w:p>
        </w:tc>
        <w:tc>
          <w:tcPr>
            <w:tcW w:w="1037" w:type="dxa"/>
          </w:tcPr>
          <w:p w:rsidR="00853EF6" w:rsidRPr="00190E66" w:rsidRDefault="00853EF6" w:rsidP="00853EF6">
            <w:pPr>
              <w:jc w:val="right"/>
            </w:pPr>
            <w:r w:rsidRPr="00190E66">
              <w:t xml:space="preserve"> 213.93 </w:t>
            </w:r>
          </w:p>
        </w:tc>
      </w:tr>
      <w:tr w:rsidR="00853EF6" w:rsidTr="00EE319D">
        <w:tc>
          <w:tcPr>
            <w:tcW w:w="617" w:type="dxa"/>
            <w:hideMark/>
          </w:tcPr>
          <w:p w:rsidR="00853EF6" w:rsidRPr="008B2F65" w:rsidRDefault="00853EF6" w:rsidP="00853EF6">
            <w:pPr>
              <w:jc w:val="center"/>
            </w:pPr>
            <w:r w:rsidRPr="008B2F65">
              <w:t>2018</w:t>
            </w:r>
          </w:p>
        </w:tc>
        <w:tc>
          <w:tcPr>
            <w:tcW w:w="963" w:type="dxa"/>
            <w:vAlign w:val="bottom"/>
            <w:hideMark/>
          </w:tcPr>
          <w:p w:rsidR="00853EF6" w:rsidRPr="003152CC" w:rsidRDefault="00853EF6" w:rsidP="00853EF6">
            <w:pPr>
              <w:jc w:val="right"/>
            </w:pPr>
            <w:r w:rsidRPr="003152CC">
              <w:t xml:space="preserve">987,000 </w:t>
            </w:r>
          </w:p>
        </w:tc>
        <w:tc>
          <w:tcPr>
            <w:tcW w:w="1038" w:type="dxa"/>
          </w:tcPr>
          <w:p w:rsidR="00853EF6" w:rsidRPr="00190E66" w:rsidRDefault="00853EF6" w:rsidP="00853EF6">
            <w:pPr>
              <w:jc w:val="right"/>
            </w:pPr>
            <w:r w:rsidRPr="00190E66">
              <w:t xml:space="preserve"> 952,400 </w:t>
            </w:r>
          </w:p>
        </w:tc>
        <w:tc>
          <w:tcPr>
            <w:tcW w:w="1002" w:type="dxa"/>
            <w:vAlign w:val="bottom"/>
            <w:hideMark/>
          </w:tcPr>
          <w:p w:rsidR="00853EF6" w:rsidRPr="003152CC" w:rsidRDefault="00853EF6" w:rsidP="00853EF6">
            <w:pPr>
              <w:jc w:val="right"/>
            </w:pPr>
            <w:r w:rsidRPr="003152CC">
              <w:t xml:space="preserve">239,490 </w:t>
            </w:r>
          </w:p>
        </w:tc>
        <w:tc>
          <w:tcPr>
            <w:tcW w:w="999" w:type="dxa"/>
          </w:tcPr>
          <w:p w:rsidR="00853EF6" w:rsidRPr="00190E66" w:rsidRDefault="00853EF6" w:rsidP="00853EF6">
            <w:pPr>
              <w:jc w:val="right"/>
            </w:pPr>
            <w:r w:rsidRPr="00190E66">
              <w:t xml:space="preserve"> 221,940 </w:t>
            </w:r>
          </w:p>
        </w:tc>
        <w:tc>
          <w:tcPr>
            <w:tcW w:w="964" w:type="dxa"/>
            <w:vAlign w:val="bottom"/>
          </w:tcPr>
          <w:p w:rsidR="00853EF6" w:rsidRPr="00853EF6" w:rsidRDefault="00853EF6" w:rsidP="00853EF6">
            <w:pPr>
              <w:jc w:val="right"/>
            </w:pPr>
            <w:r w:rsidRPr="00853EF6">
              <w:t xml:space="preserve">     230,779 </w:t>
            </w:r>
          </w:p>
        </w:tc>
        <w:tc>
          <w:tcPr>
            <w:tcW w:w="1037" w:type="dxa"/>
          </w:tcPr>
          <w:p w:rsidR="00853EF6" w:rsidRPr="00190E66" w:rsidRDefault="00853EF6" w:rsidP="00853EF6">
            <w:pPr>
              <w:jc w:val="right"/>
            </w:pPr>
            <w:r w:rsidRPr="00190E66">
              <w:t xml:space="preserve"> 210,300 </w:t>
            </w:r>
          </w:p>
        </w:tc>
        <w:tc>
          <w:tcPr>
            <w:tcW w:w="964" w:type="dxa"/>
            <w:hideMark/>
          </w:tcPr>
          <w:p w:rsidR="00853EF6" w:rsidRPr="007122E3" w:rsidRDefault="00853EF6" w:rsidP="00853EF6">
            <w:pPr>
              <w:jc w:val="right"/>
            </w:pPr>
            <w:r w:rsidRPr="007122E3">
              <w:t>247.56</w:t>
            </w:r>
          </w:p>
        </w:tc>
        <w:tc>
          <w:tcPr>
            <w:tcW w:w="1037" w:type="dxa"/>
          </w:tcPr>
          <w:p w:rsidR="00853EF6" w:rsidRPr="00190E66" w:rsidRDefault="00853EF6" w:rsidP="00853EF6">
            <w:pPr>
              <w:jc w:val="right"/>
            </w:pPr>
            <w:r w:rsidRPr="00190E66">
              <w:t xml:space="preserve"> 236.84 </w:t>
            </w:r>
          </w:p>
        </w:tc>
      </w:tr>
      <w:tr w:rsidR="00853EF6" w:rsidTr="00EE319D">
        <w:tc>
          <w:tcPr>
            <w:tcW w:w="617" w:type="dxa"/>
            <w:hideMark/>
          </w:tcPr>
          <w:p w:rsidR="00853EF6" w:rsidRPr="008B2F65" w:rsidRDefault="00853EF6" w:rsidP="00853EF6">
            <w:pPr>
              <w:jc w:val="center"/>
            </w:pPr>
            <w:r w:rsidRPr="008B2F65">
              <w:t>2019</w:t>
            </w:r>
          </w:p>
        </w:tc>
        <w:tc>
          <w:tcPr>
            <w:tcW w:w="963" w:type="dxa"/>
            <w:vAlign w:val="bottom"/>
            <w:hideMark/>
          </w:tcPr>
          <w:p w:rsidR="00853EF6" w:rsidRPr="003152CC" w:rsidRDefault="00853EF6" w:rsidP="00853EF6">
            <w:pPr>
              <w:jc w:val="right"/>
            </w:pPr>
            <w:r w:rsidRPr="003152CC">
              <w:t xml:space="preserve">1,020,164 </w:t>
            </w:r>
          </w:p>
        </w:tc>
        <w:tc>
          <w:tcPr>
            <w:tcW w:w="1038" w:type="dxa"/>
          </w:tcPr>
          <w:p w:rsidR="00853EF6" w:rsidRPr="00190E66" w:rsidRDefault="00853EF6" w:rsidP="00853EF6">
            <w:pPr>
              <w:jc w:val="right"/>
            </w:pPr>
            <w:r w:rsidRPr="00190E66">
              <w:t xml:space="preserve"> 974,760 </w:t>
            </w:r>
          </w:p>
        </w:tc>
        <w:tc>
          <w:tcPr>
            <w:tcW w:w="1002" w:type="dxa"/>
            <w:vAlign w:val="bottom"/>
            <w:hideMark/>
          </w:tcPr>
          <w:p w:rsidR="00853EF6" w:rsidRPr="003152CC" w:rsidRDefault="00853EF6" w:rsidP="00853EF6">
            <w:pPr>
              <w:jc w:val="right"/>
            </w:pPr>
            <w:r w:rsidRPr="003152CC">
              <w:t xml:space="preserve">262,157 </w:t>
            </w:r>
          </w:p>
        </w:tc>
        <w:tc>
          <w:tcPr>
            <w:tcW w:w="999" w:type="dxa"/>
          </w:tcPr>
          <w:p w:rsidR="00853EF6" w:rsidRPr="00190E66" w:rsidRDefault="00853EF6" w:rsidP="00853EF6">
            <w:pPr>
              <w:jc w:val="right"/>
            </w:pPr>
            <w:r w:rsidRPr="00190E66">
              <w:t xml:space="preserve"> 202,332 </w:t>
            </w:r>
          </w:p>
        </w:tc>
        <w:tc>
          <w:tcPr>
            <w:tcW w:w="964" w:type="dxa"/>
            <w:vAlign w:val="bottom"/>
          </w:tcPr>
          <w:p w:rsidR="00853EF6" w:rsidRPr="00853EF6" w:rsidRDefault="00853EF6" w:rsidP="00853EF6">
            <w:pPr>
              <w:jc w:val="right"/>
            </w:pPr>
            <w:r w:rsidRPr="00853EF6">
              <w:t xml:space="preserve">     237,457 </w:t>
            </w:r>
          </w:p>
        </w:tc>
        <w:tc>
          <w:tcPr>
            <w:tcW w:w="1037" w:type="dxa"/>
          </w:tcPr>
          <w:p w:rsidR="00853EF6" w:rsidRPr="00190E66" w:rsidRDefault="00853EF6" w:rsidP="00853EF6">
            <w:pPr>
              <w:jc w:val="right"/>
            </w:pPr>
            <w:r w:rsidRPr="00190E66">
              <w:t xml:space="preserve"> 238,350 </w:t>
            </w:r>
          </w:p>
        </w:tc>
        <w:tc>
          <w:tcPr>
            <w:tcW w:w="964" w:type="dxa"/>
            <w:hideMark/>
          </w:tcPr>
          <w:p w:rsidR="00853EF6" w:rsidRPr="007122E3" w:rsidRDefault="00853EF6" w:rsidP="00853EF6">
            <w:pPr>
              <w:jc w:val="right"/>
            </w:pPr>
            <w:r w:rsidRPr="007122E3">
              <w:t>264.42</w:t>
            </w:r>
          </w:p>
        </w:tc>
        <w:tc>
          <w:tcPr>
            <w:tcW w:w="1037" w:type="dxa"/>
          </w:tcPr>
          <w:p w:rsidR="00853EF6" w:rsidRPr="00190E66" w:rsidRDefault="00853EF6" w:rsidP="00853EF6">
            <w:pPr>
              <w:jc w:val="right"/>
            </w:pPr>
            <w:r w:rsidRPr="00190E66">
              <w:t xml:space="preserve"> 213.95 </w:t>
            </w:r>
          </w:p>
        </w:tc>
      </w:tr>
      <w:tr w:rsidR="00853EF6" w:rsidTr="00EE319D">
        <w:tc>
          <w:tcPr>
            <w:tcW w:w="617" w:type="dxa"/>
            <w:hideMark/>
          </w:tcPr>
          <w:p w:rsidR="00853EF6" w:rsidRPr="008B2F65" w:rsidRDefault="00853EF6" w:rsidP="00853EF6">
            <w:pPr>
              <w:jc w:val="center"/>
            </w:pPr>
            <w:r w:rsidRPr="008B2F65">
              <w:t>2020</w:t>
            </w:r>
          </w:p>
        </w:tc>
        <w:tc>
          <w:tcPr>
            <w:tcW w:w="963" w:type="dxa"/>
            <w:vAlign w:val="bottom"/>
            <w:hideMark/>
          </w:tcPr>
          <w:p w:rsidR="00853EF6" w:rsidRPr="003152CC" w:rsidRDefault="00853EF6" w:rsidP="00853EF6">
            <w:pPr>
              <w:jc w:val="right"/>
            </w:pPr>
            <w:r w:rsidRPr="003152CC">
              <w:t xml:space="preserve">1,054,441 </w:t>
            </w:r>
          </w:p>
        </w:tc>
        <w:tc>
          <w:tcPr>
            <w:tcW w:w="1038" w:type="dxa"/>
          </w:tcPr>
          <w:p w:rsidR="00853EF6" w:rsidRPr="00190E66" w:rsidRDefault="00853EF6" w:rsidP="00853EF6">
            <w:pPr>
              <w:jc w:val="right"/>
            </w:pPr>
            <w:r w:rsidRPr="00190E66">
              <w:t xml:space="preserve"> 1,134,068 </w:t>
            </w:r>
          </w:p>
        </w:tc>
        <w:tc>
          <w:tcPr>
            <w:tcW w:w="1002" w:type="dxa"/>
            <w:vAlign w:val="bottom"/>
            <w:hideMark/>
          </w:tcPr>
          <w:p w:rsidR="00853EF6" w:rsidRPr="003152CC" w:rsidRDefault="00853EF6" w:rsidP="00853EF6">
            <w:pPr>
              <w:jc w:val="right"/>
            </w:pPr>
            <w:r w:rsidRPr="003152CC">
              <w:t xml:space="preserve">285,418 </w:t>
            </w:r>
          </w:p>
        </w:tc>
        <w:tc>
          <w:tcPr>
            <w:tcW w:w="999" w:type="dxa"/>
          </w:tcPr>
          <w:p w:rsidR="00853EF6" w:rsidRPr="00190E66" w:rsidRDefault="00853EF6" w:rsidP="00853EF6">
            <w:pPr>
              <w:jc w:val="right"/>
            </w:pPr>
            <w:r w:rsidRPr="00190E66">
              <w:t xml:space="preserve"> 217,135 </w:t>
            </w:r>
          </w:p>
        </w:tc>
        <w:tc>
          <w:tcPr>
            <w:tcW w:w="964" w:type="dxa"/>
            <w:vAlign w:val="bottom"/>
          </w:tcPr>
          <w:p w:rsidR="00853EF6" w:rsidRPr="00853EF6" w:rsidRDefault="00853EF6" w:rsidP="00853EF6">
            <w:pPr>
              <w:jc w:val="right"/>
            </w:pPr>
            <w:r w:rsidRPr="00853EF6">
              <w:t xml:space="preserve">     244,360 </w:t>
            </w:r>
          </w:p>
        </w:tc>
        <w:tc>
          <w:tcPr>
            <w:tcW w:w="1037" w:type="dxa"/>
          </w:tcPr>
          <w:p w:rsidR="00853EF6" w:rsidRPr="00190E66" w:rsidRDefault="00853EF6" w:rsidP="00853EF6">
            <w:pPr>
              <w:jc w:val="right"/>
            </w:pPr>
            <w:r w:rsidRPr="00190E66">
              <w:t xml:space="preserve"> 250,880 </w:t>
            </w:r>
          </w:p>
        </w:tc>
        <w:tc>
          <w:tcPr>
            <w:tcW w:w="964" w:type="dxa"/>
            <w:hideMark/>
          </w:tcPr>
          <w:p w:rsidR="00853EF6" w:rsidRDefault="00853EF6" w:rsidP="00853EF6">
            <w:pPr>
              <w:jc w:val="right"/>
            </w:pPr>
            <w:r w:rsidRPr="007122E3">
              <w:t>282.42</w:t>
            </w:r>
          </w:p>
        </w:tc>
        <w:tc>
          <w:tcPr>
            <w:tcW w:w="1037" w:type="dxa"/>
          </w:tcPr>
          <w:p w:rsidR="00853EF6" w:rsidRDefault="00853EF6" w:rsidP="00853EF6">
            <w:pPr>
              <w:jc w:val="right"/>
            </w:pPr>
            <w:r w:rsidRPr="00190E66">
              <w:t xml:space="preserve"> 212.18 </w:t>
            </w:r>
          </w:p>
        </w:tc>
      </w:tr>
      <w:tr w:rsidR="00853EF6" w:rsidTr="00EE319D">
        <w:trPr>
          <w:trHeight w:val="283"/>
        </w:trPr>
        <w:tc>
          <w:tcPr>
            <w:tcW w:w="617" w:type="dxa"/>
            <w:tcBorders>
              <w:bottom w:val="single" w:sz="4" w:space="0" w:color="auto"/>
            </w:tcBorders>
            <w:hideMark/>
          </w:tcPr>
          <w:p w:rsidR="00853EF6" w:rsidRPr="008B2F65" w:rsidRDefault="00EE319D" w:rsidP="00853EF6">
            <w:pPr>
              <w:jc w:val="center"/>
            </w:pPr>
            <w:r>
              <w:t>Avg.</w:t>
            </w:r>
          </w:p>
        </w:tc>
        <w:tc>
          <w:tcPr>
            <w:tcW w:w="963" w:type="dxa"/>
            <w:tcBorders>
              <w:bottom w:val="single" w:sz="4" w:space="0" w:color="auto"/>
            </w:tcBorders>
            <w:vAlign w:val="bottom"/>
            <w:hideMark/>
          </w:tcPr>
          <w:p w:rsidR="00853EF6" w:rsidRPr="00EE319D" w:rsidRDefault="00853EF6" w:rsidP="00EE319D">
            <w:pPr>
              <w:jc w:val="right"/>
            </w:pPr>
            <w:r w:rsidRPr="00EE319D">
              <w:t>898,729</w:t>
            </w:r>
          </w:p>
        </w:tc>
        <w:tc>
          <w:tcPr>
            <w:tcW w:w="1038" w:type="dxa"/>
            <w:tcBorders>
              <w:bottom w:val="single" w:sz="4" w:space="0" w:color="auto"/>
            </w:tcBorders>
            <w:vAlign w:val="bottom"/>
          </w:tcPr>
          <w:p w:rsidR="00853EF6" w:rsidRPr="00EE319D" w:rsidRDefault="00EE319D" w:rsidP="00EE319D">
            <w:pPr>
              <w:jc w:val="right"/>
            </w:pPr>
            <w:r w:rsidRPr="00EE319D">
              <w:t xml:space="preserve">889,357 </w:t>
            </w:r>
            <w:r w:rsidR="00853EF6" w:rsidRPr="00EE319D">
              <w:t xml:space="preserve">            </w:t>
            </w:r>
          </w:p>
        </w:tc>
        <w:tc>
          <w:tcPr>
            <w:tcW w:w="1002" w:type="dxa"/>
            <w:tcBorders>
              <w:bottom w:val="single" w:sz="4" w:space="0" w:color="auto"/>
            </w:tcBorders>
            <w:vAlign w:val="bottom"/>
            <w:hideMark/>
          </w:tcPr>
          <w:p w:rsidR="00853EF6" w:rsidRPr="00EE319D" w:rsidRDefault="00853EF6" w:rsidP="00EE319D">
            <w:pPr>
              <w:jc w:val="right"/>
            </w:pPr>
            <w:r w:rsidRPr="00EE319D">
              <w:t>177,465</w:t>
            </w:r>
          </w:p>
        </w:tc>
        <w:tc>
          <w:tcPr>
            <w:tcW w:w="999" w:type="dxa"/>
            <w:tcBorders>
              <w:bottom w:val="single" w:sz="4" w:space="0" w:color="auto"/>
            </w:tcBorders>
            <w:vAlign w:val="bottom"/>
          </w:tcPr>
          <w:p w:rsidR="00853EF6" w:rsidRPr="00EE319D" w:rsidRDefault="00853EF6" w:rsidP="00EE319D">
            <w:pPr>
              <w:jc w:val="right"/>
            </w:pPr>
            <w:r w:rsidRPr="00EE319D">
              <w:t xml:space="preserve">161,659 </w:t>
            </w:r>
          </w:p>
        </w:tc>
        <w:tc>
          <w:tcPr>
            <w:tcW w:w="964" w:type="dxa"/>
            <w:tcBorders>
              <w:bottom w:val="single" w:sz="4" w:space="0" w:color="auto"/>
            </w:tcBorders>
            <w:vAlign w:val="bottom"/>
          </w:tcPr>
          <w:p w:rsidR="00853EF6" w:rsidRPr="00EE319D" w:rsidRDefault="00853EF6" w:rsidP="00EE319D">
            <w:pPr>
              <w:jc w:val="right"/>
            </w:pPr>
            <w:r w:rsidRPr="00EE319D">
              <w:t xml:space="preserve"> </w:t>
            </w:r>
            <w:r w:rsidR="00EE319D" w:rsidRPr="00EE319D">
              <w:t>213,002</w:t>
            </w:r>
          </w:p>
        </w:tc>
        <w:tc>
          <w:tcPr>
            <w:tcW w:w="1037" w:type="dxa"/>
            <w:tcBorders>
              <w:bottom w:val="single" w:sz="4" w:space="0" w:color="auto"/>
            </w:tcBorders>
            <w:vAlign w:val="bottom"/>
          </w:tcPr>
          <w:p w:rsidR="00853EF6" w:rsidRPr="00EE319D" w:rsidRDefault="00EE319D" w:rsidP="00EE319D">
            <w:pPr>
              <w:jc w:val="right"/>
            </w:pPr>
            <w:r w:rsidRPr="00EE319D">
              <w:t xml:space="preserve">200,285 </w:t>
            </w:r>
          </w:p>
        </w:tc>
        <w:tc>
          <w:tcPr>
            <w:tcW w:w="964" w:type="dxa"/>
            <w:tcBorders>
              <w:bottom w:val="single" w:sz="4" w:space="0" w:color="auto"/>
            </w:tcBorders>
            <w:vAlign w:val="bottom"/>
            <w:hideMark/>
          </w:tcPr>
          <w:p w:rsidR="00853EF6" w:rsidRPr="00EE319D" w:rsidRDefault="00853EF6" w:rsidP="00EE319D">
            <w:pPr>
              <w:jc w:val="right"/>
            </w:pPr>
            <w:r w:rsidRPr="00EE319D">
              <w:t xml:space="preserve">213,002 </w:t>
            </w:r>
          </w:p>
        </w:tc>
        <w:tc>
          <w:tcPr>
            <w:tcW w:w="1037" w:type="dxa"/>
            <w:tcBorders>
              <w:bottom w:val="single" w:sz="4" w:space="0" w:color="auto"/>
            </w:tcBorders>
            <w:vAlign w:val="bottom"/>
          </w:tcPr>
          <w:p w:rsidR="00853EF6" w:rsidRPr="00EE319D" w:rsidRDefault="00EE319D" w:rsidP="00EE319D">
            <w:pPr>
              <w:jc w:val="right"/>
            </w:pPr>
            <w:r w:rsidRPr="00EE319D">
              <w:t xml:space="preserve">     199.95 </w:t>
            </w:r>
          </w:p>
        </w:tc>
      </w:tr>
      <w:tr w:rsidR="00EE319D" w:rsidTr="00EE319D">
        <w:tc>
          <w:tcPr>
            <w:tcW w:w="617" w:type="dxa"/>
            <w:tcBorders>
              <w:top w:val="single" w:sz="4" w:space="0" w:color="auto"/>
              <w:bottom w:val="single" w:sz="4" w:space="0" w:color="auto"/>
            </w:tcBorders>
            <w:hideMark/>
          </w:tcPr>
          <w:p w:rsidR="00EE319D" w:rsidRPr="008B2F65" w:rsidRDefault="00EE319D" w:rsidP="00853EF6">
            <w:pPr>
              <w:jc w:val="center"/>
            </w:pPr>
            <w:r>
              <w:lastRenderedPageBreak/>
              <w:t>AME</w:t>
            </w:r>
          </w:p>
        </w:tc>
        <w:tc>
          <w:tcPr>
            <w:tcW w:w="2001" w:type="dxa"/>
            <w:gridSpan w:val="2"/>
            <w:tcBorders>
              <w:top w:val="single" w:sz="4" w:space="0" w:color="auto"/>
              <w:bottom w:val="single" w:sz="4" w:space="0" w:color="auto"/>
            </w:tcBorders>
            <w:vAlign w:val="bottom"/>
            <w:hideMark/>
          </w:tcPr>
          <w:p w:rsidR="00EE319D" w:rsidRPr="00EE319D" w:rsidRDefault="00EE319D" w:rsidP="00EE319D">
            <w:pPr>
              <w:jc w:val="center"/>
            </w:pPr>
            <w:r w:rsidRPr="00EE319D">
              <w:t>0.0978</w:t>
            </w:r>
          </w:p>
        </w:tc>
        <w:tc>
          <w:tcPr>
            <w:tcW w:w="2001" w:type="dxa"/>
            <w:gridSpan w:val="2"/>
            <w:tcBorders>
              <w:top w:val="single" w:sz="4" w:space="0" w:color="auto"/>
              <w:bottom w:val="single" w:sz="4" w:space="0" w:color="auto"/>
            </w:tcBorders>
            <w:vAlign w:val="bottom"/>
            <w:hideMark/>
          </w:tcPr>
          <w:p w:rsidR="00EE319D" w:rsidRPr="00EE319D" w:rsidRDefault="00EE319D" w:rsidP="00EE319D">
            <w:pPr>
              <w:jc w:val="center"/>
            </w:pPr>
            <w:r w:rsidRPr="00EE319D">
              <w:t>0.0105</w:t>
            </w:r>
          </w:p>
        </w:tc>
        <w:tc>
          <w:tcPr>
            <w:tcW w:w="2001" w:type="dxa"/>
            <w:gridSpan w:val="2"/>
            <w:tcBorders>
              <w:top w:val="single" w:sz="4" w:space="0" w:color="auto"/>
              <w:bottom w:val="single" w:sz="4" w:space="0" w:color="auto"/>
            </w:tcBorders>
            <w:vAlign w:val="bottom"/>
          </w:tcPr>
          <w:p w:rsidR="00EE319D" w:rsidRPr="00EE319D" w:rsidRDefault="00EE319D" w:rsidP="00EE319D">
            <w:pPr>
              <w:jc w:val="center"/>
            </w:pPr>
            <w:r w:rsidRPr="00EE319D">
              <w:t>0.0635</w:t>
            </w:r>
          </w:p>
        </w:tc>
        <w:tc>
          <w:tcPr>
            <w:tcW w:w="2001" w:type="dxa"/>
            <w:gridSpan w:val="2"/>
            <w:tcBorders>
              <w:top w:val="single" w:sz="4" w:space="0" w:color="auto"/>
              <w:bottom w:val="single" w:sz="4" w:space="0" w:color="auto"/>
            </w:tcBorders>
            <w:vAlign w:val="bottom"/>
            <w:hideMark/>
          </w:tcPr>
          <w:p w:rsidR="00EE319D" w:rsidRPr="00EE319D" w:rsidRDefault="00EE319D" w:rsidP="00EE319D">
            <w:pPr>
              <w:jc w:val="center"/>
            </w:pPr>
            <w:r w:rsidRPr="00EE319D">
              <w:t>0.0382</w:t>
            </w:r>
          </w:p>
        </w:tc>
      </w:tr>
    </w:tbl>
    <w:p w:rsidR="00C529A3" w:rsidRPr="00834536" w:rsidRDefault="00C529A3"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314007" w:rsidRDefault="00121FF6" w:rsidP="003140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121FF6">
        <w:rPr>
          <w:rFonts w:ascii="Times New Roman" w:eastAsia="Times New Roman" w:hAnsi="Times New Roman" w:cs="Times New Roman"/>
          <w:color w:val="000000"/>
          <w:lang w:val="id-ID"/>
        </w:rPr>
        <w:t>From Table 1,  AME values for population, household, total household, and energy usage from other sectors are 9.78%, 1.05%, 6.35%, and 3.82%, respectively. Base on our target to use 30% AME standard values, it is shown that the model has met the goal accurately. Therefore the simulation result may be valid in the nearest future</w:t>
      </w:r>
      <w:r w:rsidR="00314007">
        <w:rPr>
          <w:rFonts w:ascii="Times New Roman" w:eastAsia="Times New Roman" w:hAnsi="Times New Roman" w:cs="Times New Roman"/>
          <w:color w:val="000000"/>
          <w:lang w:val="id-ID"/>
        </w:rPr>
        <w:t xml:space="preserve">. </w:t>
      </w:r>
    </w:p>
    <w:p w:rsidR="00834536" w:rsidRDefault="00834536" w:rsidP="008345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011643" w:rsidRDefault="0032321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32321A">
        <w:rPr>
          <w:rFonts w:ascii="Times New Roman" w:eastAsia="Times New Roman" w:hAnsi="Times New Roman" w:cs="Times New Roman"/>
          <w:b/>
          <w:color w:val="000000"/>
        </w:rPr>
        <w:t>Conclusion</w:t>
      </w:r>
    </w:p>
    <w:p w:rsidR="00011643" w:rsidRDefault="00121FF6">
      <w:pPr>
        <w:spacing w:after="0"/>
        <w:jc w:val="both"/>
        <w:rPr>
          <w:rFonts w:ascii="Times New Roman" w:eastAsia="Times New Roman" w:hAnsi="Times New Roman" w:cs="Times New Roman"/>
          <w:color w:val="000000"/>
        </w:rPr>
      </w:pPr>
      <w:r w:rsidRPr="00121FF6">
        <w:rPr>
          <w:rFonts w:ascii="Times New Roman" w:eastAsia="Times New Roman" w:hAnsi="Times New Roman" w:cs="Times New Roman"/>
          <w:color w:val="000000"/>
          <w:lang w:val="id-ID"/>
        </w:rPr>
        <w:t>System dynamics modeling has been used in this research for estimating the energy demand of West Papua Province. Later two scenarios were given to investigate the ability of generation units in supporting the demand. The simulation result shows that for the BAU model, the generation capacity is fulfilled the demand.  The province needs new generation units to bear the demand since the existing generation units may not sufficient in 2043 or 2047, as simulated in scenarios 2 and 1. It is seen from the energy demand that upwards from 3741.87 GWh to 5012.09 GWh and 7406.98 GWh in 2050 simulated in BAU, scenarios 1 and 2. On the other hand, the electrification ratio is reached in 2022 in every simulation, which means that the province satisfies its population with enough electricity supply in that year</w:t>
      </w:r>
      <w:r w:rsidR="00787287">
        <w:rPr>
          <w:rFonts w:ascii="Times New Roman" w:eastAsia="Times New Roman" w:hAnsi="Times New Roman" w:cs="Times New Roman"/>
          <w:color w:val="000000"/>
          <w:lang w:val="id-ID"/>
        </w:rPr>
        <w:t>.</w:t>
      </w:r>
    </w:p>
    <w:p w:rsidR="00011643" w:rsidRDefault="00011643">
      <w:pPr>
        <w:spacing w:after="0"/>
        <w:rPr>
          <w:rFonts w:ascii="Times New Roman" w:eastAsia="Times New Roman" w:hAnsi="Times New Roman" w:cs="Times New Roman"/>
          <w:color w:val="000000"/>
        </w:rPr>
      </w:pPr>
    </w:p>
    <w:p w:rsidR="00011643" w:rsidRDefault="00F934D6">
      <w:pPr>
        <w:spacing w:after="0"/>
        <w:rPr>
          <w:rFonts w:ascii="Times New Roman" w:eastAsia="Times New Roman" w:hAnsi="Times New Roman" w:cs="Times New Roman"/>
          <w:b/>
        </w:rPr>
      </w:pPr>
      <w:r>
        <w:rPr>
          <w:rFonts w:ascii="Times New Roman" w:eastAsia="Times New Roman" w:hAnsi="Times New Roman" w:cs="Times New Roman"/>
          <w:b/>
        </w:rPr>
        <w:t>Acknowledgments</w:t>
      </w:r>
    </w:p>
    <w:p w:rsidR="00011643" w:rsidRPr="008B0A69" w:rsidRDefault="00F934D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rPr>
        <w:t xml:space="preserve">Authors wishing to acknowledge </w:t>
      </w:r>
      <w:r w:rsidR="008B0A69">
        <w:rPr>
          <w:rFonts w:ascii="Times New Roman" w:eastAsia="Times New Roman" w:hAnsi="Times New Roman" w:cs="Times New Roman"/>
          <w:color w:val="000000"/>
          <w:lang w:val="id-ID"/>
        </w:rPr>
        <w:t>the</w:t>
      </w:r>
      <w:r>
        <w:rPr>
          <w:rFonts w:ascii="Times New Roman" w:eastAsia="Times New Roman" w:hAnsi="Times New Roman" w:cs="Times New Roman"/>
          <w:color w:val="000000"/>
        </w:rPr>
        <w:t xml:space="preserve"> </w:t>
      </w:r>
      <w:r w:rsidR="008B0A69">
        <w:rPr>
          <w:rFonts w:ascii="Times New Roman" w:eastAsia="Times New Roman" w:hAnsi="Times New Roman" w:cs="Times New Roman"/>
          <w:color w:val="000000"/>
          <w:lang w:val="id-ID"/>
        </w:rPr>
        <w:t>Electrical Engineering Department as well as Engineering Faculty of Papua University for supporting this research and publication.</w:t>
      </w:r>
    </w:p>
    <w:p w:rsidR="00011643" w:rsidRDefault="0001164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011643" w:rsidRDefault="00F934D6">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rsidR="00CB1646" w:rsidRPr="00CB1646" w:rsidRDefault="00CB1646" w:rsidP="00CB1646">
      <w:pPr>
        <w:pStyle w:val="Bibliography"/>
        <w:rPr>
          <w:rFonts w:ascii="Times New Roman" w:hAnsi="Times New Roman" w:cs="Times New Roman"/>
        </w:rPr>
      </w:pPr>
      <w:r>
        <w:rPr>
          <w:rFonts w:eastAsia="Times New Roman"/>
          <w:color w:val="000000"/>
        </w:rPr>
        <w:fldChar w:fldCharType="begin"/>
      </w:r>
      <w:r>
        <w:rPr>
          <w:rFonts w:eastAsia="Times New Roman"/>
          <w:color w:val="000000"/>
        </w:rPr>
        <w:instrText xml:space="preserve"> ADDIN ZOTERO_BIBL {"uncited":[],"omitted":[],"custom":[]} CSL_BIBLIOGRAPHY </w:instrText>
      </w:r>
      <w:r>
        <w:rPr>
          <w:rFonts w:eastAsia="Times New Roman"/>
          <w:color w:val="000000"/>
        </w:rPr>
        <w:fldChar w:fldCharType="separate"/>
      </w:r>
      <w:r w:rsidRPr="00CB1646">
        <w:rPr>
          <w:rFonts w:ascii="Times New Roman" w:hAnsi="Times New Roman" w:cs="Times New Roman"/>
        </w:rPr>
        <w:t>[1]</w:t>
      </w:r>
      <w:r w:rsidRPr="00CB1646">
        <w:rPr>
          <w:rFonts w:ascii="Times New Roman" w:hAnsi="Times New Roman" w:cs="Times New Roman"/>
        </w:rPr>
        <w:tab/>
        <w:t xml:space="preserve">Badan Perencanaan Pembangunan Daerah, </w:t>
      </w:r>
      <w:r w:rsidRPr="00CB1646">
        <w:rPr>
          <w:rFonts w:ascii="Times New Roman" w:hAnsi="Times New Roman" w:cs="Times New Roman"/>
          <w:i/>
          <w:iCs/>
        </w:rPr>
        <w:t>Rencana Pembangunan Jangka Menengah Provinsi Papua Barat 2017-2022</w:t>
      </w:r>
      <w:r w:rsidRPr="00CB1646">
        <w:rPr>
          <w:rFonts w:ascii="Times New Roman" w:hAnsi="Times New Roman" w:cs="Times New Roman"/>
        </w:rPr>
        <w:t>. West Papua Province, 2017.</w:t>
      </w:r>
    </w:p>
    <w:p w:rsidR="00CB1646" w:rsidRPr="00CB1646" w:rsidRDefault="00CB1646" w:rsidP="00CB1646">
      <w:pPr>
        <w:pStyle w:val="Bibliography"/>
        <w:rPr>
          <w:rFonts w:ascii="Times New Roman" w:hAnsi="Times New Roman" w:cs="Times New Roman"/>
        </w:rPr>
      </w:pPr>
      <w:r w:rsidRPr="00CB1646">
        <w:rPr>
          <w:rFonts w:ascii="Times New Roman" w:hAnsi="Times New Roman" w:cs="Times New Roman"/>
        </w:rPr>
        <w:t>[2]</w:t>
      </w:r>
      <w:r w:rsidRPr="00CB1646">
        <w:rPr>
          <w:rFonts w:ascii="Times New Roman" w:hAnsi="Times New Roman" w:cs="Times New Roman"/>
        </w:rPr>
        <w:tab/>
        <w:t xml:space="preserve">Hendri, M. Karuniasa, S. Prabawardhani, K. Syamsudin, and W. S. Pradafitri, “Scenario for West Papua contribution for NDC from forestry sector,” </w:t>
      </w:r>
      <w:r w:rsidRPr="00CB1646">
        <w:rPr>
          <w:rFonts w:ascii="Times New Roman" w:hAnsi="Times New Roman" w:cs="Times New Roman"/>
          <w:i/>
          <w:iCs/>
        </w:rPr>
        <w:t>IOP Conf. Ser. Earth Environ. Sci.</w:t>
      </w:r>
      <w:r w:rsidRPr="00CB1646">
        <w:rPr>
          <w:rFonts w:ascii="Times New Roman" w:hAnsi="Times New Roman" w:cs="Times New Roman"/>
        </w:rPr>
        <w:t>, vol. 716, no. 1, p. 012017, Mar. 2021, doi: 10.1088/1755-1315/716/1/012017.</w:t>
      </w:r>
    </w:p>
    <w:p w:rsidR="00CB1646" w:rsidRPr="00CB1646" w:rsidRDefault="00CB1646" w:rsidP="00CB1646">
      <w:pPr>
        <w:pStyle w:val="Bibliography"/>
        <w:rPr>
          <w:rFonts w:ascii="Times New Roman" w:hAnsi="Times New Roman" w:cs="Times New Roman"/>
        </w:rPr>
      </w:pPr>
      <w:r w:rsidRPr="00CB1646">
        <w:rPr>
          <w:rFonts w:ascii="Times New Roman" w:hAnsi="Times New Roman" w:cs="Times New Roman"/>
        </w:rPr>
        <w:t>[3]</w:t>
      </w:r>
      <w:r w:rsidRPr="00CB1646">
        <w:rPr>
          <w:rFonts w:ascii="Times New Roman" w:hAnsi="Times New Roman" w:cs="Times New Roman"/>
        </w:rPr>
        <w:tab/>
        <w:t xml:space="preserve">F. Wehantouw </w:t>
      </w:r>
      <w:r w:rsidRPr="00CB1646">
        <w:rPr>
          <w:rFonts w:ascii="Times New Roman" w:hAnsi="Times New Roman" w:cs="Times New Roman"/>
          <w:i/>
          <w:iCs/>
        </w:rPr>
        <w:t>et al.</w:t>
      </w:r>
      <w:r w:rsidRPr="00CB1646">
        <w:rPr>
          <w:rFonts w:ascii="Times New Roman" w:hAnsi="Times New Roman" w:cs="Times New Roman"/>
        </w:rPr>
        <w:t xml:space="preserve">, “Low carbon energy model in West Papua,” </w:t>
      </w:r>
      <w:r w:rsidRPr="00CB1646">
        <w:rPr>
          <w:rFonts w:ascii="Times New Roman" w:hAnsi="Times New Roman" w:cs="Times New Roman"/>
          <w:i/>
          <w:iCs/>
        </w:rPr>
        <w:t>IOP Conf. Ser. Earth Environ. Sci.</w:t>
      </w:r>
      <w:r w:rsidRPr="00CB1646">
        <w:rPr>
          <w:rFonts w:ascii="Times New Roman" w:hAnsi="Times New Roman" w:cs="Times New Roman"/>
        </w:rPr>
        <w:t>, vol. 716, no. 1, p. 012015, Mar. 2021, doi: 10.1088/1755-1315/716/1/012015.</w:t>
      </w:r>
    </w:p>
    <w:p w:rsidR="00CB1646" w:rsidRPr="00CB1646" w:rsidRDefault="00CB1646" w:rsidP="00CB1646">
      <w:pPr>
        <w:pStyle w:val="Bibliography"/>
        <w:rPr>
          <w:rFonts w:ascii="Times New Roman" w:hAnsi="Times New Roman" w:cs="Times New Roman"/>
        </w:rPr>
      </w:pPr>
      <w:r w:rsidRPr="00CB1646">
        <w:rPr>
          <w:rFonts w:ascii="Times New Roman" w:hAnsi="Times New Roman" w:cs="Times New Roman"/>
        </w:rPr>
        <w:t>[4]</w:t>
      </w:r>
      <w:r w:rsidRPr="00CB1646">
        <w:rPr>
          <w:rFonts w:ascii="Times New Roman" w:hAnsi="Times New Roman" w:cs="Times New Roman"/>
        </w:rPr>
        <w:tab/>
        <w:t xml:space="preserve">I. Tjolli, M. Karuniasa, A. B. Rehiara, S. Jance, and I. Lestari, “Development of the sustainable human development index model in West Papua,” </w:t>
      </w:r>
      <w:r w:rsidRPr="00CB1646">
        <w:rPr>
          <w:rFonts w:ascii="Times New Roman" w:hAnsi="Times New Roman" w:cs="Times New Roman"/>
          <w:i/>
          <w:iCs/>
        </w:rPr>
        <w:t>IOP Conf. Ser. Earth Environ. Sci.</w:t>
      </w:r>
      <w:r w:rsidRPr="00CB1646">
        <w:rPr>
          <w:rFonts w:ascii="Times New Roman" w:hAnsi="Times New Roman" w:cs="Times New Roman"/>
        </w:rPr>
        <w:t>, vol. 716, no. 1, p. 012106, Mar. 2021, doi: 10.1088/1755-1315/716/1/012106.</w:t>
      </w:r>
    </w:p>
    <w:p w:rsidR="00CB1646" w:rsidRPr="00CB1646" w:rsidRDefault="00CB1646" w:rsidP="00CB1646">
      <w:pPr>
        <w:pStyle w:val="Bibliography"/>
        <w:rPr>
          <w:rFonts w:ascii="Times New Roman" w:hAnsi="Times New Roman" w:cs="Times New Roman"/>
        </w:rPr>
      </w:pPr>
      <w:r w:rsidRPr="00CB1646">
        <w:rPr>
          <w:rFonts w:ascii="Times New Roman" w:hAnsi="Times New Roman" w:cs="Times New Roman"/>
        </w:rPr>
        <w:t>[5]</w:t>
      </w:r>
      <w:r w:rsidRPr="00CB1646">
        <w:rPr>
          <w:rFonts w:ascii="Times New Roman" w:hAnsi="Times New Roman" w:cs="Times New Roman"/>
        </w:rPr>
        <w:tab/>
        <w:t xml:space="preserve">R. N. Wurarah, M. Karuniasa, F. Wehantouw, A. Tuharea, and M. Muhsin, “Towards an eco-industrial development in West Papua economy,” </w:t>
      </w:r>
      <w:r w:rsidRPr="00CB1646">
        <w:rPr>
          <w:rFonts w:ascii="Times New Roman" w:hAnsi="Times New Roman" w:cs="Times New Roman"/>
          <w:i/>
          <w:iCs/>
        </w:rPr>
        <w:t>IOP Conf. Ser. Earth Environ. Sci.</w:t>
      </w:r>
      <w:r w:rsidRPr="00CB1646">
        <w:rPr>
          <w:rFonts w:ascii="Times New Roman" w:hAnsi="Times New Roman" w:cs="Times New Roman"/>
        </w:rPr>
        <w:t>, vol. 716, no. 1, p. 012104, Mar. 2021.</w:t>
      </w:r>
    </w:p>
    <w:p w:rsidR="00CB1646" w:rsidRPr="00CB1646" w:rsidRDefault="00CB1646" w:rsidP="00CB1646">
      <w:pPr>
        <w:pStyle w:val="Bibliography"/>
        <w:rPr>
          <w:rFonts w:ascii="Times New Roman" w:hAnsi="Times New Roman" w:cs="Times New Roman"/>
        </w:rPr>
      </w:pPr>
      <w:r w:rsidRPr="00CB1646">
        <w:rPr>
          <w:rFonts w:ascii="Times New Roman" w:hAnsi="Times New Roman" w:cs="Times New Roman"/>
        </w:rPr>
        <w:t>[6]</w:t>
      </w:r>
      <w:r w:rsidRPr="00CB1646">
        <w:rPr>
          <w:rFonts w:ascii="Times New Roman" w:hAnsi="Times New Roman" w:cs="Times New Roman"/>
        </w:rPr>
        <w:tab/>
        <w:t xml:space="preserve">S. Prabawardani, Hendri, M. Karuniasa, K. Syamsudin, C. Maharani, and F. Munichputranto, “Towards a low carbon solid waste management in West Papua,” </w:t>
      </w:r>
      <w:r w:rsidRPr="00CB1646">
        <w:rPr>
          <w:rFonts w:ascii="Times New Roman" w:hAnsi="Times New Roman" w:cs="Times New Roman"/>
          <w:i/>
          <w:iCs/>
        </w:rPr>
        <w:t>IOP Conf. Ser. Earth Environ. Sci.</w:t>
      </w:r>
      <w:r w:rsidRPr="00CB1646">
        <w:rPr>
          <w:rFonts w:ascii="Times New Roman" w:hAnsi="Times New Roman" w:cs="Times New Roman"/>
        </w:rPr>
        <w:t>, vol. 716, no. 1, p. 012016, Mar. 2021, doi: 10.1088/1755-1315/716/1/012016.</w:t>
      </w:r>
    </w:p>
    <w:p w:rsidR="00CB1646" w:rsidRPr="00CB1646" w:rsidRDefault="00CB1646" w:rsidP="00CB1646">
      <w:pPr>
        <w:pStyle w:val="Bibliography"/>
        <w:rPr>
          <w:rFonts w:ascii="Times New Roman" w:hAnsi="Times New Roman" w:cs="Times New Roman"/>
        </w:rPr>
      </w:pPr>
      <w:r w:rsidRPr="00CB1646">
        <w:rPr>
          <w:rFonts w:ascii="Times New Roman" w:hAnsi="Times New Roman" w:cs="Times New Roman"/>
        </w:rPr>
        <w:t>[7]</w:t>
      </w:r>
      <w:r w:rsidRPr="00CB1646">
        <w:rPr>
          <w:rFonts w:ascii="Times New Roman" w:hAnsi="Times New Roman" w:cs="Times New Roman"/>
        </w:rPr>
        <w:tab/>
        <w:t xml:space="preserve">Anonymous, </w:t>
      </w:r>
      <w:r w:rsidRPr="00CB1646">
        <w:rPr>
          <w:rFonts w:ascii="Times New Roman" w:hAnsi="Times New Roman" w:cs="Times New Roman"/>
          <w:i/>
          <w:iCs/>
        </w:rPr>
        <w:t>Papua Barat Dalam Angka</w:t>
      </w:r>
      <w:r w:rsidRPr="00CB1646">
        <w:rPr>
          <w:rFonts w:ascii="Times New Roman" w:hAnsi="Times New Roman" w:cs="Times New Roman"/>
        </w:rPr>
        <w:t>. Central Bureau of Statistics, 2010.</w:t>
      </w:r>
    </w:p>
    <w:p w:rsidR="00CB1646" w:rsidRPr="00CB1646" w:rsidRDefault="00CB1646" w:rsidP="00CB1646">
      <w:pPr>
        <w:pStyle w:val="Bibliography"/>
        <w:rPr>
          <w:rFonts w:ascii="Times New Roman" w:hAnsi="Times New Roman" w:cs="Times New Roman"/>
        </w:rPr>
      </w:pPr>
      <w:r w:rsidRPr="00CB1646">
        <w:rPr>
          <w:rFonts w:ascii="Times New Roman" w:hAnsi="Times New Roman" w:cs="Times New Roman"/>
        </w:rPr>
        <w:t>[8]</w:t>
      </w:r>
      <w:r w:rsidRPr="00CB1646">
        <w:rPr>
          <w:rFonts w:ascii="Times New Roman" w:hAnsi="Times New Roman" w:cs="Times New Roman"/>
        </w:rPr>
        <w:tab/>
        <w:t xml:space="preserve">Anonymous, </w:t>
      </w:r>
      <w:r w:rsidRPr="00CB1646">
        <w:rPr>
          <w:rFonts w:ascii="Times New Roman" w:hAnsi="Times New Roman" w:cs="Times New Roman"/>
          <w:i/>
          <w:iCs/>
        </w:rPr>
        <w:t>Statistik Ketenagalistrikan</w:t>
      </w:r>
      <w:r w:rsidRPr="00CB1646">
        <w:rPr>
          <w:rFonts w:ascii="Times New Roman" w:hAnsi="Times New Roman" w:cs="Times New Roman"/>
        </w:rPr>
        <w:t>. Ministry of Energy and Mineral Resources, 2010.</w:t>
      </w:r>
    </w:p>
    <w:p w:rsidR="00CB1646" w:rsidRPr="00CB1646" w:rsidRDefault="00CB1646" w:rsidP="00CB1646">
      <w:pPr>
        <w:pStyle w:val="Bibliography"/>
        <w:rPr>
          <w:rFonts w:ascii="Times New Roman" w:hAnsi="Times New Roman" w:cs="Times New Roman"/>
        </w:rPr>
      </w:pPr>
      <w:r w:rsidRPr="00CB1646">
        <w:rPr>
          <w:rFonts w:ascii="Times New Roman" w:hAnsi="Times New Roman" w:cs="Times New Roman"/>
        </w:rPr>
        <w:t>[9]</w:t>
      </w:r>
      <w:r w:rsidRPr="00CB1646">
        <w:rPr>
          <w:rFonts w:ascii="Times New Roman" w:hAnsi="Times New Roman" w:cs="Times New Roman"/>
        </w:rPr>
        <w:tab/>
        <w:t xml:space="preserve">Anonymous, </w:t>
      </w:r>
      <w:r w:rsidRPr="00CB1646">
        <w:rPr>
          <w:rFonts w:ascii="Times New Roman" w:hAnsi="Times New Roman" w:cs="Times New Roman"/>
          <w:i/>
          <w:iCs/>
        </w:rPr>
        <w:t>Statistik PLN</w:t>
      </w:r>
      <w:r w:rsidRPr="00CB1646">
        <w:rPr>
          <w:rFonts w:ascii="Times New Roman" w:hAnsi="Times New Roman" w:cs="Times New Roman"/>
        </w:rPr>
        <w:t>. State Electricity Company, 2021.</w:t>
      </w:r>
    </w:p>
    <w:p w:rsidR="00263BA2" w:rsidRDefault="00CB1646">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end"/>
      </w:r>
    </w:p>
    <w:p w:rsidR="00011643" w:rsidRDefault="00011643">
      <w:pPr>
        <w:spacing w:after="240"/>
        <w:rPr>
          <w:rFonts w:ascii="Times New Roman" w:eastAsia="Times New Roman" w:hAnsi="Times New Roman" w:cs="Times New Roman"/>
          <w:b/>
        </w:rPr>
      </w:pPr>
    </w:p>
    <w:sectPr w:rsidR="00011643" w:rsidSect="00E479C2">
      <w:pgSz w:w="11906" w:h="16838"/>
      <w:pgMar w:top="2268" w:right="1418" w:bottom="1531"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52" w:rsidRDefault="00513452" w:rsidP="00513452">
      <w:pPr>
        <w:spacing w:after="0" w:line="240" w:lineRule="auto"/>
      </w:pPr>
      <w:r>
        <w:separator/>
      </w:r>
    </w:p>
  </w:endnote>
  <w:endnote w:type="continuationSeparator" w:id="0">
    <w:p w:rsidR="00513452" w:rsidRDefault="00513452" w:rsidP="0051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52" w:rsidRDefault="00513452" w:rsidP="00513452">
      <w:pPr>
        <w:spacing w:after="0" w:line="240" w:lineRule="auto"/>
      </w:pPr>
      <w:r>
        <w:separator/>
      </w:r>
    </w:p>
  </w:footnote>
  <w:footnote w:type="continuationSeparator" w:id="0">
    <w:p w:rsidR="00513452" w:rsidRDefault="00513452" w:rsidP="00513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133"/>
    <w:multiLevelType w:val="hybridMultilevel"/>
    <w:tmpl w:val="226A7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42F9B"/>
    <w:multiLevelType w:val="multilevel"/>
    <w:tmpl w:val="227AFC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C6D5495"/>
    <w:multiLevelType w:val="hybridMultilevel"/>
    <w:tmpl w:val="279270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7D47BF"/>
    <w:multiLevelType w:val="hybridMultilevel"/>
    <w:tmpl w:val="4E209B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54111EF"/>
    <w:multiLevelType w:val="hybridMultilevel"/>
    <w:tmpl w:val="226A7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E22F76"/>
    <w:multiLevelType w:val="multilevel"/>
    <w:tmpl w:val="DC2ACD98"/>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43"/>
    <w:rsid w:val="0000024A"/>
    <w:rsid w:val="00011643"/>
    <w:rsid w:val="00015E3E"/>
    <w:rsid w:val="00025EC3"/>
    <w:rsid w:val="0008080B"/>
    <w:rsid w:val="00082B89"/>
    <w:rsid w:val="000D148F"/>
    <w:rsid w:val="00121FF6"/>
    <w:rsid w:val="001263A7"/>
    <w:rsid w:val="0013508E"/>
    <w:rsid w:val="00154F32"/>
    <w:rsid w:val="00156F66"/>
    <w:rsid w:val="002456DD"/>
    <w:rsid w:val="00252891"/>
    <w:rsid w:val="00262536"/>
    <w:rsid w:val="00263BA2"/>
    <w:rsid w:val="0027228E"/>
    <w:rsid w:val="00275449"/>
    <w:rsid w:val="002C52DB"/>
    <w:rsid w:val="00314007"/>
    <w:rsid w:val="003152CC"/>
    <w:rsid w:val="0032321A"/>
    <w:rsid w:val="00330BA7"/>
    <w:rsid w:val="0033372E"/>
    <w:rsid w:val="00356EA1"/>
    <w:rsid w:val="003B1A40"/>
    <w:rsid w:val="003C1C4A"/>
    <w:rsid w:val="003C3C9F"/>
    <w:rsid w:val="003C6853"/>
    <w:rsid w:val="00430391"/>
    <w:rsid w:val="00437A6C"/>
    <w:rsid w:val="00464583"/>
    <w:rsid w:val="00464CDD"/>
    <w:rsid w:val="004803C6"/>
    <w:rsid w:val="004A0EA6"/>
    <w:rsid w:val="004A55BB"/>
    <w:rsid w:val="004C22CE"/>
    <w:rsid w:val="004D161B"/>
    <w:rsid w:val="00513452"/>
    <w:rsid w:val="005164BB"/>
    <w:rsid w:val="005259EF"/>
    <w:rsid w:val="0053322E"/>
    <w:rsid w:val="00560D99"/>
    <w:rsid w:val="00580550"/>
    <w:rsid w:val="00590499"/>
    <w:rsid w:val="005E13B5"/>
    <w:rsid w:val="006007D6"/>
    <w:rsid w:val="006021E8"/>
    <w:rsid w:val="00616D64"/>
    <w:rsid w:val="00626F20"/>
    <w:rsid w:val="0065217B"/>
    <w:rsid w:val="00657263"/>
    <w:rsid w:val="006713B2"/>
    <w:rsid w:val="006A6AF0"/>
    <w:rsid w:val="006E4168"/>
    <w:rsid w:val="006F29F6"/>
    <w:rsid w:val="00774873"/>
    <w:rsid w:val="00787287"/>
    <w:rsid w:val="007954BC"/>
    <w:rsid w:val="0079726F"/>
    <w:rsid w:val="007A4AA1"/>
    <w:rsid w:val="007A56AA"/>
    <w:rsid w:val="007A7C20"/>
    <w:rsid w:val="007E25D5"/>
    <w:rsid w:val="007F4351"/>
    <w:rsid w:val="007F7452"/>
    <w:rsid w:val="00801752"/>
    <w:rsid w:val="00834536"/>
    <w:rsid w:val="00845C3C"/>
    <w:rsid w:val="00853EF6"/>
    <w:rsid w:val="00882CE5"/>
    <w:rsid w:val="00883F34"/>
    <w:rsid w:val="008B0A69"/>
    <w:rsid w:val="008B1558"/>
    <w:rsid w:val="00952056"/>
    <w:rsid w:val="009718D3"/>
    <w:rsid w:val="009825A9"/>
    <w:rsid w:val="00986641"/>
    <w:rsid w:val="009A6B52"/>
    <w:rsid w:val="009B768A"/>
    <w:rsid w:val="009C58F3"/>
    <w:rsid w:val="009C5C1A"/>
    <w:rsid w:val="00A7576E"/>
    <w:rsid w:val="00A97614"/>
    <w:rsid w:val="00AC51BA"/>
    <w:rsid w:val="00AE49C0"/>
    <w:rsid w:val="00B00B39"/>
    <w:rsid w:val="00B35065"/>
    <w:rsid w:val="00B35E0D"/>
    <w:rsid w:val="00B41A97"/>
    <w:rsid w:val="00B44A1C"/>
    <w:rsid w:val="00BA5DC8"/>
    <w:rsid w:val="00BA78BD"/>
    <w:rsid w:val="00BC0A55"/>
    <w:rsid w:val="00C07015"/>
    <w:rsid w:val="00C21212"/>
    <w:rsid w:val="00C529A3"/>
    <w:rsid w:val="00CB1646"/>
    <w:rsid w:val="00CE156A"/>
    <w:rsid w:val="00CF4442"/>
    <w:rsid w:val="00D641BF"/>
    <w:rsid w:val="00D90CFA"/>
    <w:rsid w:val="00DA1699"/>
    <w:rsid w:val="00DC6E82"/>
    <w:rsid w:val="00DD649A"/>
    <w:rsid w:val="00DF4120"/>
    <w:rsid w:val="00E142CB"/>
    <w:rsid w:val="00E35BC7"/>
    <w:rsid w:val="00E479C2"/>
    <w:rsid w:val="00ED3A9C"/>
    <w:rsid w:val="00EE319D"/>
    <w:rsid w:val="00EF15E0"/>
    <w:rsid w:val="00F058BC"/>
    <w:rsid w:val="00F25648"/>
    <w:rsid w:val="00F303D9"/>
    <w:rsid w:val="00F54CE5"/>
    <w:rsid w:val="00F934D6"/>
    <w:rsid w:val="00FC56B2"/>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paragraph" w:styleId="Bibliography">
    <w:name w:val="Bibliography"/>
    <w:basedOn w:val="Normal"/>
    <w:next w:val="Normal"/>
    <w:uiPriority w:val="37"/>
    <w:unhideWhenUsed/>
    <w:rsid w:val="00263BA2"/>
    <w:pPr>
      <w:tabs>
        <w:tab w:val="left" w:pos="384"/>
      </w:tabs>
      <w:spacing w:after="0" w:line="240" w:lineRule="auto"/>
      <w:ind w:left="384" w:hanging="384"/>
    </w:pPr>
  </w:style>
  <w:style w:type="paragraph" w:styleId="Header">
    <w:name w:val="header"/>
    <w:basedOn w:val="Normal"/>
    <w:link w:val="HeaderChar"/>
    <w:uiPriority w:val="99"/>
    <w:semiHidden/>
    <w:unhideWhenUsed/>
    <w:rsid w:val="005134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452"/>
  </w:style>
  <w:style w:type="paragraph" w:styleId="Footer">
    <w:name w:val="footer"/>
    <w:basedOn w:val="Normal"/>
    <w:link w:val="FooterChar"/>
    <w:uiPriority w:val="99"/>
    <w:semiHidden/>
    <w:unhideWhenUsed/>
    <w:rsid w:val="005134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452"/>
  </w:style>
  <w:style w:type="table" w:customStyle="1" w:styleId="Style43">
    <w:name w:val="_Style 43"/>
    <w:basedOn w:val="TableNormal"/>
    <w:rsid w:val="00C529A3"/>
    <w:pPr>
      <w:spacing w:after="0" w:line="240" w:lineRule="auto"/>
    </w:pPr>
    <w:rPr>
      <w:rFonts w:ascii="Times New Roman" w:eastAsia="Times New Roman" w:hAnsi="Times New Roman" w:cs="Times New Roman"/>
      <w:sz w:val="20"/>
      <w:szCs w:val="20"/>
      <w:lang w:val="en-US" w:eastAsia="ja-JP"/>
    </w:rPr>
    <w:tblPr>
      <w:tblInd w:w="0" w:type="dxa"/>
      <w:tblCellMar>
        <w:top w:w="40" w:type="dxa"/>
        <w:left w:w="0" w:type="dxa"/>
        <w:bottom w:w="40" w:type="dxa"/>
        <w:right w:w="0" w:type="dxa"/>
      </w:tblCellMar>
    </w:tblPr>
  </w:style>
  <w:style w:type="character" w:customStyle="1" w:styleId="fontstyle01">
    <w:name w:val="fontstyle01"/>
    <w:basedOn w:val="DefaultParagraphFont"/>
    <w:rsid w:val="00657263"/>
    <w:rPr>
      <w:rFonts w:ascii="ArialMT" w:hAnsi="ArialMT"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paragraph" w:styleId="Bibliography">
    <w:name w:val="Bibliography"/>
    <w:basedOn w:val="Normal"/>
    <w:next w:val="Normal"/>
    <w:uiPriority w:val="37"/>
    <w:unhideWhenUsed/>
    <w:rsid w:val="00263BA2"/>
    <w:pPr>
      <w:tabs>
        <w:tab w:val="left" w:pos="384"/>
      </w:tabs>
      <w:spacing w:after="0" w:line="240" w:lineRule="auto"/>
      <w:ind w:left="384" w:hanging="384"/>
    </w:pPr>
  </w:style>
  <w:style w:type="paragraph" w:styleId="Header">
    <w:name w:val="header"/>
    <w:basedOn w:val="Normal"/>
    <w:link w:val="HeaderChar"/>
    <w:uiPriority w:val="99"/>
    <w:semiHidden/>
    <w:unhideWhenUsed/>
    <w:rsid w:val="005134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452"/>
  </w:style>
  <w:style w:type="paragraph" w:styleId="Footer">
    <w:name w:val="footer"/>
    <w:basedOn w:val="Normal"/>
    <w:link w:val="FooterChar"/>
    <w:uiPriority w:val="99"/>
    <w:semiHidden/>
    <w:unhideWhenUsed/>
    <w:rsid w:val="005134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452"/>
  </w:style>
  <w:style w:type="table" w:customStyle="1" w:styleId="Style43">
    <w:name w:val="_Style 43"/>
    <w:basedOn w:val="TableNormal"/>
    <w:rsid w:val="00C529A3"/>
    <w:pPr>
      <w:spacing w:after="0" w:line="240" w:lineRule="auto"/>
    </w:pPr>
    <w:rPr>
      <w:rFonts w:ascii="Times New Roman" w:eastAsia="Times New Roman" w:hAnsi="Times New Roman" w:cs="Times New Roman"/>
      <w:sz w:val="20"/>
      <w:szCs w:val="20"/>
      <w:lang w:val="en-US" w:eastAsia="ja-JP"/>
    </w:rPr>
    <w:tblPr>
      <w:tblInd w:w="0" w:type="dxa"/>
      <w:tblCellMar>
        <w:top w:w="40" w:type="dxa"/>
        <w:left w:w="0" w:type="dxa"/>
        <w:bottom w:w="40" w:type="dxa"/>
        <w:right w:w="0" w:type="dxa"/>
      </w:tblCellMar>
    </w:tblPr>
  </w:style>
  <w:style w:type="character" w:customStyle="1" w:styleId="fontstyle01">
    <w:name w:val="fontstyle01"/>
    <w:basedOn w:val="DefaultParagraphFont"/>
    <w:rsid w:val="00657263"/>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8426">
      <w:bodyDiv w:val="1"/>
      <w:marLeft w:val="0"/>
      <w:marRight w:val="0"/>
      <w:marTop w:val="0"/>
      <w:marBottom w:val="0"/>
      <w:divBdr>
        <w:top w:val="none" w:sz="0" w:space="0" w:color="auto"/>
        <w:left w:val="none" w:sz="0" w:space="0" w:color="auto"/>
        <w:bottom w:val="none" w:sz="0" w:space="0" w:color="auto"/>
        <w:right w:val="none" w:sz="0" w:space="0" w:color="auto"/>
      </w:divBdr>
    </w:div>
    <w:div w:id="284117857">
      <w:bodyDiv w:val="1"/>
      <w:marLeft w:val="0"/>
      <w:marRight w:val="0"/>
      <w:marTop w:val="0"/>
      <w:marBottom w:val="0"/>
      <w:divBdr>
        <w:top w:val="none" w:sz="0" w:space="0" w:color="auto"/>
        <w:left w:val="none" w:sz="0" w:space="0" w:color="auto"/>
        <w:bottom w:val="none" w:sz="0" w:space="0" w:color="auto"/>
        <w:right w:val="none" w:sz="0" w:space="0" w:color="auto"/>
      </w:divBdr>
    </w:div>
    <w:div w:id="502554051">
      <w:bodyDiv w:val="1"/>
      <w:marLeft w:val="0"/>
      <w:marRight w:val="0"/>
      <w:marTop w:val="0"/>
      <w:marBottom w:val="0"/>
      <w:divBdr>
        <w:top w:val="none" w:sz="0" w:space="0" w:color="auto"/>
        <w:left w:val="none" w:sz="0" w:space="0" w:color="auto"/>
        <w:bottom w:val="none" w:sz="0" w:space="0" w:color="auto"/>
        <w:right w:val="none" w:sz="0" w:space="0" w:color="auto"/>
      </w:divBdr>
    </w:div>
    <w:div w:id="523205276">
      <w:bodyDiv w:val="1"/>
      <w:marLeft w:val="0"/>
      <w:marRight w:val="0"/>
      <w:marTop w:val="0"/>
      <w:marBottom w:val="0"/>
      <w:divBdr>
        <w:top w:val="none" w:sz="0" w:space="0" w:color="auto"/>
        <w:left w:val="none" w:sz="0" w:space="0" w:color="auto"/>
        <w:bottom w:val="none" w:sz="0" w:space="0" w:color="auto"/>
        <w:right w:val="none" w:sz="0" w:space="0" w:color="auto"/>
      </w:divBdr>
    </w:div>
    <w:div w:id="646512648">
      <w:bodyDiv w:val="1"/>
      <w:marLeft w:val="0"/>
      <w:marRight w:val="0"/>
      <w:marTop w:val="0"/>
      <w:marBottom w:val="0"/>
      <w:divBdr>
        <w:top w:val="none" w:sz="0" w:space="0" w:color="auto"/>
        <w:left w:val="none" w:sz="0" w:space="0" w:color="auto"/>
        <w:bottom w:val="none" w:sz="0" w:space="0" w:color="auto"/>
        <w:right w:val="none" w:sz="0" w:space="0" w:color="auto"/>
      </w:divBdr>
    </w:div>
    <w:div w:id="712538903">
      <w:bodyDiv w:val="1"/>
      <w:marLeft w:val="0"/>
      <w:marRight w:val="0"/>
      <w:marTop w:val="0"/>
      <w:marBottom w:val="0"/>
      <w:divBdr>
        <w:top w:val="none" w:sz="0" w:space="0" w:color="auto"/>
        <w:left w:val="none" w:sz="0" w:space="0" w:color="auto"/>
        <w:bottom w:val="none" w:sz="0" w:space="0" w:color="auto"/>
        <w:right w:val="none" w:sz="0" w:space="0" w:color="auto"/>
      </w:divBdr>
    </w:div>
    <w:div w:id="1012536355">
      <w:bodyDiv w:val="1"/>
      <w:marLeft w:val="0"/>
      <w:marRight w:val="0"/>
      <w:marTop w:val="0"/>
      <w:marBottom w:val="0"/>
      <w:divBdr>
        <w:top w:val="none" w:sz="0" w:space="0" w:color="auto"/>
        <w:left w:val="none" w:sz="0" w:space="0" w:color="auto"/>
        <w:bottom w:val="none" w:sz="0" w:space="0" w:color="auto"/>
        <w:right w:val="none" w:sz="0" w:space="0" w:color="auto"/>
      </w:divBdr>
    </w:div>
    <w:div w:id="1091512738">
      <w:bodyDiv w:val="1"/>
      <w:marLeft w:val="0"/>
      <w:marRight w:val="0"/>
      <w:marTop w:val="0"/>
      <w:marBottom w:val="0"/>
      <w:divBdr>
        <w:top w:val="none" w:sz="0" w:space="0" w:color="auto"/>
        <w:left w:val="none" w:sz="0" w:space="0" w:color="auto"/>
        <w:bottom w:val="none" w:sz="0" w:space="0" w:color="auto"/>
        <w:right w:val="none" w:sz="0" w:space="0" w:color="auto"/>
      </w:divBdr>
    </w:div>
    <w:div w:id="1137339711">
      <w:bodyDiv w:val="1"/>
      <w:marLeft w:val="0"/>
      <w:marRight w:val="0"/>
      <w:marTop w:val="0"/>
      <w:marBottom w:val="0"/>
      <w:divBdr>
        <w:top w:val="none" w:sz="0" w:space="0" w:color="auto"/>
        <w:left w:val="none" w:sz="0" w:space="0" w:color="auto"/>
        <w:bottom w:val="none" w:sz="0" w:space="0" w:color="auto"/>
        <w:right w:val="none" w:sz="0" w:space="0" w:color="auto"/>
      </w:divBdr>
    </w:div>
    <w:div w:id="1569613562">
      <w:bodyDiv w:val="1"/>
      <w:marLeft w:val="0"/>
      <w:marRight w:val="0"/>
      <w:marTop w:val="0"/>
      <w:marBottom w:val="0"/>
      <w:divBdr>
        <w:top w:val="none" w:sz="0" w:space="0" w:color="auto"/>
        <w:left w:val="none" w:sz="0" w:space="0" w:color="auto"/>
        <w:bottom w:val="none" w:sz="0" w:space="0" w:color="auto"/>
        <w:right w:val="none" w:sz="0" w:space="0" w:color="auto"/>
      </w:divBdr>
    </w:div>
    <w:div w:id="201244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62BC64-8CD8-4580-8159-19C6ED3C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6</Pages>
  <Words>6151</Words>
  <Characters>35066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26</cp:revision>
  <cp:lastPrinted>2021-04-26T06:34:00Z</cp:lastPrinted>
  <dcterms:created xsi:type="dcterms:W3CDTF">2021-04-26T03:55:00Z</dcterms:created>
  <dcterms:modified xsi:type="dcterms:W3CDTF">2021-06-10T07:40:00Z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id="LlYD3n9N"/&gt;&lt;style id="http://www.zotero.org/styles/ieee" locale="en-US"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