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607BE" w14:textId="6A034A48" w:rsidR="00FC7BEC" w:rsidRPr="002D1F1A" w:rsidRDefault="0026757F" w:rsidP="006F7F2B">
      <w:pPr>
        <w:pStyle w:val="Title"/>
        <w:spacing w:before="1200" w:after="0"/>
        <w:jc w:val="center"/>
        <w:rPr>
          <w:rFonts w:ascii="Times New Roman" w:hAnsi="Times New Roman" w:cs="Times New Roman"/>
          <w:sz w:val="36"/>
          <w:szCs w:val="36"/>
          <w:lang w:val="en-US"/>
        </w:rPr>
      </w:pPr>
      <w:r w:rsidRPr="002D1F1A">
        <w:rPr>
          <w:rFonts w:ascii="Times New Roman" w:hAnsi="Times New Roman" w:cs="Times New Roman"/>
          <w:sz w:val="36"/>
          <w:szCs w:val="36"/>
          <w:lang w:val="en-US"/>
        </w:rPr>
        <w:t xml:space="preserve">Delivering </w:t>
      </w:r>
      <w:r w:rsidR="006F7F2B" w:rsidRPr="002D1F1A">
        <w:rPr>
          <w:rFonts w:ascii="Times New Roman" w:hAnsi="Times New Roman" w:cs="Times New Roman"/>
          <w:sz w:val="36"/>
          <w:szCs w:val="36"/>
          <w:lang w:val="en-US"/>
        </w:rPr>
        <w:t xml:space="preserve">Blended Learning for </w:t>
      </w:r>
      <w:r w:rsidRPr="002D1F1A">
        <w:rPr>
          <w:rFonts w:ascii="Times New Roman" w:hAnsi="Times New Roman" w:cs="Times New Roman"/>
          <w:sz w:val="36"/>
          <w:szCs w:val="36"/>
          <w:lang w:val="en-US"/>
        </w:rPr>
        <w:t>Generation Z</w:t>
      </w:r>
      <w:r w:rsidR="006F7F2B" w:rsidRPr="002D1F1A">
        <w:rPr>
          <w:rFonts w:ascii="Times New Roman" w:hAnsi="Times New Roman" w:cs="Times New Roman"/>
          <w:sz w:val="36"/>
          <w:szCs w:val="36"/>
          <w:lang w:val="en-US"/>
        </w:rPr>
        <w:t xml:space="preserve">: When Will We </w:t>
      </w:r>
      <w:r w:rsidR="007B22E1" w:rsidRPr="002D1F1A">
        <w:rPr>
          <w:rFonts w:ascii="Times New Roman" w:hAnsi="Times New Roman" w:cs="Times New Roman"/>
          <w:sz w:val="36"/>
          <w:szCs w:val="36"/>
          <w:lang w:val="en-US"/>
        </w:rPr>
        <w:t>b</w:t>
      </w:r>
      <w:r w:rsidR="006F7F2B" w:rsidRPr="002D1F1A">
        <w:rPr>
          <w:rFonts w:ascii="Times New Roman" w:hAnsi="Times New Roman" w:cs="Times New Roman"/>
          <w:sz w:val="36"/>
          <w:szCs w:val="36"/>
          <w:lang w:val="en-US"/>
        </w:rPr>
        <w:t>e Ready?</w:t>
      </w:r>
    </w:p>
    <w:p w14:paraId="4E03A18B" w14:textId="227D87CE" w:rsidR="00FC7BEC" w:rsidRPr="002D1F1A" w:rsidRDefault="00DF0D60" w:rsidP="00FA49DF">
      <w:pPr>
        <w:spacing w:before="360" w:after="360"/>
        <w:jc w:val="center"/>
        <w:rPr>
          <w:rFonts w:ascii="Times New Roman" w:eastAsia="Times New Roman" w:hAnsi="Times New Roman" w:cs="Times New Roman"/>
          <w:bCs/>
          <w:sz w:val="28"/>
          <w:szCs w:val="28"/>
          <w:vertAlign w:val="superscript"/>
          <w:lang w:val="en-US"/>
        </w:rPr>
      </w:pPr>
      <w:r w:rsidRPr="002D1F1A">
        <w:rPr>
          <w:rFonts w:ascii="Times New Roman" w:eastAsia="Times New Roman" w:hAnsi="Times New Roman" w:cs="Times New Roman"/>
          <w:bCs/>
          <w:sz w:val="28"/>
          <w:szCs w:val="28"/>
          <w:lang w:val="en-US"/>
        </w:rPr>
        <w:t>A</w:t>
      </w:r>
      <w:r w:rsidR="006F7F2B" w:rsidRPr="002D1F1A">
        <w:rPr>
          <w:rFonts w:ascii="Times New Roman" w:eastAsia="Times New Roman" w:hAnsi="Times New Roman" w:cs="Times New Roman"/>
          <w:bCs/>
          <w:sz w:val="28"/>
          <w:szCs w:val="28"/>
          <w:lang w:val="en-US"/>
        </w:rPr>
        <w:t>ndian</w:t>
      </w:r>
      <w:r w:rsidRPr="002D1F1A">
        <w:rPr>
          <w:rFonts w:ascii="Times New Roman" w:eastAsia="Times New Roman" w:hAnsi="Times New Roman" w:cs="Times New Roman"/>
          <w:bCs/>
          <w:sz w:val="28"/>
          <w:szCs w:val="28"/>
          <w:lang w:val="en-US"/>
        </w:rPr>
        <w:t xml:space="preserve"> A</w:t>
      </w:r>
      <w:r w:rsidR="006F7F2B" w:rsidRPr="002D1F1A">
        <w:rPr>
          <w:rFonts w:ascii="Times New Roman" w:eastAsia="Times New Roman" w:hAnsi="Times New Roman" w:cs="Times New Roman"/>
          <w:bCs/>
          <w:sz w:val="28"/>
          <w:szCs w:val="28"/>
          <w:lang w:val="en-US"/>
        </w:rPr>
        <w:t>ri</w:t>
      </w:r>
      <w:r w:rsidRPr="002D1F1A">
        <w:rPr>
          <w:rFonts w:ascii="Times New Roman" w:eastAsia="Times New Roman" w:hAnsi="Times New Roman" w:cs="Times New Roman"/>
          <w:bCs/>
          <w:sz w:val="28"/>
          <w:szCs w:val="28"/>
          <w:lang w:val="en-US"/>
        </w:rPr>
        <w:t xml:space="preserve"> Anggraeni</w:t>
      </w:r>
      <w:proofErr w:type="gramStart"/>
      <w:r w:rsidRPr="002D1F1A">
        <w:rPr>
          <w:rFonts w:ascii="Times New Roman" w:eastAsia="Times New Roman" w:hAnsi="Times New Roman" w:cs="Times New Roman"/>
          <w:bCs/>
          <w:sz w:val="28"/>
          <w:szCs w:val="28"/>
          <w:vertAlign w:val="superscript"/>
          <w:lang w:val="en-US"/>
        </w:rPr>
        <w:t>1</w:t>
      </w:r>
      <w:r w:rsidR="006F7F2B" w:rsidRPr="002D1F1A">
        <w:rPr>
          <w:rFonts w:ascii="Times New Roman" w:eastAsia="Times New Roman" w:hAnsi="Times New Roman" w:cs="Times New Roman"/>
          <w:bCs/>
          <w:sz w:val="28"/>
          <w:szCs w:val="28"/>
          <w:vertAlign w:val="superscript"/>
          <w:lang w:val="en-US"/>
        </w:rPr>
        <w:t>,a</w:t>
      </w:r>
      <w:proofErr w:type="gramEnd"/>
      <w:r w:rsidR="006F7F2B" w:rsidRPr="002D1F1A">
        <w:rPr>
          <w:rFonts w:ascii="Times New Roman" w:eastAsia="Times New Roman" w:hAnsi="Times New Roman" w:cs="Times New Roman"/>
          <w:bCs/>
          <w:sz w:val="28"/>
          <w:szCs w:val="28"/>
          <w:vertAlign w:val="superscript"/>
          <w:lang w:val="en-US"/>
        </w:rPr>
        <w:t>)</w:t>
      </w:r>
      <w:r w:rsidR="00221070" w:rsidRPr="002D1F1A">
        <w:rPr>
          <w:rFonts w:ascii="Times New Roman" w:eastAsia="Times New Roman" w:hAnsi="Times New Roman" w:cs="Times New Roman"/>
          <w:bCs/>
          <w:sz w:val="28"/>
          <w:szCs w:val="28"/>
          <w:lang w:val="en-US"/>
        </w:rPr>
        <w:t xml:space="preserve"> </w:t>
      </w:r>
      <w:r w:rsidR="00FE6166" w:rsidRPr="002D1F1A">
        <w:rPr>
          <w:rFonts w:ascii="Times New Roman" w:eastAsia="Times New Roman" w:hAnsi="Times New Roman" w:cs="Times New Roman"/>
          <w:bCs/>
          <w:sz w:val="28"/>
          <w:szCs w:val="28"/>
          <w:lang w:val="en-US"/>
        </w:rPr>
        <w:t xml:space="preserve">and </w:t>
      </w:r>
      <w:r w:rsidRPr="002D1F1A">
        <w:rPr>
          <w:rFonts w:ascii="Times New Roman" w:eastAsia="Times New Roman" w:hAnsi="Times New Roman" w:cs="Times New Roman"/>
          <w:bCs/>
          <w:sz w:val="28"/>
          <w:szCs w:val="28"/>
          <w:lang w:val="en-US"/>
        </w:rPr>
        <w:t>F</w:t>
      </w:r>
      <w:r w:rsidR="006F7F2B" w:rsidRPr="002D1F1A">
        <w:rPr>
          <w:rFonts w:ascii="Times New Roman" w:eastAsia="Times New Roman" w:hAnsi="Times New Roman" w:cs="Times New Roman"/>
          <w:bCs/>
          <w:sz w:val="28"/>
          <w:szCs w:val="28"/>
          <w:lang w:val="en-US"/>
        </w:rPr>
        <w:t>ebrianto</w:t>
      </w:r>
      <w:r w:rsidR="00221070" w:rsidRPr="002D1F1A">
        <w:rPr>
          <w:rFonts w:ascii="Times New Roman" w:eastAsia="Times New Roman" w:hAnsi="Times New Roman" w:cs="Times New Roman"/>
          <w:bCs/>
          <w:sz w:val="28"/>
          <w:szCs w:val="28"/>
          <w:lang w:val="en-US"/>
        </w:rPr>
        <w:t xml:space="preserve"> A</w:t>
      </w:r>
      <w:r w:rsidR="006F7F2B" w:rsidRPr="002D1F1A">
        <w:rPr>
          <w:rFonts w:ascii="Times New Roman" w:eastAsia="Times New Roman" w:hAnsi="Times New Roman" w:cs="Times New Roman"/>
          <w:bCs/>
          <w:sz w:val="28"/>
          <w:szCs w:val="28"/>
          <w:lang w:val="en-US"/>
        </w:rPr>
        <w:t>mri</w:t>
      </w:r>
      <w:r w:rsidR="00221070" w:rsidRPr="002D1F1A">
        <w:rPr>
          <w:rFonts w:ascii="Times New Roman" w:eastAsia="Times New Roman" w:hAnsi="Times New Roman" w:cs="Times New Roman"/>
          <w:bCs/>
          <w:sz w:val="28"/>
          <w:szCs w:val="28"/>
          <w:lang w:val="en-US"/>
        </w:rPr>
        <w:t xml:space="preserve"> </w:t>
      </w:r>
      <w:r w:rsidRPr="002D1F1A">
        <w:rPr>
          <w:rFonts w:ascii="Times New Roman" w:eastAsia="Times New Roman" w:hAnsi="Times New Roman" w:cs="Times New Roman"/>
          <w:bCs/>
          <w:sz w:val="28"/>
          <w:szCs w:val="28"/>
          <w:lang w:val="en-US"/>
        </w:rPr>
        <w:t>Ristadi</w:t>
      </w:r>
      <w:r w:rsidRPr="002D1F1A">
        <w:rPr>
          <w:rFonts w:ascii="Times New Roman" w:eastAsia="Times New Roman" w:hAnsi="Times New Roman" w:cs="Times New Roman"/>
          <w:bCs/>
          <w:sz w:val="28"/>
          <w:szCs w:val="28"/>
          <w:vertAlign w:val="superscript"/>
          <w:lang w:val="en-US"/>
        </w:rPr>
        <w:t>2</w:t>
      </w:r>
      <w:r w:rsidR="006F7F2B" w:rsidRPr="002D1F1A">
        <w:rPr>
          <w:rFonts w:ascii="Times New Roman" w:eastAsia="Times New Roman" w:hAnsi="Times New Roman" w:cs="Times New Roman"/>
          <w:bCs/>
          <w:sz w:val="28"/>
          <w:szCs w:val="28"/>
          <w:vertAlign w:val="superscript"/>
          <w:lang w:val="en-US"/>
        </w:rPr>
        <w:t>,b)</w:t>
      </w:r>
    </w:p>
    <w:p w14:paraId="7C594110" w14:textId="0CDFEA27" w:rsidR="00FC7BEC" w:rsidRPr="002D1F1A" w:rsidRDefault="00DF0D60" w:rsidP="006F7F2B">
      <w:pPr>
        <w:jc w:val="center"/>
        <w:rPr>
          <w:rFonts w:ascii="Times New Roman" w:eastAsia="Times New Roman" w:hAnsi="Times New Roman" w:cs="Times New Roman"/>
          <w:i/>
          <w:iCs/>
          <w:sz w:val="20"/>
          <w:szCs w:val="20"/>
          <w:lang w:val="en-US"/>
        </w:rPr>
      </w:pPr>
      <w:r w:rsidRPr="002D1F1A">
        <w:rPr>
          <w:rFonts w:ascii="Times New Roman" w:eastAsia="Times New Roman" w:hAnsi="Times New Roman" w:cs="Times New Roman"/>
          <w:i/>
          <w:iCs/>
          <w:sz w:val="20"/>
          <w:szCs w:val="20"/>
          <w:vertAlign w:val="superscript"/>
          <w:lang w:val="en-US"/>
        </w:rPr>
        <w:t>1</w:t>
      </w:r>
      <w:r w:rsidR="00BD2505" w:rsidRPr="002D1F1A">
        <w:rPr>
          <w:rFonts w:ascii="Times New Roman" w:eastAsia="Times New Roman" w:hAnsi="Times New Roman" w:cs="Times New Roman"/>
          <w:i/>
          <w:iCs/>
          <w:sz w:val="20"/>
          <w:szCs w:val="20"/>
          <w:lang w:val="en-US"/>
        </w:rPr>
        <w:t>Culinary Sciene Study Program, Faculty of Engineering, Universitas Negeri Yogyakarta, Indonesia</w:t>
      </w:r>
    </w:p>
    <w:p w14:paraId="49CBDBDA" w14:textId="4193C23F" w:rsidR="00DF0D60" w:rsidRPr="002D1F1A" w:rsidRDefault="00DF0D60" w:rsidP="003D2018">
      <w:pPr>
        <w:jc w:val="center"/>
        <w:rPr>
          <w:rFonts w:ascii="Times New Roman" w:eastAsia="Times New Roman" w:hAnsi="Times New Roman" w:cs="Times New Roman"/>
          <w:i/>
          <w:iCs/>
          <w:sz w:val="20"/>
          <w:szCs w:val="20"/>
          <w:lang w:val="en-US"/>
        </w:rPr>
      </w:pPr>
      <w:r w:rsidRPr="002D1F1A">
        <w:rPr>
          <w:rFonts w:ascii="Times New Roman" w:eastAsia="Times New Roman" w:hAnsi="Times New Roman" w:cs="Times New Roman"/>
          <w:sz w:val="20"/>
          <w:szCs w:val="20"/>
          <w:vertAlign w:val="superscript"/>
          <w:lang w:val="en-US"/>
        </w:rPr>
        <w:t>2</w:t>
      </w:r>
      <w:r w:rsidRPr="002D1F1A">
        <w:rPr>
          <w:rFonts w:ascii="Times New Roman" w:eastAsia="Times New Roman" w:hAnsi="Times New Roman" w:cs="Times New Roman"/>
          <w:i/>
          <w:iCs/>
          <w:sz w:val="20"/>
          <w:szCs w:val="20"/>
          <w:lang w:val="en-US"/>
        </w:rPr>
        <w:t>M</w:t>
      </w:r>
      <w:r w:rsidR="008C6C4B" w:rsidRPr="002D1F1A">
        <w:rPr>
          <w:rFonts w:ascii="Times New Roman" w:eastAsia="Times New Roman" w:hAnsi="Times New Roman" w:cs="Times New Roman"/>
          <w:i/>
          <w:iCs/>
          <w:sz w:val="20"/>
          <w:szCs w:val="20"/>
          <w:lang w:val="en-US"/>
        </w:rPr>
        <w:t xml:space="preserve">echanical </w:t>
      </w:r>
      <w:r w:rsidRPr="002D1F1A">
        <w:rPr>
          <w:rFonts w:ascii="Times New Roman" w:eastAsia="Times New Roman" w:hAnsi="Times New Roman" w:cs="Times New Roman"/>
          <w:i/>
          <w:iCs/>
          <w:sz w:val="20"/>
          <w:szCs w:val="20"/>
          <w:lang w:val="en-US"/>
        </w:rPr>
        <w:t>Engineering Study Program, Faculty of Engineering, Universitas Negeri Yogyakarta, Indonesia</w:t>
      </w:r>
    </w:p>
    <w:p w14:paraId="0721FCCD" w14:textId="77777777" w:rsidR="00FC7BEC" w:rsidRPr="002D1F1A" w:rsidRDefault="00FC7BEC" w:rsidP="003D2018">
      <w:pPr>
        <w:ind w:left="1418"/>
        <w:rPr>
          <w:rFonts w:ascii="Times New Roman" w:eastAsia="Times New Roman" w:hAnsi="Times New Roman" w:cs="Times New Roman"/>
          <w:lang w:val="en-US"/>
        </w:rPr>
      </w:pPr>
    </w:p>
    <w:p w14:paraId="3DEBECDC" w14:textId="58FB8CEF" w:rsidR="00FC7BEC" w:rsidRPr="002D1F1A" w:rsidRDefault="006F7F2B" w:rsidP="003D2018">
      <w:pPr>
        <w:pStyle w:val="ListParagraph"/>
        <w:numPr>
          <w:ilvl w:val="0"/>
          <w:numId w:val="8"/>
        </w:numPr>
        <w:tabs>
          <w:tab w:val="left" w:pos="142"/>
        </w:tabs>
        <w:spacing w:after="0" w:line="240" w:lineRule="auto"/>
        <w:ind w:left="0" w:firstLine="0"/>
        <w:jc w:val="center"/>
        <w:rPr>
          <w:rFonts w:ascii="Times New Roman" w:eastAsia="Times New Roman" w:hAnsi="Times New Roman" w:cs="Times New Roman"/>
          <w:sz w:val="20"/>
          <w:szCs w:val="20"/>
          <w:lang w:val="en-US"/>
        </w:rPr>
      </w:pPr>
      <w:r w:rsidRPr="002D1F1A">
        <w:rPr>
          <w:rFonts w:ascii="Times New Roman" w:eastAsia="Times New Roman" w:hAnsi="Times New Roman" w:cs="Times New Roman"/>
          <w:sz w:val="20"/>
          <w:szCs w:val="20"/>
          <w:lang w:val="en-US"/>
        </w:rPr>
        <w:t xml:space="preserve">Correponding author: </w:t>
      </w:r>
      <w:r w:rsidR="00BD2505" w:rsidRPr="002D1F1A">
        <w:rPr>
          <w:rFonts w:ascii="Times New Roman" w:eastAsia="Times New Roman" w:hAnsi="Times New Roman" w:cs="Times New Roman"/>
          <w:sz w:val="20"/>
          <w:szCs w:val="20"/>
          <w:lang w:val="en-US"/>
        </w:rPr>
        <w:t>andian_ari@uny.ac.id</w:t>
      </w:r>
    </w:p>
    <w:p w14:paraId="0F11F21B" w14:textId="5FBA6C0A" w:rsidR="006F7F2B" w:rsidRPr="002D1F1A" w:rsidRDefault="006F7F2B" w:rsidP="003D2018">
      <w:pPr>
        <w:pStyle w:val="ListParagraph"/>
        <w:numPr>
          <w:ilvl w:val="0"/>
          <w:numId w:val="8"/>
        </w:numPr>
        <w:tabs>
          <w:tab w:val="left" w:pos="142"/>
        </w:tabs>
        <w:spacing w:after="0" w:line="240" w:lineRule="auto"/>
        <w:ind w:left="0" w:firstLine="0"/>
        <w:jc w:val="center"/>
        <w:rPr>
          <w:rFonts w:ascii="Times New Roman" w:eastAsia="Times New Roman" w:hAnsi="Times New Roman" w:cs="Times New Roman"/>
          <w:sz w:val="20"/>
          <w:szCs w:val="20"/>
          <w:lang w:val="en-US"/>
        </w:rPr>
      </w:pPr>
      <w:r w:rsidRPr="002D1F1A">
        <w:rPr>
          <w:rFonts w:ascii="Times New Roman" w:eastAsia="Times New Roman" w:hAnsi="Times New Roman" w:cs="Times New Roman"/>
          <w:sz w:val="20"/>
          <w:szCs w:val="20"/>
          <w:lang w:val="en-US"/>
        </w:rPr>
        <w:t>amri@uny.ac.id</w:t>
      </w:r>
    </w:p>
    <w:p w14:paraId="151AA5C9" w14:textId="20E4BAE2" w:rsidR="00D267F2" w:rsidRPr="002D1F1A" w:rsidRDefault="00BD2505" w:rsidP="008B7568">
      <w:pPr>
        <w:pBdr>
          <w:top w:val="nil"/>
          <w:left w:val="nil"/>
          <w:bottom w:val="nil"/>
          <w:right w:val="nil"/>
          <w:between w:val="nil"/>
        </w:pBdr>
        <w:spacing w:before="360" w:after="360"/>
        <w:ind w:left="284" w:right="284"/>
        <w:jc w:val="both"/>
        <w:rPr>
          <w:rFonts w:ascii="Times New Roman" w:hAnsi="Times New Roman" w:cs="Times New Roman"/>
          <w:color w:val="000000"/>
          <w:sz w:val="18"/>
          <w:szCs w:val="18"/>
          <w:lang w:val="en-US"/>
        </w:rPr>
      </w:pPr>
      <w:r w:rsidRPr="002D1F1A">
        <w:rPr>
          <w:rFonts w:ascii="Times New Roman" w:hAnsi="Times New Roman" w:cs="Times New Roman"/>
          <w:b/>
          <w:color w:val="000000"/>
          <w:sz w:val="18"/>
          <w:szCs w:val="18"/>
          <w:lang w:val="en-US"/>
        </w:rPr>
        <w:t>Abstract</w:t>
      </w:r>
      <w:r w:rsidRPr="002D1F1A">
        <w:rPr>
          <w:rFonts w:ascii="Times New Roman" w:hAnsi="Times New Roman" w:cs="Times New Roman"/>
          <w:color w:val="000000"/>
          <w:sz w:val="18"/>
          <w:szCs w:val="18"/>
          <w:lang w:val="en-US"/>
        </w:rPr>
        <w:t xml:space="preserve">. </w:t>
      </w:r>
      <w:r w:rsidR="0091135C" w:rsidRPr="002D1F1A">
        <w:rPr>
          <w:rFonts w:ascii="Times New Roman" w:hAnsi="Times New Roman" w:cs="Times New Roman"/>
          <w:color w:val="000000"/>
          <w:sz w:val="18"/>
          <w:szCs w:val="18"/>
          <w:lang w:val="en-US"/>
        </w:rPr>
        <w:t xml:space="preserve">Teaching and learning have shifted from synchronous meetings in the classroom and laboratory to virtual synchronous and asynchronous meetings. Teaching and learning can take place anytime and anywhere. The availability of ICT infrastructure is one of the supporting factors for teaching and learning in today's Education 4.0. This article describes the availability of ICT facilities to support blended learning. Accidental sampling was conducted on 56 lecturers of the Faculty of Engineering, Universitas Negeri Yogyakarta (UNY), who participated in a webinar and filled out polls. The polls revealed that nearly 72% of respondents had subscribed to Internet Service Providers and cellular data packages. Total respondents who own laptops or PCs with Intel Core i3 / AMD Ryzen 3 processor specifications were only 23%, yet a mere 4% still own lower processors specifications. Cloud-based software provided by UNY, such as Microsoft </w:t>
      </w:r>
      <w:r w:rsidR="002003DD">
        <w:rPr>
          <w:rFonts w:ascii="Times New Roman" w:hAnsi="Times New Roman" w:cs="Times New Roman"/>
          <w:color w:val="000000"/>
          <w:sz w:val="18"/>
          <w:szCs w:val="18"/>
          <w:lang w:val="en-US"/>
        </w:rPr>
        <w:t>365</w:t>
      </w:r>
      <w:r w:rsidR="0091135C" w:rsidRPr="002D1F1A">
        <w:rPr>
          <w:rFonts w:ascii="Times New Roman" w:hAnsi="Times New Roman" w:cs="Times New Roman"/>
          <w:color w:val="000000"/>
          <w:sz w:val="18"/>
          <w:szCs w:val="18"/>
          <w:lang w:val="en-US"/>
        </w:rPr>
        <w:t>, was only used by 46% of respondents. The availability of facilities to support virtual synchronous meetings included headset 96%, Zoom educational license 86%, and interactive application 18%. In contrast, facilities to support asynchronous meetings were owned only by less than 60% of respondents, including condenser or clip-on microphone types, graphic pads, video editing software, screen recording software, and project management software. Facilities to support collaborative asynchronous activities such as Google Workspace were applied by 66% of respondents. The availability of ICT facilities supporting teaching and learning is an indicator of readiness for Education 4.0, and this study shows it needs to be improved.</w:t>
      </w:r>
    </w:p>
    <w:p w14:paraId="26C069DA" w14:textId="50634DC3" w:rsidR="00FC7BEC" w:rsidRPr="002D1F1A" w:rsidRDefault="00664177" w:rsidP="00664177">
      <w:pPr>
        <w:pBdr>
          <w:top w:val="nil"/>
          <w:left w:val="nil"/>
          <w:bottom w:val="nil"/>
          <w:right w:val="nil"/>
          <w:between w:val="nil"/>
        </w:pBdr>
        <w:tabs>
          <w:tab w:val="left" w:pos="426"/>
        </w:tabs>
        <w:spacing w:before="240" w:after="240"/>
        <w:jc w:val="center"/>
        <w:rPr>
          <w:b/>
          <w:color w:val="000000"/>
          <w:sz w:val="24"/>
          <w:szCs w:val="24"/>
          <w:lang w:val="en-US"/>
        </w:rPr>
      </w:pPr>
      <w:r w:rsidRPr="002D1F1A">
        <w:rPr>
          <w:b/>
          <w:color w:val="000000"/>
          <w:sz w:val="24"/>
          <w:szCs w:val="24"/>
          <w:lang w:val="en-US"/>
        </w:rPr>
        <w:t>INTRODUCTION</w:t>
      </w:r>
    </w:p>
    <w:p w14:paraId="391B1D2D" w14:textId="739FCD90" w:rsidR="001D2DD8" w:rsidRPr="002D1F1A" w:rsidRDefault="00EC444B" w:rsidP="00664177">
      <w:pPr>
        <w:pStyle w:val="ListParagraph"/>
        <w:pBdr>
          <w:top w:val="nil"/>
          <w:left w:val="nil"/>
          <w:bottom w:val="nil"/>
          <w:right w:val="nil"/>
          <w:between w:val="nil"/>
        </w:pBdr>
        <w:spacing w:after="0" w:line="240" w:lineRule="auto"/>
        <w:ind w:left="0" w:firstLine="284"/>
        <w:jc w:val="both"/>
        <w:rPr>
          <w:rFonts w:ascii="Times New Roman" w:eastAsia="Times New Roman" w:hAnsi="Times New Roman" w:cs="Times New Roman"/>
          <w:color w:val="000000"/>
          <w:sz w:val="20"/>
          <w:szCs w:val="20"/>
          <w:lang w:val="en-US"/>
        </w:rPr>
      </w:pPr>
      <w:r w:rsidRPr="002D1F1A">
        <w:rPr>
          <w:rFonts w:ascii="Times New Roman" w:eastAsia="Times New Roman" w:hAnsi="Times New Roman" w:cs="Times New Roman"/>
          <w:color w:val="000000"/>
          <w:sz w:val="20"/>
          <w:szCs w:val="20"/>
          <w:lang w:val="en-US"/>
        </w:rPr>
        <w:t>Generation Z, who was born between 1995-2010, is a digital native generation</w:t>
      </w:r>
      <w:r w:rsidR="00A05ABE" w:rsidRPr="002D1F1A">
        <w:rPr>
          <w:rFonts w:ascii="Times New Roman" w:eastAsia="Times New Roman" w:hAnsi="Times New Roman" w:cs="Times New Roman"/>
          <w:color w:val="000000"/>
          <w:sz w:val="20"/>
          <w:szCs w:val="20"/>
          <w:lang w:val="en-US"/>
        </w:rPr>
        <w:fldChar w:fldCharType="begin" w:fldLock="1"/>
      </w:r>
      <w:r w:rsidR="004667FC" w:rsidRPr="002D1F1A">
        <w:rPr>
          <w:rFonts w:ascii="Times New Roman" w:eastAsia="Times New Roman" w:hAnsi="Times New Roman" w:cs="Times New Roman"/>
          <w:color w:val="000000"/>
          <w:sz w:val="20"/>
          <w:szCs w:val="20"/>
          <w:lang w:val="en-US"/>
        </w:rPr>
        <w:instrText>ADDIN CSL_CITATION {"citationItems":[{"id":"ITEM-1","itemData":{"DOI":"10.1002/abc.21293","ISSN":"1086-4822","abstract":"In 1995, the Internet was born. So, too, was Generation Z. The oldest of this post-Millennial generation arrived to college in 2013, and more than four years later, Generation Z students fill the nation's classrooms, campus programs, and residence halls. In order to recruit, educate, and graduate this new generational cohort effectively, educators must understand the overarching characteristics, perspectives, and styles of these students. In 2014, the authors decided to conduct a study of more than 750 Generation Z students from 15 institutions of varying sizes and types across the country. The study provided insights on this generation's perspectives, styles, preferences, concerns, and beliefs as they related to politics, spirituality, motivation, communication, social issues, community engagement, relationships, leadership, and learning. They supplemented their findings with emerging generational research, market research, social and behavioral science studies, and national polling data. In this article, they present their study's findings, as well as results from several large studies that include more than 150,000 students, in their 2016 book, \"Generation Z Goes to College.\" This research shows that while Generation Z shares some characteristics with Millennials, it is a vastly different generational cohort. Current campus environments have been designed for previous generations, which do not and cannot fully meet the needs, interests, and learning preferences of Generation Z students.","author":[{"dropping-particle":"","family":"Seemiller","given":"Corey","non-dropping-particle":"","parse-names":false,"suffix":""},{"dropping-particle":"","family":"Grace","given":"Meghan","non-dropping-particle":"","parse-names":false,"suffix":""}],"container-title":"About Campus","id":"ITEM-1","issue":"3","issued":{"date-parts":[["2017"]]},"page":"21-26","title":"Generation Z: Educating and Engaging the Next Generation of Students","type":"article-journal","volume":"22"},"uris":["http://www.mendeley.com/documents/?uuid=014494a7-a2ba-4d63-9f96-c59e321c3b30"]}],"mendeley":{"formattedCitation":"&lt;sup&gt;1&lt;/sup&gt;","plainTextFormattedCitation":"1","previouslyFormattedCitation":"&lt;sup&gt;1&lt;/sup&gt;"},"properties":{"noteIndex":0},"schema":"https://github.com/citation-style-language/schema/raw/master/csl-citation.json"}</w:instrText>
      </w:r>
      <w:r w:rsidR="00A05ABE" w:rsidRPr="002D1F1A">
        <w:rPr>
          <w:rFonts w:ascii="Times New Roman" w:eastAsia="Times New Roman" w:hAnsi="Times New Roman" w:cs="Times New Roman"/>
          <w:color w:val="000000"/>
          <w:sz w:val="20"/>
          <w:szCs w:val="20"/>
          <w:lang w:val="en-US"/>
        </w:rPr>
        <w:fldChar w:fldCharType="separate"/>
      </w:r>
      <w:r w:rsidR="004667FC" w:rsidRPr="002D1F1A">
        <w:rPr>
          <w:rFonts w:ascii="Times New Roman" w:eastAsia="Times New Roman" w:hAnsi="Times New Roman" w:cs="Times New Roman"/>
          <w:noProof/>
          <w:color w:val="000000"/>
          <w:sz w:val="20"/>
          <w:szCs w:val="20"/>
          <w:vertAlign w:val="superscript"/>
          <w:lang w:val="en-US"/>
        </w:rPr>
        <w:t>1</w:t>
      </w:r>
      <w:r w:rsidR="00A05ABE" w:rsidRPr="002D1F1A">
        <w:rPr>
          <w:rFonts w:ascii="Times New Roman" w:eastAsia="Times New Roman" w:hAnsi="Times New Roman" w:cs="Times New Roman"/>
          <w:color w:val="000000"/>
          <w:sz w:val="20"/>
          <w:szCs w:val="20"/>
          <w:lang w:val="en-US"/>
        </w:rPr>
        <w:fldChar w:fldCharType="end"/>
      </w:r>
      <w:r w:rsidR="001D2DD8" w:rsidRPr="002D1F1A">
        <w:rPr>
          <w:rFonts w:ascii="Times New Roman" w:eastAsia="Times New Roman" w:hAnsi="Times New Roman" w:cs="Times New Roman"/>
          <w:color w:val="000000"/>
          <w:sz w:val="20"/>
          <w:szCs w:val="20"/>
          <w:lang w:val="en-US"/>
        </w:rPr>
        <w:t xml:space="preserve">. </w:t>
      </w:r>
      <w:r w:rsidR="009903A7" w:rsidRPr="002D1F1A">
        <w:rPr>
          <w:rFonts w:ascii="Times New Roman" w:eastAsia="Times New Roman" w:hAnsi="Times New Roman" w:cs="Times New Roman"/>
          <w:color w:val="000000"/>
          <w:sz w:val="20"/>
          <w:szCs w:val="20"/>
          <w:lang w:val="en-US"/>
        </w:rPr>
        <w:t>This generation is currently the undergraduates or graduates of higher education and has entered the workplace. They have different characteristics from the previous generations—they fancy interaction in the digital environment</w:t>
      </w:r>
      <w:r w:rsidR="00070581" w:rsidRPr="002D1F1A">
        <w:rPr>
          <w:rFonts w:ascii="Times New Roman" w:eastAsia="Times New Roman" w:hAnsi="Times New Roman" w:cs="Times New Roman"/>
          <w:color w:val="000000"/>
          <w:sz w:val="20"/>
          <w:szCs w:val="20"/>
          <w:lang w:val="en-US"/>
        </w:rPr>
        <w:t xml:space="preserve">. </w:t>
      </w:r>
      <w:r w:rsidR="009903A7" w:rsidRPr="002D1F1A">
        <w:rPr>
          <w:rFonts w:ascii="Times New Roman" w:eastAsia="Times New Roman" w:hAnsi="Times New Roman" w:cs="Times New Roman"/>
          <w:color w:val="000000"/>
          <w:sz w:val="20"/>
          <w:szCs w:val="20"/>
          <w:lang w:val="en-US"/>
        </w:rPr>
        <w:t>Due to the overuse of digital technology, their social skills are not well developed, so they are prone to nervousness and depression</w:t>
      </w:r>
      <w:r w:rsidR="00070581" w:rsidRPr="002D1F1A">
        <w:rPr>
          <w:rFonts w:ascii="Times New Roman" w:eastAsia="Times New Roman" w:hAnsi="Times New Roman" w:cs="Times New Roman"/>
          <w:color w:val="000000"/>
          <w:sz w:val="20"/>
          <w:szCs w:val="20"/>
          <w:lang w:val="en-US"/>
        </w:rPr>
        <w:t xml:space="preserve">. </w:t>
      </w:r>
      <w:r w:rsidR="009903A7" w:rsidRPr="002D1F1A">
        <w:rPr>
          <w:rFonts w:ascii="Times New Roman" w:eastAsia="Times New Roman" w:hAnsi="Times New Roman" w:cs="Times New Roman"/>
          <w:color w:val="000000"/>
          <w:sz w:val="20"/>
          <w:szCs w:val="20"/>
          <w:lang w:val="en-US"/>
        </w:rPr>
        <w:t>Their concentration on one subject is relatively short, and they become easily bored with repetition and monotonous things</w:t>
      </w:r>
      <w:r w:rsidR="00070581" w:rsidRPr="002D1F1A">
        <w:rPr>
          <w:rFonts w:ascii="Times New Roman" w:eastAsia="Times New Roman" w:hAnsi="Times New Roman" w:cs="Times New Roman"/>
          <w:color w:val="000000"/>
          <w:sz w:val="20"/>
          <w:szCs w:val="20"/>
          <w:lang w:val="en-US"/>
        </w:rPr>
        <w:t xml:space="preserve">. </w:t>
      </w:r>
      <w:r w:rsidR="009903A7" w:rsidRPr="002D1F1A">
        <w:rPr>
          <w:rFonts w:ascii="Times New Roman" w:eastAsia="Times New Roman" w:hAnsi="Times New Roman" w:cs="Times New Roman"/>
          <w:color w:val="000000"/>
          <w:sz w:val="20"/>
          <w:szCs w:val="20"/>
          <w:lang w:val="en-US"/>
        </w:rPr>
        <w:t>The learning preferences of Generation Z are individual, fast, interesting, engaging, facilitated by technology, and based on visuals</w:t>
      </w:r>
      <w:r w:rsidR="009C486B" w:rsidRPr="002D1F1A">
        <w:rPr>
          <w:rFonts w:ascii="Times New Roman" w:eastAsia="Times New Roman" w:hAnsi="Times New Roman" w:cs="Times New Roman"/>
          <w:color w:val="000000"/>
          <w:sz w:val="20"/>
          <w:szCs w:val="20"/>
          <w:lang w:val="en-US"/>
        </w:rPr>
        <w:fldChar w:fldCharType="begin" w:fldLock="1"/>
      </w:r>
      <w:r w:rsidR="004667FC" w:rsidRPr="002D1F1A">
        <w:rPr>
          <w:rFonts w:ascii="Times New Roman" w:eastAsia="Times New Roman" w:hAnsi="Times New Roman" w:cs="Times New Roman"/>
          <w:color w:val="000000"/>
          <w:sz w:val="20"/>
          <w:szCs w:val="20"/>
          <w:lang w:val="en-US"/>
        </w:rPr>
        <w:instrText>ADDIN CSL_CITATION {"citationItems":[{"id":"ITEM-1","itemData":{"DOI":"10.1016/j.teln.2018.03.008","ISSN":"15573087","abstract":"Generation Z, a unique and truly digital native generation, is now entering college and the workplace. This article identifies generational influences and distinctive characteristics of this group, which may challenge nurse educators and require changes in teaching–learning design strategies and approaches. Specific educational suggestions and ways to support members of Generation Z in higher education and the workplace are offered.","author":[{"dropping-particle":"","family":"Chicca","given":"Jennifer","non-dropping-particle":"","parse-names":false,"suffix":""},{"dropping-particle":"","family":"Shellenbarger","given":"Teresa","non-dropping-particle":"","parse-names":false,"suffix":""}],"container-title":"Teaching and Learning in Nursing","id":"ITEM-1","issue":"3","issued":{"date-parts":[["2018"]]},"page":"180-184","publisher":"Organization for Associate Degree Nursing.","title":"Connecting with Generation Z: Approaches in Nursing Education","type":"article-journal","volume":"13"},"uris":["http://www.mendeley.com/documents/?uuid=14eeda11-08f6-4488-9fbf-240b60a538a0"]}],"mendeley":{"formattedCitation":"&lt;sup&gt;2&lt;/sup&gt;","plainTextFormattedCitation":"2","previouslyFormattedCitation":"&lt;sup&gt;2&lt;/sup&gt;"},"properties":{"noteIndex":0},"schema":"https://github.com/citation-style-language/schema/raw/master/csl-citation.json"}</w:instrText>
      </w:r>
      <w:r w:rsidR="009C486B" w:rsidRPr="002D1F1A">
        <w:rPr>
          <w:rFonts w:ascii="Times New Roman" w:eastAsia="Times New Roman" w:hAnsi="Times New Roman" w:cs="Times New Roman"/>
          <w:color w:val="000000"/>
          <w:sz w:val="20"/>
          <w:szCs w:val="20"/>
          <w:lang w:val="en-US"/>
        </w:rPr>
        <w:fldChar w:fldCharType="separate"/>
      </w:r>
      <w:r w:rsidR="004667FC" w:rsidRPr="002D1F1A">
        <w:rPr>
          <w:rFonts w:ascii="Times New Roman" w:eastAsia="Times New Roman" w:hAnsi="Times New Roman" w:cs="Times New Roman"/>
          <w:noProof/>
          <w:color w:val="000000"/>
          <w:sz w:val="20"/>
          <w:szCs w:val="20"/>
          <w:vertAlign w:val="superscript"/>
          <w:lang w:val="en-US"/>
        </w:rPr>
        <w:t>2</w:t>
      </w:r>
      <w:r w:rsidR="009C486B" w:rsidRPr="002D1F1A">
        <w:rPr>
          <w:rFonts w:ascii="Times New Roman" w:eastAsia="Times New Roman" w:hAnsi="Times New Roman" w:cs="Times New Roman"/>
          <w:color w:val="000000"/>
          <w:sz w:val="20"/>
          <w:szCs w:val="20"/>
          <w:lang w:val="en-US"/>
        </w:rPr>
        <w:fldChar w:fldCharType="end"/>
      </w:r>
      <w:r w:rsidR="00A56648" w:rsidRPr="002D1F1A">
        <w:rPr>
          <w:rFonts w:ascii="Times New Roman" w:eastAsia="Times New Roman" w:hAnsi="Times New Roman" w:cs="Times New Roman"/>
          <w:color w:val="000000"/>
          <w:sz w:val="20"/>
          <w:szCs w:val="20"/>
          <w:lang w:val="en-US"/>
        </w:rPr>
        <w:t>.</w:t>
      </w:r>
    </w:p>
    <w:p w14:paraId="519CA16C" w14:textId="77777777" w:rsidR="00F17457" w:rsidRPr="002D1F1A" w:rsidRDefault="00F17457" w:rsidP="00664177">
      <w:pPr>
        <w:pStyle w:val="ListParagraph"/>
        <w:pBdr>
          <w:top w:val="nil"/>
          <w:left w:val="nil"/>
          <w:bottom w:val="nil"/>
          <w:right w:val="nil"/>
          <w:between w:val="nil"/>
        </w:pBdr>
        <w:spacing w:after="0" w:line="240" w:lineRule="auto"/>
        <w:ind w:left="0" w:firstLine="284"/>
        <w:jc w:val="both"/>
        <w:rPr>
          <w:rFonts w:ascii="Times New Roman" w:eastAsia="Times New Roman" w:hAnsi="Times New Roman" w:cs="Times New Roman"/>
          <w:color w:val="000000"/>
          <w:sz w:val="20"/>
          <w:szCs w:val="20"/>
          <w:lang w:val="en-US"/>
        </w:rPr>
      </w:pPr>
      <w:r w:rsidRPr="002D1F1A">
        <w:rPr>
          <w:rFonts w:ascii="Times New Roman" w:eastAsia="Times New Roman" w:hAnsi="Times New Roman" w:cs="Times New Roman"/>
          <w:color w:val="000000"/>
          <w:sz w:val="20"/>
          <w:szCs w:val="20"/>
          <w:lang w:val="en-US"/>
        </w:rPr>
        <w:t>The development of information and communication technology (ICT) has made human life more manageable. ICT also has an impact on teaching and learning in universities. Learning initially took place synchronously in the classroom. When ICT was integrated with education, teaching and learning can be performed anywhere and anytime. The use of ICT facilitates various types of meetings, namely virtual synchronous and asynchronous meetings. Virtual synchronous meetings are facilitated by video conference technology, while asynchronous meetings are facilitated by the learning management system (LMS).</w:t>
      </w:r>
    </w:p>
    <w:p w14:paraId="5A66941D" w14:textId="409EA97C" w:rsidR="00A257FB" w:rsidRPr="002D1F1A" w:rsidRDefault="0089442B" w:rsidP="00664177">
      <w:pPr>
        <w:pStyle w:val="ListParagraph"/>
        <w:pBdr>
          <w:top w:val="nil"/>
          <w:left w:val="nil"/>
          <w:bottom w:val="nil"/>
          <w:right w:val="nil"/>
          <w:between w:val="nil"/>
        </w:pBdr>
        <w:spacing w:after="0" w:line="240" w:lineRule="auto"/>
        <w:ind w:left="0" w:firstLine="284"/>
        <w:jc w:val="both"/>
        <w:rPr>
          <w:rFonts w:ascii="Times New Roman" w:eastAsia="Times New Roman" w:hAnsi="Times New Roman" w:cs="Times New Roman"/>
          <w:color w:val="000000"/>
          <w:sz w:val="20"/>
          <w:szCs w:val="20"/>
          <w:lang w:val="en-US"/>
        </w:rPr>
      </w:pPr>
      <w:r w:rsidRPr="002D1F1A">
        <w:rPr>
          <w:rFonts w:ascii="Times New Roman" w:eastAsia="Times New Roman" w:hAnsi="Times New Roman" w:cs="Times New Roman"/>
          <w:color w:val="000000"/>
          <w:sz w:val="20"/>
          <w:szCs w:val="20"/>
          <w:lang w:val="en-US"/>
        </w:rPr>
        <w:t>Synchronous and virtual synchronous meetings are performed when lecturers and students meet at the same time. In synchronous meetings, lecturers and students meet in the classroom or laboratory. Meanwhile, meeting locations for virtual synchronous meetings are facilitated by video conference applications such as Zoom, Webex, Google Meet, Skype</w:t>
      </w:r>
      <w:r w:rsidR="009332BB" w:rsidRPr="002D1F1A">
        <w:rPr>
          <w:rFonts w:ascii="Times New Roman" w:eastAsia="Times New Roman" w:hAnsi="Times New Roman" w:cs="Times New Roman"/>
          <w:color w:val="000000"/>
          <w:sz w:val="20"/>
          <w:szCs w:val="20"/>
          <w:lang w:val="en-US"/>
        </w:rPr>
        <w:fldChar w:fldCharType="begin" w:fldLock="1"/>
      </w:r>
      <w:r w:rsidR="004667FC" w:rsidRPr="002D1F1A">
        <w:rPr>
          <w:rFonts w:ascii="Times New Roman" w:eastAsia="Times New Roman" w:hAnsi="Times New Roman" w:cs="Times New Roman"/>
          <w:color w:val="000000"/>
          <w:sz w:val="20"/>
          <w:szCs w:val="20"/>
          <w:lang w:val="en-US"/>
        </w:rPr>
        <w:instrText>ADDIN CSL_CITATION {"citationItems":[{"id":"ITEM-1","itemData":{"DOI":"10.1016/j.jsurg.2020.03.018","ISSN":"18787452","PMID":"32253133","abstract":"Background: The COVID-19 pandemic presents a unique challenge to surgical residency programs. Due to the restrictions recommended by the Centers for Disease Control and Prevention and other organizations, the educational landscape for surgical residents is rapidly changing. In addition, the time course of these changes is undefined. Methods: We attempt to define the scope of the problem of maintaining surgical resident education while maintaining the safety of residents, educators, and patients. Within the basic framework of limiting in-person gatherings, postponing or canceling elective operations in hospitals, and limiting rotations between sites, we propose innovative solutions to maintain rigorous education. Results: We propose several innovative solutions including the flipped classroom model, online practice questions, teleconferencing in place of in-person lectures, involving residents in telemedicine clinics, procedural simulation, and the facilitated use of surgical videos. Although there is no substitute for hands-on learning through operative experience and direct patient care, these may be ways to mitigate the loss of learning exposure during this time. Conclusions: These innovative solutions utilizing technology may help to bridge the educational gap for surgical residents during this unprecedented circumstance. The support of national organizations may be beneficial in maintaining rigorous surgical education.","author":[{"dropping-particle":"","family":"Chick","given":"Robert Connor","non-dropping-particle":"","parse-names":false,"suffix":""},{"dropping-particle":"","family":"Clifton","given":"Guy Travis","non-dropping-particle":"","parse-names":false,"suffix":""},{"dropping-particle":"","family":"Peace","given":"Kaitlin M.","non-dropping-particle":"","parse-names":false,"suffix":""},{"dropping-particle":"","family":"Propper","given":"Brandon W.","non-dropping-particle":"","parse-names":false,"suffix":""},{"dropping-particle":"","family":"Hale","given":"Diane F.","non-dropping-particle":"","parse-names":false,"suffix":""},{"dropping-particle":"","family":"Alseidi","given":"Adnan A.","non-dropping-particle":"","parse-names":false,"suffix":""},{"dropping-particle":"","family":"Vreeland","given":"Timothy J.","non-dropping-particle":"","parse-names":false,"suffix":""}],"container-title":"Journal of Surgical Education","id":"ITEM-1","issue":"4","issued":{"date-parts":[["2020"]]},"page":"729-732","publisher":"Elsevier Inc.","title":"Using Technology to Maintain the Education of Residents During the COVID-19 Pandemic","type":"article-journal","volume":"77"},"uris":["http://www.mendeley.com/documents/?uuid=62932e63-f2de-4e80-875c-70676bd9a351"]}],"mendeley":{"formattedCitation":"&lt;sup&gt;3&lt;/sup&gt;","plainTextFormattedCitation":"3","previouslyFormattedCitation":"&lt;sup&gt;3&lt;/sup&gt;"},"properties":{"noteIndex":0},"schema":"https://github.com/citation-style-language/schema/raw/master/csl-citation.json"}</w:instrText>
      </w:r>
      <w:r w:rsidR="009332BB" w:rsidRPr="002D1F1A">
        <w:rPr>
          <w:rFonts w:ascii="Times New Roman" w:eastAsia="Times New Roman" w:hAnsi="Times New Roman" w:cs="Times New Roman"/>
          <w:color w:val="000000"/>
          <w:sz w:val="20"/>
          <w:szCs w:val="20"/>
          <w:lang w:val="en-US"/>
        </w:rPr>
        <w:fldChar w:fldCharType="separate"/>
      </w:r>
      <w:r w:rsidR="004667FC" w:rsidRPr="002D1F1A">
        <w:rPr>
          <w:rFonts w:ascii="Times New Roman" w:eastAsia="Times New Roman" w:hAnsi="Times New Roman" w:cs="Times New Roman"/>
          <w:noProof/>
          <w:color w:val="000000"/>
          <w:sz w:val="20"/>
          <w:szCs w:val="20"/>
          <w:vertAlign w:val="superscript"/>
          <w:lang w:val="en-US"/>
        </w:rPr>
        <w:t>3</w:t>
      </w:r>
      <w:r w:rsidR="009332BB" w:rsidRPr="002D1F1A">
        <w:rPr>
          <w:rFonts w:ascii="Times New Roman" w:eastAsia="Times New Roman" w:hAnsi="Times New Roman" w:cs="Times New Roman"/>
          <w:color w:val="000000"/>
          <w:sz w:val="20"/>
          <w:szCs w:val="20"/>
          <w:lang w:val="en-US"/>
        </w:rPr>
        <w:fldChar w:fldCharType="end"/>
      </w:r>
      <w:r w:rsidR="006574F8" w:rsidRPr="002D1F1A">
        <w:rPr>
          <w:rFonts w:ascii="Times New Roman" w:eastAsia="Times New Roman" w:hAnsi="Times New Roman" w:cs="Times New Roman"/>
          <w:color w:val="000000"/>
          <w:sz w:val="20"/>
          <w:szCs w:val="20"/>
          <w:lang w:val="en-US"/>
        </w:rPr>
        <w:t xml:space="preserve">, </w:t>
      </w:r>
      <w:r w:rsidR="00A257FB" w:rsidRPr="002D1F1A">
        <w:rPr>
          <w:rFonts w:ascii="Times New Roman" w:eastAsia="Times New Roman" w:hAnsi="Times New Roman" w:cs="Times New Roman"/>
          <w:color w:val="000000"/>
          <w:sz w:val="20"/>
          <w:szCs w:val="20"/>
          <w:lang w:val="en-US"/>
        </w:rPr>
        <w:t>Microsoft Teams, Big Blue B</w:t>
      </w:r>
      <w:r w:rsidR="00B22D6C" w:rsidRPr="002D1F1A">
        <w:rPr>
          <w:rFonts w:ascii="Times New Roman" w:eastAsia="Times New Roman" w:hAnsi="Times New Roman" w:cs="Times New Roman"/>
          <w:color w:val="000000"/>
          <w:sz w:val="20"/>
          <w:szCs w:val="20"/>
          <w:lang w:val="en-US"/>
        </w:rPr>
        <w:t>u</w:t>
      </w:r>
      <w:r w:rsidR="00A257FB" w:rsidRPr="002D1F1A">
        <w:rPr>
          <w:rFonts w:ascii="Times New Roman" w:eastAsia="Times New Roman" w:hAnsi="Times New Roman" w:cs="Times New Roman"/>
          <w:color w:val="000000"/>
          <w:sz w:val="20"/>
          <w:szCs w:val="20"/>
          <w:lang w:val="en-US"/>
        </w:rPr>
        <w:t xml:space="preserve">tton, </w:t>
      </w:r>
      <w:r w:rsidR="00551048" w:rsidRPr="002D1F1A">
        <w:rPr>
          <w:rFonts w:ascii="Times New Roman" w:eastAsia="Times New Roman" w:hAnsi="Times New Roman" w:cs="Times New Roman"/>
          <w:color w:val="000000"/>
          <w:sz w:val="20"/>
          <w:szCs w:val="20"/>
          <w:lang w:val="en-US"/>
        </w:rPr>
        <w:t>and others</w:t>
      </w:r>
      <w:r w:rsidR="00A257FB" w:rsidRPr="002D1F1A">
        <w:rPr>
          <w:rFonts w:ascii="Times New Roman" w:eastAsia="Times New Roman" w:hAnsi="Times New Roman" w:cs="Times New Roman"/>
          <w:color w:val="000000"/>
          <w:sz w:val="20"/>
          <w:szCs w:val="20"/>
          <w:lang w:val="en-US"/>
        </w:rPr>
        <w:t xml:space="preserve">. </w:t>
      </w:r>
      <w:r w:rsidR="00551048" w:rsidRPr="002D1F1A">
        <w:rPr>
          <w:rFonts w:ascii="Times New Roman" w:eastAsia="Times New Roman" w:hAnsi="Times New Roman" w:cs="Times New Roman"/>
          <w:color w:val="000000"/>
          <w:sz w:val="20"/>
          <w:szCs w:val="20"/>
          <w:lang w:val="en-US"/>
        </w:rPr>
        <w:t xml:space="preserve">Activities carried out in synchronous and virtual </w:t>
      </w:r>
      <w:r w:rsidR="00551048" w:rsidRPr="002D1F1A">
        <w:rPr>
          <w:rFonts w:ascii="Times New Roman" w:eastAsia="Times New Roman" w:hAnsi="Times New Roman" w:cs="Times New Roman"/>
          <w:color w:val="000000"/>
          <w:sz w:val="20"/>
          <w:szCs w:val="20"/>
          <w:lang w:val="en-US"/>
        </w:rPr>
        <w:lastRenderedPageBreak/>
        <w:t xml:space="preserve">synchronous </w:t>
      </w:r>
      <w:r w:rsidR="0023010C" w:rsidRPr="002D1F1A">
        <w:rPr>
          <w:rFonts w:ascii="Times New Roman" w:eastAsia="Times New Roman" w:hAnsi="Times New Roman" w:cs="Times New Roman"/>
          <w:color w:val="000000"/>
          <w:sz w:val="20"/>
          <w:szCs w:val="20"/>
          <w:lang w:val="en-US"/>
        </w:rPr>
        <w:t xml:space="preserve">meetings </w:t>
      </w:r>
      <w:r w:rsidR="00551048" w:rsidRPr="002D1F1A">
        <w:rPr>
          <w:rFonts w:ascii="Times New Roman" w:eastAsia="Times New Roman" w:hAnsi="Times New Roman" w:cs="Times New Roman"/>
          <w:color w:val="000000"/>
          <w:sz w:val="20"/>
          <w:szCs w:val="20"/>
          <w:lang w:val="en-US"/>
        </w:rPr>
        <w:t>include discussions, simulations</w:t>
      </w:r>
      <w:r w:rsidRPr="002D1F1A">
        <w:rPr>
          <w:rFonts w:ascii="Times New Roman" w:eastAsia="Times New Roman" w:hAnsi="Times New Roman" w:cs="Times New Roman"/>
          <w:color w:val="000000"/>
          <w:sz w:val="20"/>
          <w:szCs w:val="20"/>
          <w:lang w:val="en-US"/>
        </w:rPr>
        <w:t>,</w:t>
      </w:r>
      <w:r w:rsidR="00551048" w:rsidRPr="002D1F1A">
        <w:rPr>
          <w:rFonts w:ascii="Times New Roman" w:eastAsia="Times New Roman" w:hAnsi="Times New Roman" w:cs="Times New Roman"/>
          <w:color w:val="000000"/>
          <w:sz w:val="20"/>
          <w:szCs w:val="20"/>
          <w:lang w:val="en-US"/>
        </w:rPr>
        <w:t xml:space="preserve"> and demonstrations. Lectur</w:t>
      </w:r>
      <w:r w:rsidR="0023010C" w:rsidRPr="002D1F1A">
        <w:rPr>
          <w:rFonts w:ascii="Times New Roman" w:eastAsia="Times New Roman" w:hAnsi="Times New Roman" w:cs="Times New Roman"/>
          <w:color w:val="000000"/>
          <w:sz w:val="20"/>
          <w:szCs w:val="20"/>
          <w:lang w:val="en-US"/>
        </w:rPr>
        <w:t>ing</w:t>
      </w:r>
      <w:r w:rsidR="00551048" w:rsidRPr="002D1F1A">
        <w:rPr>
          <w:rFonts w:ascii="Times New Roman" w:eastAsia="Times New Roman" w:hAnsi="Times New Roman" w:cs="Times New Roman"/>
          <w:color w:val="000000"/>
          <w:sz w:val="20"/>
          <w:szCs w:val="20"/>
          <w:lang w:val="en-US"/>
        </w:rPr>
        <w:t xml:space="preserve"> </w:t>
      </w:r>
      <w:r w:rsidRPr="002D1F1A">
        <w:rPr>
          <w:rFonts w:ascii="Times New Roman" w:eastAsia="Times New Roman" w:hAnsi="Times New Roman" w:cs="Times New Roman"/>
          <w:color w:val="000000"/>
          <w:sz w:val="20"/>
          <w:szCs w:val="20"/>
          <w:lang w:val="en-US"/>
        </w:rPr>
        <w:t>is</w:t>
      </w:r>
      <w:r w:rsidR="00551048" w:rsidRPr="002D1F1A">
        <w:rPr>
          <w:rFonts w:ascii="Times New Roman" w:eastAsia="Times New Roman" w:hAnsi="Times New Roman" w:cs="Times New Roman"/>
          <w:color w:val="000000"/>
          <w:sz w:val="20"/>
          <w:szCs w:val="20"/>
          <w:lang w:val="en-US"/>
        </w:rPr>
        <w:t xml:space="preserve"> no longer expected at both synchronous meeting</w:t>
      </w:r>
      <w:r w:rsidR="00145EA0" w:rsidRPr="002D1F1A">
        <w:rPr>
          <w:rFonts w:ascii="Times New Roman" w:eastAsia="Times New Roman" w:hAnsi="Times New Roman" w:cs="Times New Roman"/>
          <w:color w:val="000000"/>
          <w:sz w:val="20"/>
          <w:szCs w:val="20"/>
          <w:lang w:val="en-US"/>
        </w:rPr>
        <w:fldChar w:fldCharType="begin" w:fldLock="1"/>
      </w:r>
      <w:r w:rsidR="004667FC" w:rsidRPr="002D1F1A">
        <w:rPr>
          <w:rFonts w:ascii="Times New Roman" w:eastAsia="Times New Roman" w:hAnsi="Times New Roman" w:cs="Times New Roman"/>
          <w:color w:val="000000"/>
          <w:sz w:val="20"/>
          <w:szCs w:val="20"/>
          <w:lang w:val="en-US"/>
        </w:rPr>
        <w:instrText>ADDIN CSL_CITATION {"citationItems":[{"id":"ITEM-1","itemData":{"DOI":"10.1016/j.amsu.2021.01.051","ISSN":"20490801","abstract":"Students often feel overwhelmed by the volume and complexity of knowledge and skills required to learn. Along with this challange, educational technology has been gradually introduced in medical education to facilitate learning and improve outcomes. It became an essential part of communication, storing and transferring information, audio-visual media use and production, and knowledge sharing. Technology's role has been expanding from a mere tool of study and inquiry to an approach and integrated use in education. Its use in medical education is continuously evolving. However, the impact and optimal use of various technology applications are not clearly defined. There are multiple challenges facing educators to choose the right application for the specific educational purpose. Hence, studies and evaluation reviews are needed to inform the better-defined use of educational technology. This review aims to discuss and evaluate various educational technology applications in medical education, focusing on interactive learning during lectures. Lectures and other group learning sessions are common activities used by medical schools. Promoting interactive learning in large groups is known to be challenging. The advances in technology to facilitate communication and promote interaction is a promising adjunct for lectures interactivity.","author":[{"dropping-particle":"","family":"Tuma","given":"Faiz","non-dropping-particle":"","parse-names":false,"suffix":""}],"container-title":"Annals of Medicine and Surgery","id":"ITEM-1","issue":"January","issued":{"date-parts":[["2021"]]},"page":"231-235","publisher":"Elsevier Ltd","title":"The use of educational technology for interactive teaching in lectures","type":"article-journal","volume":"62"},"uris":["http://www.mendeley.com/documents/?uuid=15e021f2-9aca-4174-9edb-84b6692bc177"]}],"mendeley":{"formattedCitation":"&lt;sup&gt;4&lt;/sup&gt;","plainTextFormattedCitation":"4","previouslyFormattedCitation":"&lt;sup&gt;4&lt;/sup&gt;"},"properties":{"noteIndex":0},"schema":"https://github.com/citation-style-language/schema/raw/master/csl-citation.json"}</w:instrText>
      </w:r>
      <w:r w:rsidR="00145EA0" w:rsidRPr="002D1F1A">
        <w:rPr>
          <w:rFonts w:ascii="Times New Roman" w:eastAsia="Times New Roman" w:hAnsi="Times New Roman" w:cs="Times New Roman"/>
          <w:color w:val="000000"/>
          <w:sz w:val="20"/>
          <w:szCs w:val="20"/>
          <w:lang w:val="en-US"/>
        </w:rPr>
        <w:fldChar w:fldCharType="separate"/>
      </w:r>
      <w:r w:rsidR="004667FC" w:rsidRPr="002D1F1A">
        <w:rPr>
          <w:rFonts w:ascii="Times New Roman" w:eastAsia="Times New Roman" w:hAnsi="Times New Roman" w:cs="Times New Roman"/>
          <w:noProof/>
          <w:color w:val="000000"/>
          <w:sz w:val="20"/>
          <w:szCs w:val="20"/>
          <w:vertAlign w:val="superscript"/>
          <w:lang w:val="en-US"/>
        </w:rPr>
        <w:t>4</w:t>
      </w:r>
      <w:r w:rsidR="00145EA0" w:rsidRPr="002D1F1A">
        <w:rPr>
          <w:rFonts w:ascii="Times New Roman" w:eastAsia="Times New Roman" w:hAnsi="Times New Roman" w:cs="Times New Roman"/>
          <w:color w:val="000000"/>
          <w:sz w:val="20"/>
          <w:szCs w:val="20"/>
          <w:lang w:val="en-US"/>
        </w:rPr>
        <w:fldChar w:fldCharType="end"/>
      </w:r>
      <w:r w:rsidR="00A257FB" w:rsidRPr="002D1F1A">
        <w:rPr>
          <w:rFonts w:ascii="Times New Roman" w:eastAsia="Times New Roman" w:hAnsi="Times New Roman" w:cs="Times New Roman"/>
          <w:color w:val="000000"/>
          <w:sz w:val="20"/>
          <w:szCs w:val="20"/>
          <w:lang w:val="en-US"/>
        </w:rPr>
        <w:t>.</w:t>
      </w:r>
    </w:p>
    <w:p w14:paraId="3A39EDD7" w14:textId="0F3050EB" w:rsidR="0099762A" w:rsidRPr="002D1F1A" w:rsidRDefault="00982E26" w:rsidP="0099762A">
      <w:pPr>
        <w:pStyle w:val="ListParagraph"/>
        <w:pBdr>
          <w:top w:val="nil"/>
          <w:left w:val="nil"/>
          <w:bottom w:val="nil"/>
          <w:right w:val="nil"/>
          <w:between w:val="nil"/>
        </w:pBdr>
        <w:spacing w:after="0" w:line="240" w:lineRule="auto"/>
        <w:ind w:left="0" w:firstLine="284"/>
        <w:jc w:val="both"/>
        <w:rPr>
          <w:rFonts w:ascii="Times New Roman" w:eastAsia="Times New Roman" w:hAnsi="Times New Roman" w:cs="Times New Roman"/>
          <w:color w:val="000000"/>
          <w:sz w:val="20"/>
          <w:szCs w:val="20"/>
          <w:lang w:val="en-US"/>
        </w:rPr>
      </w:pPr>
      <w:r w:rsidRPr="002D1F1A">
        <w:rPr>
          <w:rFonts w:ascii="Times New Roman" w:eastAsia="Times New Roman" w:hAnsi="Times New Roman" w:cs="Times New Roman"/>
          <w:color w:val="000000"/>
          <w:sz w:val="20"/>
          <w:szCs w:val="20"/>
          <w:lang w:val="en-US"/>
        </w:rPr>
        <w:t>Asynchronous meeting</w:t>
      </w:r>
      <w:r w:rsidR="009968C5" w:rsidRPr="002D1F1A">
        <w:rPr>
          <w:rFonts w:ascii="Times New Roman" w:eastAsia="Times New Roman" w:hAnsi="Times New Roman" w:cs="Times New Roman"/>
          <w:color w:val="000000"/>
          <w:sz w:val="20"/>
          <w:szCs w:val="20"/>
          <w:lang w:val="en-US"/>
        </w:rPr>
        <w:t>s</w:t>
      </w:r>
      <w:r w:rsidRPr="002D1F1A">
        <w:rPr>
          <w:rFonts w:ascii="Times New Roman" w:eastAsia="Times New Roman" w:hAnsi="Times New Roman" w:cs="Times New Roman"/>
          <w:color w:val="000000"/>
          <w:sz w:val="20"/>
          <w:szCs w:val="20"/>
          <w:lang w:val="en-US"/>
        </w:rPr>
        <w:t xml:space="preserve"> involve </w:t>
      </w:r>
      <w:r w:rsidR="009D2E5C" w:rsidRPr="002D1F1A">
        <w:rPr>
          <w:rFonts w:ascii="Times New Roman" w:eastAsia="Times New Roman" w:hAnsi="Times New Roman" w:cs="Times New Roman"/>
          <w:color w:val="000000"/>
          <w:sz w:val="20"/>
          <w:szCs w:val="20"/>
          <w:lang w:val="en-US"/>
        </w:rPr>
        <w:t xml:space="preserve">independent or collaborative </w:t>
      </w:r>
      <w:r w:rsidRPr="002D1F1A">
        <w:rPr>
          <w:rFonts w:ascii="Times New Roman" w:eastAsia="Times New Roman" w:hAnsi="Times New Roman" w:cs="Times New Roman"/>
          <w:color w:val="000000"/>
          <w:sz w:val="20"/>
          <w:szCs w:val="20"/>
          <w:lang w:val="en-US"/>
        </w:rPr>
        <w:t xml:space="preserve">student activities. </w:t>
      </w:r>
      <w:r w:rsidR="009D2E5C" w:rsidRPr="002D1F1A">
        <w:rPr>
          <w:rFonts w:ascii="Times New Roman" w:eastAsia="Times New Roman" w:hAnsi="Times New Roman" w:cs="Times New Roman"/>
          <w:color w:val="000000"/>
          <w:sz w:val="20"/>
          <w:szCs w:val="20"/>
          <w:lang w:val="en-US"/>
        </w:rPr>
        <w:t>Independent student a</w:t>
      </w:r>
      <w:r w:rsidRPr="002D1F1A">
        <w:rPr>
          <w:rFonts w:ascii="Times New Roman" w:eastAsia="Times New Roman" w:hAnsi="Times New Roman" w:cs="Times New Roman"/>
          <w:color w:val="000000"/>
          <w:sz w:val="20"/>
          <w:szCs w:val="20"/>
          <w:lang w:val="en-US"/>
        </w:rPr>
        <w:t>ctivities include reading digital text</w:t>
      </w:r>
      <w:r w:rsidR="000603B7" w:rsidRPr="002D1F1A">
        <w:rPr>
          <w:rFonts w:ascii="Times New Roman" w:eastAsia="Times New Roman" w:hAnsi="Times New Roman" w:cs="Times New Roman"/>
          <w:color w:val="000000"/>
          <w:sz w:val="20"/>
          <w:szCs w:val="20"/>
          <w:lang w:val="en-US"/>
        </w:rPr>
        <w:fldChar w:fldCharType="begin" w:fldLock="1"/>
      </w:r>
      <w:r w:rsidR="004667FC" w:rsidRPr="002D1F1A">
        <w:rPr>
          <w:rFonts w:ascii="Times New Roman" w:eastAsia="Times New Roman" w:hAnsi="Times New Roman" w:cs="Times New Roman"/>
          <w:color w:val="000000"/>
          <w:sz w:val="20"/>
          <w:szCs w:val="20"/>
          <w:lang w:val="en-US"/>
        </w:rPr>
        <w:instrText>ADDIN CSL_CITATION {"citationItems":[{"id":"ITEM-1","itemData":{"DOI":"10.1016/j.teln.2018.03.008","ISSN":"15573087","abstract":"Generation Z, a unique and truly digital native generation, is now entering college and the workplace. This article identifies generational influences and distinctive characteristics of this group, which may challenge nurse educators and require changes in teaching–learning design strategies and approaches. Specific educational suggestions and ways to support members of Generation Z in higher education and the workplace are offered.","author":[{"dropping-particle":"","family":"Chicca","given":"Jennifer","non-dropping-particle":"","parse-names":false,"suffix":""},{"dropping-particle":"","family":"Shellenbarger","given":"Teresa","non-dropping-particle":"","parse-names":false,"suffix":""}],"container-title":"Teaching and Learning in Nursing","id":"ITEM-1","issue":"3","issued":{"date-parts":[["2018"]]},"page":"180-184","publisher":"Organization for Associate Degree Nursing.","title":"Connecting with Generation Z: Approaches in Nursing Education","type":"article-journal","volume":"13"},"uris":["http://www.mendeley.com/documents/?uuid=14eeda11-08f6-4488-9fbf-240b60a538a0"]}],"mendeley":{"formattedCitation":"&lt;sup&gt;2&lt;/sup&gt;","plainTextFormattedCitation":"2","previouslyFormattedCitation":"&lt;sup&gt;2&lt;/sup&gt;"},"properties":{"noteIndex":0},"schema":"https://github.com/citation-style-language/schema/raw/master/csl-citation.json"}</w:instrText>
      </w:r>
      <w:r w:rsidR="000603B7" w:rsidRPr="002D1F1A">
        <w:rPr>
          <w:rFonts w:ascii="Times New Roman" w:eastAsia="Times New Roman" w:hAnsi="Times New Roman" w:cs="Times New Roman"/>
          <w:color w:val="000000"/>
          <w:sz w:val="20"/>
          <w:szCs w:val="20"/>
          <w:lang w:val="en-US"/>
        </w:rPr>
        <w:fldChar w:fldCharType="separate"/>
      </w:r>
      <w:r w:rsidR="004667FC" w:rsidRPr="002D1F1A">
        <w:rPr>
          <w:rFonts w:ascii="Times New Roman" w:eastAsia="Times New Roman" w:hAnsi="Times New Roman" w:cs="Times New Roman"/>
          <w:noProof/>
          <w:color w:val="000000"/>
          <w:sz w:val="20"/>
          <w:szCs w:val="20"/>
          <w:vertAlign w:val="superscript"/>
          <w:lang w:val="en-US"/>
        </w:rPr>
        <w:t>2</w:t>
      </w:r>
      <w:r w:rsidR="000603B7" w:rsidRPr="002D1F1A">
        <w:rPr>
          <w:rFonts w:ascii="Times New Roman" w:eastAsia="Times New Roman" w:hAnsi="Times New Roman" w:cs="Times New Roman"/>
          <w:color w:val="000000"/>
          <w:sz w:val="20"/>
          <w:szCs w:val="20"/>
          <w:lang w:val="en-US"/>
        </w:rPr>
        <w:fldChar w:fldCharType="end"/>
      </w:r>
      <w:r w:rsidR="00A257FB" w:rsidRPr="002D1F1A">
        <w:rPr>
          <w:rFonts w:ascii="Times New Roman" w:eastAsia="Times New Roman" w:hAnsi="Times New Roman" w:cs="Times New Roman"/>
          <w:color w:val="000000"/>
          <w:sz w:val="20"/>
          <w:szCs w:val="20"/>
          <w:lang w:val="en-US"/>
        </w:rPr>
        <w:t xml:space="preserve">, </w:t>
      </w:r>
      <w:r w:rsidR="009D2E5C" w:rsidRPr="002D1F1A">
        <w:rPr>
          <w:rFonts w:ascii="Times New Roman" w:eastAsia="Times New Roman" w:hAnsi="Times New Roman" w:cs="Times New Roman"/>
          <w:color w:val="000000"/>
          <w:sz w:val="20"/>
          <w:szCs w:val="20"/>
          <w:lang w:val="en-US"/>
        </w:rPr>
        <w:t xml:space="preserve">listening to </w:t>
      </w:r>
      <w:r w:rsidR="003E170F" w:rsidRPr="002D1F1A">
        <w:rPr>
          <w:rFonts w:ascii="Times New Roman" w:eastAsia="Times New Roman" w:hAnsi="Times New Roman" w:cs="Times New Roman"/>
          <w:color w:val="000000"/>
          <w:sz w:val="20"/>
          <w:szCs w:val="20"/>
          <w:lang w:val="en-US"/>
        </w:rPr>
        <w:t xml:space="preserve">explanations in </w:t>
      </w:r>
      <w:r w:rsidR="009D2E5C" w:rsidRPr="002D1F1A">
        <w:rPr>
          <w:rFonts w:ascii="Times New Roman" w:eastAsia="Times New Roman" w:hAnsi="Times New Roman" w:cs="Times New Roman"/>
          <w:color w:val="000000"/>
          <w:sz w:val="20"/>
          <w:szCs w:val="20"/>
          <w:lang w:val="en-US"/>
        </w:rPr>
        <w:t>lecturers' podcasts, watching video recordings of lecturers' presentations</w:t>
      </w:r>
      <w:r w:rsidR="000603B7" w:rsidRPr="002D1F1A">
        <w:rPr>
          <w:rFonts w:ascii="Times New Roman" w:eastAsia="Times New Roman" w:hAnsi="Times New Roman" w:cs="Times New Roman"/>
          <w:color w:val="000000"/>
          <w:sz w:val="20"/>
          <w:szCs w:val="20"/>
          <w:lang w:val="en-US"/>
        </w:rPr>
        <w:fldChar w:fldCharType="begin" w:fldLock="1"/>
      </w:r>
      <w:r w:rsidR="004667FC" w:rsidRPr="002D1F1A">
        <w:rPr>
          <w:rFonts w:ascii="Times New Roman" w:eastAsia="Times New Roman" w:hAnsi="Times New Roman" w:cs="Times New Roman"/>
          <w:color w:val="000000"/>
          <w:sz w:val="20"/>
          <w:szCs w:val="20"/>
          <w:lang w:val="en-US"/>
        </w:rPr>
        <w:instrText>ADDIN CSL_CITATION {"citationItems":[{"id":"ITEM-1","itemData":{"DOI":"10.1016/j.teln.2018.03.008","ISSN":"15573087","abstract":"Generation Z, a unique and truly digital native generation, is now entering college and the workplace. This article identifies generational influences and distinctive characteristics of this group, which may challenge nurse educators and require changes in teaching–learning design strategies and approaches. Specific educational suggestions and ways to support members of Generation Z in higher education and the workplace are offered.","author":[{"dropping-particle":"","family":"Chicca","given":"Jennifer","non-dropping-particle":"","parse-names":false,"suffix":""},{"dropping-particle":"","family":"Shellenbarger","given":"Teresa","non-dropping-particle":"","parse-names":false,"suffix":""}],"container-title":"Teaching and Learning in Nursing","id":"ITEM-1","issue":"3","issued":{"date-parts":[["2018"]]},"page":"180-184","publisher":"Organization for Associate Degree Nursing.","title":"Connecting with Generation Z: Approaches in Nursing Education","type":"article-journal","volume":"13"},"uris":["http://www.mendeley.com/documents/?uuid=14eeda11-08f6-4488-9fbf-240b60a538a0"]},{"id":"ITEM-2","itemData":{"DOI":"10.1002/abc.21293","ISSN":"1086-4822","abstract":"In 1995, the Internet was born. So, too, was Generation Z. The oldest of this post-Millennial generation arrived to college in 2013, and more than four years later, Generation Z students fill the nation's classrooms, campus programs, and residence halls. In order to recruit, educate, and graduate this new generational cohort effectively, educators must understand the overarching characteristics, perspectives, and styles of these students. In 2014, the authors decided to conduct a study of more than 750 Generation Z students from 15 institutions of varying sizes and types across the country. The study provided insights on this generation's perspectives, styles, preferences, concerns, and beliefs as they related to politics, spirituality, motivation, communication, social issues, community engagement, relationships, leadership, and learning. They supplemented their findings with emerging generational research, market research, social and behavioral science studies, and national polling data. In this article, they present their study's findings, as well as results from several large studies that include more than 150,000 students, in their 2016 book, \"Generation Z Goes to College.\" This research shows that while Generation Z shares some characteristics with Millennials, it is a vastly different generational cohort. Current campus environments have been designed for previous generations, which do not and cannot fully meet the needs, interests, and learning preferences of Generation Z students.","author":[{"dropping-particle":"","family":"Seemiller","given":"Corey","non-dropping-particle":"","parse-names":false,"suffix":""},{"dropping-particle":"","family":"Grace","given":"Meghan","non-dropping-particle":"","parse-names":false,"suffix":""}],"container-title":"About Campus","id":"ITEM-2","issue":"3","issued":{"date-parts":[["2017"]]},"page":"21-26","title":"Generation Z: Educating and Engaging the Next Generation of Students","type":"article-journal","volume":"22"},"uris":["http://www.mendeley.com/documents/?uuid=014494a7-a2ba-4d63-9f96-c59e321c3b30"]}],"mendeley":{"formattedCitation":"&lt;sup&gt;1,2&lt;/sup&gt;","plainTextFormattedCitation":"1,2","previouslyFormattedCitation":"&lt;sup&gt;1,2&lt;/sup&gt;"},"properties":{"noteIndex":0},"schema":"https://github.com/citation-style-language/schema/raw/master/csl-citation.json"}</w:instrText>
      </w:r>
      <w:r w:rsidR="000603B7" w:rsidRPr="002D1F1A">
        <w:rPr>
          <w:rFonts w:ascii="Times New Roman" w:eastAsia="Times New Roman" w:hAnsi="Times New Roman" w:cs="Times New Roman"/>
          <w:color w:val="000000"/>
          <w:sz w:val="20"/>
          <w:szCs w:val="20"/>
          <w:lang w:val="en-US"/>
        </w:rPr>
        <w:fldChar w:fldCharType="separate"/>
      </w:r>
      <w:r w:rsidR="004667FC" w:rsidRPr="002D1F1A">
        <w:rPr>
          <w:rFonts w:ascii="Times New Roman" w:eastAsia="Times New Roman" w:hAnsi="Times New Roman" w:cs="Times New Roman"/>
          <w:noProof/>
          <w:color w:val="000000"/>
          <w:sz w:val="20"/>
          <w:szCs w:val="20"/>
          <w:vertAlign w:val="superscript"/>
          <w:lang w:val="en-US"/>
        </w:rPr>
        <w:t>1,2</w:t>
      </w:r>
      <w:r w:rsidR="000603B7" w:rsidRPr="002D1F1A">
        <w:rPr>
          <w:rFonts w:ascii="Times New Roman" w:eastAsia="Times New Roman" w:hAnsi="Times New Roman" w:cs="Times New Roman"/>
          <w:color w:val="000000"/>
          <w:sz w:val="20"/>
          <w:szCs w:val="20"/>
          <w:lang w:val="en-US"/>
        </w:rPr>
        <w:fldChar w:fldCharType="end"/>
      </w:r>
      <w:r w:rsidR="00A257FB" w:rsidRPr="002D1F1A">
        <w:rPr>
          <w:rFonts w:ascii="Times New Roman" w:eastAsia="Times New Roman" w:hAnsi="Times New Roman" w:cs="Times New Roman"/>
          <w:color w:val="000000"/>
          <w:sz w:val="20"/>
          <w:szCs w:val="20"/>
          <w:lang w:val="en-US"/>
        </w:rPr>
        <w:t xml:space="preserve">, </w:t>
      </w:r>
      <w:r w:rsidR="0099762A" w:rsidRPr="002D1F1A">
        <w:rPr>
          <w:rFonts w:ascii="Times New Roman" w:eastAsia="Times New Roman" w:hAnsi="Times New Roman" w:cs="Times New Roman"/>
          <w:color w:val="000000"/>
          <w:sz w:val="20"/>
          <w:szCs w:val="20"/>
          <w:lang w:val="en-US"/>
        </w:rPr>
        <w:t xml:space="preserve">animation videos, </w:t>
      </w:r>
      <w:r w:rsidR="003E170F" w:rsidRPr="002D1F1A">
        <w:rPr>
          <w:rFonts w:ascii="Times New Roman" w:eastAsia="Times New Roman" w:hAnsi="Times New Roman" w:cs="Times New Roman"/>
          <w:color w:val="000000"/>
          <w:sz w:val="20"/>
          <w:szCs w:val="20"/>
          <w:lang w:val="en-US"/>
        </w:rPr>
        <w:t>or</w:t>
      </w:r>
      <w:r w:rsidR="0099762A" w:rsidRPr="002D1F1A">
        <w:rPr>
          <w:rFonts w:ascii="Times New Roman" w:eastAsia="Times New Roman" w:hAnsi="Times New Roman" w:cs="Times New Roman"/>
          <w:color w:val="000000"/>
          <w:sz w:val="20"/>
          <w:szCs w:val="20"/>
          <w:lang w:val="en-US"/>
        </w:rPr>
        <w:t xml:space="preserve"> demonstration videos</w:t>
      </w:r>
      <w:r w:rsidR="0084721B" w:rsidRPr="002D1F1A">
        <w:rPr>
          <w:rFonts w:ascii="Times New Roman" w:eastAsia="Times New Roman" w:hAnsi="Times New Roman" w:cs="Times New Roman"/>
          <w:color w:val="000000"/>
          <w:sz w:val="20"/>
          <w:szCs w:val="20"/>
          <w:lang w:val="en-US"/>
        </w:rPr>
        <w:fldChar w:fldCharType="begin" w:fldLock="1"/>
      </w:r>
      <w:r w:rsidR="009033B2" w:rsidRPr="002D1F1A">
        <w:rPr>
          <w:rFonts w:ascii="Times New Roman" w:eastAsia="Times New Roman" w:hAnsi="Times New Roman" w:cs="Times New Roman"/>
          <w:color w:val="000000"/>
          <w:sz w:val="20"/>
          <w:szCs w:val="20"/>
          <w:lang w:val="en-US"/>
        </w:rPr>
        <w:instrText>ADDIN CSL_CITATION {"citationItems":[{"id":"ITEM-1","itemData":{"DOI":"10.1088/1742-6596/1737/1/012037","abstract":"The student of vocational high school nowadays are classified as generation Z. They are common to use information and communication technology. They prefer audio-visual learning media rather than podcast recording or text media. This study aimed to develop a video on making dry banana for the Agriculture Product Processing course and assessing the video's feasibility. This study was a research &amp; development (R&amp;D) study using the 4D (define, design, develop, and disseminate) approach. Analysis of content, curriculum, and student needs was carried out in the define stage. The scriptwriting and production team selection was conducted in the design stage. Video recording, editing, and feasibility test from experts were performed in the development stage. The video was evaluated by two content experts and one media expert. In the disseminate stage, thirty students as prospective consumers evaluated the video feasibility. The data were analyzed descriptively. The video was in the mp4 format and had a duration of 13 minuter and 13 seconds. The video has been provided with high-definition images, captions, pictures, 2D animations, transitions, and effects. The experts and the students rated this video to be very feasible to be used as instructional media.","author":[{"dropping-particle":"","family":"Anggraeni","given":"Andian Ari","non-dropping-particle":"","parse-names":false,"suffix":""},{"dropping-particle":"","family":"Surya","given":"Rizka Audina","non-dropping-particle":"","parse-names":false,"suffix":""}],"container-title":"Journal of Physics: Conference Series","id":"ITEM-1","issued":{"date-parts":[["2021"]]},"page":"012037","publisher":"IOP Publishing","title":"Developing a Demonstration Video on Making Dry Banana Preferred by Generation Z","type":"paper-conference","volume":"1737"},"uris":["http://www.mendeley.com/documents/?uuid=d19854d3-a117-43a6-93a1-74df9b67eb73"]},{"id":"ITEM-2","itemData":{"DOI":"10.1088/1742-6596/1810/1/012043","abstract":"The research aims at developing a learning video to make shredded chicken and testing its feasibility. This video demonstrates the steps of product making. This research can be categorized as research and development (R&amp;D) with a 4D model (Define, Design, Develop, and Disseminate). The video was taken with multiple camera angles and completed with text annotation, picture, animation, music, and voice lay-over. The were collected through interviews and questionnaires for feasibility testing. The data were analyzed using quantitative descriptive analysis. The stage of define was a needs analysis, while the design stage consisted of testing recipes, scriptwriting, selection of presenters, talents, dubber, and the video team and preparing tools and materials. The develop stage covered the process of shooting, recording, editing, and feasibility test by two material experts and a media expert. Meanwhile, the disseminate stage referred to the feasibility test among 30 students of State Vocational High School 1 Cangkringan, and the video dissemination was done through the YouTube channel. The feasibility test result based on the material experts was 90.96%, based on the media expert was 98.96%, and from the students was 85.35%, respectively. It means that this video is declared very suitable to be used as a learning medium.","author":[{"dropping-particle":"","family":"Rinawati","given":"Wika","non-dropping-particle":"","parse-names":false,"suffix":""},{"dropping-particle":"","family":"Ghassani","given":"P M","non-dropping-particle":"","parse-names":false,"suffix":""},{"dropping-particle":"","family":"Anggraeni","given":"A A","non-dropping-particle":"","parse-names":false,"suffix":""}],"container-title":"Journal of Physics: Conference Series","id":"ITEM-2","issued":{"date-parts":[["2021"]]},"page":"012043","publisher":"IOP Publishing","title":"The development of an engaging demonstration video for making shredded chicken","type":"paper-conference","volume":"1810"},"uris":["http://www.mendeley.com/documents/?uuid=b8bfee90-2d62-4b4b-aa38-592a4d4b5224"]}],"mendeley":{"formattedCitation":"&lt;sup&gt;5,6&lt;/sup&gt;","plainTextFormattedCitation":"5,6","previouslyFormattedCitation":"&lt;sup&gt;5,6&lt;/sup&gt;"},"properties":{"noteIndex":0},"schema":"https://github.com/citation-style-language/schema/raw/master/csl-citation.json"}</w:instrText>
      </w:r>
      <w:r w:rsidR="0084721B" w:rsidRPr="002D1F1A">
        <w:rPr>
          <w:rFonts w:ascii="Times New Roman" w:eastAsia="Times New Roman" w:hAnsi="Times New Roman" w:cs="Times New Roman"/>
          <w:color w:val="000000"/>
          <w:sz w:val="20"/>
          <w:szCs w:val="20"/>
          <w:lang w:val="en-US"/>
        </w:rPr>
        <w:fldChar w:fldCharType="separate"/>
      </w:r>
      <w:r w:rsidR="0084721B" w:rsidRPr="002D1F1A">
        <w:rPr>
          <w:rFonts w:ascii="Times New Roman" w:eastAsia="Times New Roman" w:hAnsi="Times New Roman" w:cs="Times New Roman"/>
          <w:noProof/>
          <w:color w:val="000000"/>
          <w:sz w:val="20"/>
          <w:szCs w:val="20"/>
          <w:vertAlign w:val="superscript"/>
          <w:lang w:val="en-US"/>
        </w:rPr>
        <w:t>5,6</w:t>
      </w:r>
      <w:r w:rsidR="0084721B" w:rsidRPr="002D1F1A">
        <w:rPr>
          <w:rFonts w:ascii="Times New Roman" w:eastAsia="Times New Roman" w:hAnsi="Times New Roman" w:cs="Times New Roman"/>
          <w:color w:val="000000"/>
          <w:sz w:val="20"/>
          <w:szCs w:val="20"/>
          <w:lang w:val="en-US"/>
        </w:rPr>
        <w:fldChar w:fldCharType="end"/>
      </w:r>
      <w:r w:rsidR="007E3629" w:rsidRPr="002D1F1A">
        <w:rPr>
          <w:rFonts w:ascii="Times New Roman" w:eastAsia="Times New Roman" w:hAnsi="Times New Roman" w:cs="Times New Roman"/>
          <w:color w:val="000000"/>
          <w:sz w:val="20"/>
          <w:szCs w:val="20"/>
          <w:lang w:val="en-US"/>
        </w:rPr>
        <w:t xml:space="preserve">, </w:t>
      </w:r>
      <w:r w:rsidR="0099762A" w:rsidRPr="002D1F1A">
        <w:rPr>
          <w:rFonts w:ascii="Times New Roman" w:eastAsia="Times New Roman" w:hAnsi="Times New Roman" w:cs="Times New Roman"/>
          <w:color w:val="000000"/>
          <w:sz w:val="20"/>
          <w:szCs w:val="20"/>
          <w:lang w:val="en-US"/>
        </w:rPr>
        <w:t>conducting simulations</w:t>
      </w:r>
      <w:r w:rsidR="00EE41EE" w:rsidRPr="002D1F1A">
        <w:rPr>
          <w:rFonts w:ascii="Times New Roman" w:eastAsia="Times New Roman" w:hAnsi="Times New Roman" w:cs="Times New Roman"/>
          <w:color w:val="000000"/>
          <w:sz w:val="20"/>
          <w:szCs w:val="20"/>
          <w:lang w:val="en-US"/>
        </w:rPr>
        <w:fldChar w:fldCharType="begin" w:fldLock="1"/>
      </w:r>
      <w:r w:rsidR="009033B2" w:rsidRPr="002D1F1A">
        <w:rPr>
          <w:rFonts w:ascii="Times New Roman" w:eastAsia="Times New Roman" w:hAnsi="Times New Roman" w:cs="Times New Roman"/>
          <w:color w:val="000000"/>
          <w:sz w:val="20"/>
          <w:szCs w:val="20"/>
          <w:lang w:val="en-US"/>
        </w:rPr>
        <w:instrText>ADDIN CSL_CITATION {"citationItems":[{"id":"ITEM-1","itemData":{"DOI":"10.1016/j.teln.2018.03.008","ISSN":"15573087","abstract":"Generation Z, a unique and truly digital native generation, is now entering college and the workplace. This article identifies generational influences and distinctive characteristics of this group, which may challenge nurse educators and require changes in teaching–learning design strategies and approaches. Specific educational suggestions and ways to support members of Generation Z in higher education and the workplace are offered.","author":[{"dropping-particle":"","family":"Chicca","given":"Jennifer","non-dropping-particle":"","parse-names":false,"suffix":""},{"dropping-particle":"","family":"Shellenbarger","given":"Teresa","non-dropping-particle":"","parse-names":false,"suffix":""}],"container-title":"Teaching and Learning in Nursing","id":"ITEM-1","issue":"3","issued":{"date-parts":[["2018"]]},"page":"180-184","publisher":"Organization for Associate Degree Nursing.","title":"Connecting with Generation Z: Approaches in Nursing Education","type":"article-journal","volume":"13"},"uris":["http://www.mendeley.com/documents/?uuid=14eeda11-08f6-4488-9fbf-240b60a538a0"]},{"id":"ITEM-2","itemData":{"DOI":"10.1016/j.ece.2021.01.008","ISSN":"17497728","abstract":"Teaching laboratories form an essential component of any engineering education. They enable students to participate in various stages of experiential learning including conceptualization and experimentation followed by reflection, analysis and interpretation of data. However, operating teaching laboratories with social distancing measures poses significant logistical and safety challenges, and alternative modes of delivery may be a realistic way forward in adapting engineering curricula to the post COVID-19 world. Best practices from spaces such as distance learning and virtual / remote laboratories can be leveraged to facilitate educators’ responses. This review is aimed at identifying evidence-based approaches for transforming hands-on labs into virtual or remote operation to achieve desired learning outcomes without compromising on soft skills and student self-efficacy. A critical review of the recent literature on delivering STEMM education laboratories in either a virtual or remote setting or a combination of both is presented here. Commonly emerging approaches are identified and strategies to implement remote or mixed-mode (a combination of remote and traditional lab components) delivery are highlighted. The value of these approaches to the educator is assessed based on claimed learning outcomes, availability of resources, technology, scheduling, and cost factors.","author":[{"dropping-particle":"","family":"Bhute","given":"Vijesh J.","non-dropping-particle":"","parse-names":false,"suffix":""},{"dropping-particle":"","family":"Inguva","given":"Pavan","non-dropping-particle":"","parse-names":false,"suffix":""},{"dropping-particle":"","family":"Shah","given":"Umang","non-dropping-particle":"","parse-names":false,"suffix":""},{"dropping-particle":"","family":"Brechtelsbauer","given":"Clemens","non-dropping-particle":"","parse-names":false,"suffix":""}],"container-title":"Education for Chemical Engineers","id":"ITEM-2","issued":{"date-parts":[["2021"]]},"page":"96-104","publisher":"Institution of Chemical Engineers","title":"Transforming traditional teaching laboratories for effective remote delivery-A review","type":"article-journal","volume":"35"},"uris":["http://www.mendeley.com/documents/?uuid=76385956-973a-4b0c-8550-2b7e2414ed80"]}],"mendeley":{"formattedCitation":"&lt;sup&gt;2,7&lt;/sup&gt;","plainTextFormattedCitation":"2,7","previouslyFormattedCitation":"&lt;sup&gt;2,7&lt;/sup&gt;"},"properties":{"noteIndex":0},"schema":"https://github.com/citation-style-language/schema/raw/master/csl-citation.json"}</w:instrText>
      </w:r>
      <w:r w:rsidR="00EE41EE" w:rsidRPr="002D1F1A">
        <w:rPr>
          <w:rFonts w:ascii="Times New Roman" w:eastAsia="Times New Roman" w:hAnsi="Times New Roman" w:cs="Times New Roman"/>
          <w:color w:val="000000"/>
          <w:sz w:val="20"/>
          <w:szCs w:val="20"/>
          <w:lang w:val="en-US"/>
        </w:rPr>
        <w:fldChar w:fldCharType="separate"/>
      </w:r>
      <w:r w:rsidR="0084721B" w:rsidRPr="002D1F1A">
        <w:rPr>
          <w:rFonts w:ascii="Times New Roman" w:eastAsia="Times New Roman" w:hAnsi="Times New Roman" w:cs="Times New Roman"/>
          <w:noProof/>
          <w:color w:val="000000"/>
          <w:sz w:val="20"/>
          <w:szCs w:val="20"/>
          <w:vertAlign w:val="superscript"/>
          <w:lang w:val="en-US"/>
        </w:rPr>
        <w:t>2,7</w:t>
      </w:r>
      <w:r w:rsidR="00EE41EE" w:rsidRPr="002D1F1A">
        <w:rPr>
          <w:rFonts w:ascii="Times New Roman" w:eastAsia="Times New Roman" w:hAnsi="Times New Roman" w:cs="Times New Roman"/>
          <w:color w:val="000000"/>
          <w:sz w:val="20"/>
          <w:szCs w:val="20"/>
          <w:lang w:val="en-US"/>
        </w:rPr>
        <w:fldChar w:fldCharType="end"/>
      </w:r>
      <w:r w:rsidR="00295681" w:rsidRPr="002D1F1A">
        <w:rPr>
          <w:rFonts w:ascii="Times New Roman" w:eastAsia="Times New Roman" w:hAnsi="Times New Roman" w:cs="Times New Roman"/>
          <w:color w:val="000000"/>
          <w:sz w:val="20"/>
          <w:szCs w:val="20"/>
          <w:lang w:val="en-US"/>
        </w:rPr>
        <w:t>,</w:t>
      </w:r>
      <w:r w:rsidR="00A257FB" w:rsidRPr="002D1F1A">
        <w:rPr>
          <w:rFonts w:ascii="Times New Roman" w:eastAsia="Times New Roman" w:hAnsi="Times New Roman" w:cs="Times New Roman"/>
          <w:color w:val="000000"/>
          <w:sz w:val="20"/>
          <w:szCs w:val="20"/>
          <w:lang w:val="en-US"/>
        </w:rPr>
        <w:t xml:space="preserve"> </w:t>
      </w:r>
      <w:r w:rsidR="0099762A" w:rsidRPr="002D1F1A">
        <w:rPr>
          <w:rFonts w:ascii="Times New Roman" w:eastAsia="Times New Roman" w:hAnsi="Times New Roman" w:cs="Times New Roman"/>
          <w:color w:val="000000"/>
          <w:sz w:val="20"/>
          <w:szCs w:val="20"/>
          <w:lang w:val="en-US"/>
        </w:rPr>
        <w:t xml:space="preserve">completing </w:t>
      </w:r>
      <w:r w:rsidR="00EE41EE" w:rsidRPr="002D1F1A">
        <w:rPr>
          <w:rFonts w:ascii="Times New Roman" w:eastAsia="Times New Roman" w:hAnsi="Times New Roman" w:cs="Times New Roman"/>
          <w:color w:val="000000"/>
          <w:sz w:val="20"/>
          <w:szCs w:val="20"/>
          <w:lang w:val="en-US"/>
        </w:rPr>
        <w:t>game</w:t>
      </w:r>
      <w:r w:rsidR="00EE41EE" w:rsidRPr="002D1F1A">
        <w:rPr>
          <w:rFonts w:ascii="Times New Roman" w:eastAsia="Times New Roman" w:hAnsi="Times New Roman" w:cs="Times New Roman"/>
          <w:color w:val="000000"/>
          <w:sz w:val="20"/>
          <w:szCs w:val="20"/>
          <w:lang w:val="en-US"/>
        </w:rPr>
        <w:fldChar w:fldCharType="begin" w:fldLock="1"/>
      </w:r>
      <w:r w:rsidR="004667FC" w:rsidRPr="002D1F1A">
        <w:rPr>
          <w:rFonts w:ascii="Times New Roman" w:eastAsia="Times New Roman" w:hAnsi="Times New Roman" w:cs="Times New Roman"/>
          <w:color w:val="000000"/>
          <w:sz w:val="20"/>
          <w:szCs w:val="20"/>
          <w:lang w:val="en-US"/>
        </w:rPr>
        <w:instrText>ADDIN CSL_CITATION {"citationItems":[{"id":"ITEM-1","itemData":{"DOI":"10.1016/j.teln.2018.03.008","ISSN":"15573087","abstract":"Generation Z, a unique and truly digital native generation, is now entering college and the workplace. This article identifies generational influences and distinctive characteristics of this group, which may challenge nurse educators and require changes in teaching–learning design strategies and approaches. Specific educational suggestions and ways to support members of Generation Z in higher education and the workplace are offered.","author":[{"dropping-particle":"","family":"Chicca","given":"Jennifer","non-dropping-particle":"","parse-names":false,"suffix":""},{"dropping-particle":"","family":"Shellenbarger","given":"Teresa","non-dropping-particle":"","parse-names":false,"suffix":""}],"container-title":"Teaching and Learning in Nursing","id":"ITEM-1","issue":"3","issued":{"date-parts":[["2018"]]},"page":"180-184","publisher":"Organization for Associate Degree Nursing.","title":"Connecting with Generation Z: Approaches in Nursing Education","type":"article-journal","volume":"13"},"uris":["http://www.mendeley.com/documents/?uuid=14eeda11-08f6-4488-9fbf-240b60a538a0"]}],"mendeley":{"formattedCitation":"&lt;sup&gt;2&lt;/sup&gt;","plainTextFormattedCitation":"2","previouslyFormattedCitation":"&lt;sup&gt;2&lt;/sup&gt;"},"properties":{"noteIndex":0},"schema":"https://github.com/citation-style-language/schema/raw/master/csl-citation.json"}</w:instrText>
      </w:r>
      <w:r w:rsidR="00EE41EE" w:rsidRPr="002D1F1A">
        <w:rPr>
          <w:rFonts w:ascii="Times New Roman" w:eastAsia="Times New Roman" w:hAnsi="Times New Roman" w:cs="Times New Roman"/>
          <w:color w:val="000000"/>
          <w:sz w:val="20"/>
          <w:szCs w:val="20"/>
          <w:lang w:val="en-US"/>
        </w:rPr>
        <w:fldChar w:fldCharType="separate"/>
      </w:r>
      <w:r w:rsidR="004667FC" w:rsidRPr="002D1F1A">
        <w:rPr>
          <w:rFonts w:ascii="Times New Roman" w:eastAsia="Times New Roman" w:hAnsi="Times New Roman" w:cs="Times New Roman"/>
          <w:noProof/>
          <w:color w:val="000000"/>
          <w:sz w:val="20"/>
          <w:szCs w:val="20"/>
          <w:vertAlign w:val="superscript"/>
          <w:lang w:val="en-US"/>
        </w:rPr>
        <w:t>2</w:t>
      </w:r>
      <w:r w:rsidR="00EE41EE" w:rsidRPr="002D1F1A">
        <w:rPr>
          <w:rFonts w:ascii="Times New Roman" w:eastAsia="Times New Roman" w:hAnsi="Times New Roman" w:cs="Times New Roman"/>
          <w:color w:val="000000"/>
          <w:sz w:val="20"/>
          <w:szCs w:val="20"/>
          <w:lang w:val="en-US"/>
        </w:rPr>
        <w:fldChar w:fldCharType="end"/>
      </w:r>
      <w:r w:rsidR="00EE41EE" w:rsidRPr="002D1F1A">
        <w:rPr>
          <w:rFonts w:ascii="Times New Roman" w:eastAsia="Times New Roman" w:hAnsi="Times New Roman" w:cs="Times New Roman"/>
          <w:color w:val="000000"/>
          <w:sz w:val="20"/>
          <w:szCs w:val="20"/>
          <w:lang w:val="en-US"/>
        </w:rPr>
        <w:t xml:space="preserve">, </w:t>
      </w:r>
      <w:r w:rsidR="00985D02">
        <w:rPr>
          <w:rFonts w:ascii="Times New Roman" w:eastAsia="Times New Roman" w:hAnsi="Times New Roman" w:cs="Times New Roman"/>
          <w:color w:val="000000"/>
          <w:sz w:val="20"/>
          <w:szCs w:val="20"/>
          <w:lang w:val="en-US"/>
        </w:rPr>
        <w:t xml:space="preserve">and </w:t>
      </w:r>
      <w:r w:rsidR="003E170F" w:rsidRPr="002D1F1A">
        <w:rPr>
          <w:rFonts w:ascii="Times New Roman" w:eastAsia="Times New Roman" w:hAnsi="Times New Roman" w:cs="Times New Roman"/>
          <w:color w:val="000000"/>
          <w:sz w:val="20"/>
          <w:szCs w:val="20"/>
          <w:lang w:val="en-US"/>
        </w:rPr>
        <w:t>submitting</w:t>
      </w:r>
      <w:r w:rsidR="0099762A" w:rsidRPr="002D1F1A">
        <w:rPr>
          <w:rFonts w:ascii="Times New Roman" w:eastAsia="Times New Roman" w:hAnsi="Times New Roman" w:cs="Times New Roman"/>
          <w:color w:val="000000"/>
          <w:sz w:val="20"/>
          <w:szCs w:val="20"/>
          <w:lang w:val="en-US"/>
        </w:rPr>
        <w:t xml:space="preserve"> quizzes or assignments</w:t>
      </w:r>
      <w:r w:rsidR="00EE41EE" w:rsidRPr="002D1F1A">
        <w:rPr>
          <w:rFonts w:ascii="Times New Roman" w:eastAsia="Times New Roman" w:hAnsi="Times New Roman" w:cs="Times New Roman"/>
          <w:color w:val="000000"/>
          <w:sz w:val="20"/>
          <w:szCs w:val="20"/>
          <w:lang w:val="en-US"/>
        </w:rPr>
        <w:fldChar w:fldCharType="begin" w:fldLock="1"/>
      </w:r>
      <w:r w:rsidR="009033B2" w:rsidRPr="002D1F1A">
        <w:rPr>
          <w:rFonts w:ascii="Times New Roman" w:eastAsia="Times New Roman" w:hAnsi="Times New Roman" w:cs="Times New Roman"/>
          <w:color w:val="000000"/>
          <w:sz w:val="20"/>
          <w:szCs w:val="20"/>
          <w:lang w:val="en-US"/>
        </w:rPr>
        <w:instrText>ADDIN CSL_CITATION {"citationItems":[{"id":"ITEM-1","itemData":{"DOI":"10.1016/j.teln.2018.03.008","ISSN":"15573087","abstract":"Generation Z, a unique and truly digital native generation, is now entering college and the workplace. This article identifies generational influences and distinctive characteristics of this group, which may challenge nurse educators and require changes in teaching–learning design strategies and approaches. Specific educational suggestions and ways to support members of Generation Z in higher education and the workplace are offered.","author":[{"dropping-particle":"","family":"Chicca","given":"Jennifer","non-dropping-particle":"","parse-names":false,"suffix":""},{"dropping-particle":"","family":"Shellenbarger","given":"Teresa","non-dropping-particle":"","parse-names":false,"suffix":""}],"container-title":"Teaching and Learning in Nursing","id":"ITEM-1","issue":"3","issued":{"date-parts":[["2018"]]},"page":"180-184","publisher":"Organization for Associate Degree Nursing.","title":"Connecting with Generation Z: Approaches in Nursing Education","type":"article-journal","volume":"13"},"uris":["http://www.mendeley.com/documents/?uuid=14eeda11-08f6-4488-9fbf-240b60a538a0"]},{"id":"ITEM-2","itemData":{"DOI":"10.1016/j.ece.2021.01.008","ISSN":"17497728","abstract":"Teaching laboratories form an essential component of any engineering education. They enable students to participate in various stages of experiential learning including conceptualization and experimentation followed by reflection, analysis and interpretation of data. However, operating teaching laboratories with social distancing measures poses significant logistical and safety challenges, and alternative modes of delivery may be a realistic way forward in adapting engineering curricula to the post COVID-19 world. Best practices from spaces such as distance learning and virtual / remote laboratories can be leveraged to facilitate educators’ responses. This review is aimed at identifying evidence-based approaches for transforming hands-on labs into virtual or remote operation to achieve desired learning outcomes without compromising on soft skills and student self-efficacy. A critical review of the recent literature on delivering STEMM education laboratories in either a virtual or remote setting or a combination of both is presented here. Commonly emerging approaches are identified and strategies to implement remote or mixed-mode (a combination of remote and traditional lab components) delivery are highlighted. The value of these approaches to the educator is assessed based on claimed learning outcomes, availability of resources, technology, scheduling, and cost factors.","author":[{"dropping-particle":"","family":"Bhute","given":"Vijesh J.","non-dropping-particle":"","parse-names":false,"suffix":""},{"dropping-particle":"","family":"Inguva","given":"Pavan","non-dropping-particle":"","parse-names":false,"suffix":""},{"dropping-particle":"","family":"Shah","given":"Umang","non-dropping-particle":"","parse-names":false,"suffix":""},{"dropping-particle":"","family":"Brechtelsbauer","given":"Clemens","non-dropping-particle":"","parse-names":false,"suffix":""}],"container-title":"Education for Chemical Engineers","id":"ITEM-2","issued":{"date-parts":[["2021"]]},"page":"96-104","publisher":"Institution of Chemical Engineers","title":"Transforming traditional teaching laboratories for effective remote delivery-A review","type":"article-journal","volume":"35"},"uris":["http://www.mendeley.com/documents/?uuid=76385956-973a-4b0c-8550-2b7e2414ed80"]}],"mendeley":{"formattedCitation":"&lt;sup&gt;2,7&lt;/sup&gt;","plainTextFormattedCitation":"2,7","previouslyFormattedCitation":"&lt;sup&gt;2,7&lt;/sup&gt;"},"properties":{"noteIndex":0},"schema":"https://github.com/citation-style-language/schema/raw/master/csl-citation.json"}</w:instrText>
      </w:r>
      <w:r w:rsidR="00EE41EE" w:rsidRPr="002D1F1A">
        <w:rPr>
          <w:rFonts w:ascii="Times New Roman" w:eastAsia="Times New Roman" w:hAnsi="Times New Roman" w:cs="Times New Roman"/>
          <w:color w:val="000000"/>
          <w:sz w:val="20"/>
          <w:szCs w:val="20"/>
          <w:lang w:val="en-US"/>
        </w:rPr>
        <w:fldChar w:fldCharType="separate"/>
      </w:r>
      <w:r w:rsidR="0084721B" w:rsidRPr="002D1F1A">
        <w:rPr>
          <w:rFonts w:ascii="Times New Roman" w:eastAsia="Times New Roman" w:hAnsi="Times New Roman" w:cs="Times New Roman"/>
          <w:noProof/>
          <w:color w:val="000000"/>
          <w:sz w:val="20"/>
          <w:szCs w:val="20"/>
          <w:vertAlign w:val="superscript"/>
          <w:lang w:val="en-US"/>
        </w:rPr>
        <w:t>2,7</w:t>
      </w:r>
      <w:r w:rsidR="00EE41EE" w:rsidRPr="002D1F1A">
        <w:rPr>
          <w:rFonts w:ascii="Times New Roman" w:eastAsia="Times New Roman" w:hAnsi="Times New Roman" w:cs="Times New Roman"/>
          <w:color w:val="000000"/>
          <w:sz w:val="20"/>
          <w:szCs w:val="20"/>
          <w:lang w:val="en-US"/>
        </w:rPr>
        <w:fldChar w:fldCharType="end"/>
      </w:r>
      <w:r w:rsidR="00A257FB" w:rsidRPr="002D1F1A">
        <w:rPr>
          <w:rFonts w:ascii="Times New Roman" w:eastAsia="Times New Roman" w:hAnsi="Times New Roman" w:cs="Times New Roman"/>
          <w:color w:val="000000"/>
          <w:sz w:val="20"/>
          <w:szCs w:val="20"/>
          <w:lang w:val="en-US"/>
        </w:rPr>
        <w:t xml:space="preserve">. </w:t>
      </w:r>
      <w:r w:rsidR="003E170F" w:rsidRPr="002D1F1A">
        <w:rPr>
          <w:rFonts w:ascii="Times New Roman" w:eastAsia="Times New Roman" w:hAnsi="Times New Roman" w:cs="Times New Roman"/>
          <w:color w:val="000000"/>
          <w:sz w:val="20"/>
          <w:szCs w:val="20"/>
          <w:lang w:val="en-US"/>
        </w:rPr>
        <w:t>Meanwhile, collaborative activities in asynchronous meetings include discussions, group assignments, and peer assessments. All these activities are accommodated through LMS such as Moodle, Blackboard, Brightspace, and others. LMS also able to report all student activities</w:t>
      </w:r>
      <w:r w:rsidR="0099762A" w:rsidRPr="002D1F1A">
        <w:rPr>
          <w:rFonts w:ascii="Times New Roman" w:eastAsia="Times New Roman" w:hAnsi="Times New Roman" w:cs="Times New Roman"/>
          <w:color w:val="000000"/>
          <w:sz w:val="20"/>
          <w:szCs w:val="20"/>
          <w:lang w:val="en-US"/>
        </w:rPr>
        <w:t>.</w:t>
      </w:r>
    </w:p>
    <w:p w14:paraId="4B1CE89B" w14:textId="18DD6F84" w:rsidR="00353F24" w:rsidRPr="002D1F1A" w:rsidRDefault="006E1161" w:rsidP="00664177">
      <w:pPr>
        <w:pStyle w:val="ListParagraph"/>
        <w:pBdr>
          <w:top w:val="nil"/>
          <w:left w:val="nil"/>
          <w:bottom w:val="nil"/>
          <w:right w:val="nil"/>
          <w:between w:val="nil"/>
        </w:pBdr>
        <w:spacing w:after="0" w:line="240" w:lineRule="auto"/>
        <w:ind w:left="0" w:firstLine="284"/>
        <w:jc w:val="both"/>
        <w:rPr>
          <w:rFonts w:ascii="Times New Roman" w:eastAsia="Times New Roman" w:hAnsi="Times New Roman" w:cs="Times New Roman"/>
          <w:color w:val="000000"/>
          <w:sz w:val="20"/>
          <w:szCs w:val="20"/>
          <w:lang w:val="en-US"/>
        </w:rPr>
      </w:pPr>
      <w:r w:rsidRPr="002D1F1A">
        <w:rPr>
          <w:rFonts w:ascii="Times New Roman" w:eastAsia="Times New Roman" w:hAnsi="Times New Roman" w:cs="Times New Roman"/>
          <w:color w:val="000000"/>
          <w:sz w:val="20"/>
          <w:szCs w:val="20"/>
          <w:lang w:val="en-US"/>
        </w:rPr>
        <w:t>Blended learning is a delivery method that combines synchronous and asynchronous meetings. The asynchronous meetings in blended learning cover 30-79% of the total meetings</w:t>
      </w:r>
      <w:r w:rsidR="003A470B" w:rsidRPr="002D1F1A">
        <w:rPr>
          <w:rFonts w:ascii="Times New Roman" w:eastAsia="Times New Roman" w:hAnsi="Times New Roman" w:cs="Times New Roman"/>
          <w:color w:val="000000"/>
          <w:sz w:val="20"/>
          <w:szCs w:val="20"/>
          <w:lang w:val="en-US"/>
        </w:rPr>
        <w:t xml:space="preserve">. The success of blended learning depends on many factors. Lecturers must have computer literacy, use ICT for teaching, educational technology, learning media, and technological tools, </w:t>
      </w:r>
      <w:r w:rsidR="0023010C" w:rsidRPr="002D1F1A">
        <w:rPr>
          <w:rFonts w:ascii="Times New Roman" w:eastAsia="Times New Roman" w:hAnsi="Times New Roman" w:cs="Times New Roman"/>
          <w:color w:val="000000"/>
          <w:sz w:val="20"/>
          <w:szCs w:val="20"/>
          <w:lang w:val="en-US"/>
        </w:rPr>
        <w:t>know</w:t>
      </w:r>
      <w:r w:rsidR="003A470B" w:rsidRPr="002D1F1A">
        <w:rPr>
          <w:rFonts w:ascii="Times New Roman" w:eastAsia="Times New Roman" w:hAnsi="Times New Roman" w:cs="Times New Roman"/>
          <w:color w:val="000000"/>
          <w:sz w:val="20"/>
          <w:szCs w:val="20"/>
          <w:lang w:val="en-US"/>
        </w:rPr>
        <w:t xml:space="preserve"> the latest technology</w:t>
      </w:r>
      <w:r w:rsidR="0023010C" w:rsidRPr="002D1F1A">
        <w:rPr>
          <w:rFonts w:ascii="Times New Roman" w:eastAsia="Times New Roman" w:hAnsi="Times New Roman" w:cs="Times New Roman"/>
          <w:color w:val="000000"/>
          <w:sz w:val="20"/>
          <w:szCs w:val="20"/>
          <w:lang w:val="en-US"/>
        </w:rPr>
        <w:t>, and</w:t>
      </w:r>
      <w:r w:rsidR="003A470B" w:rsidRPr="002D1F1A">
        <w:rPr>
          <w:rFonts w:ascii="Times New Roman" w:eastAsia="Times New Roman" w:hAnsi="Times New Roman" w:cs="Times New Roman"/>
          <w:color w:val="000000"/>
          <w:sz w:val="20"/>
          <w:szCs w:val="20"/>
          <w:lang w:val="en-US"/>
        </w:rPr>
        <w:t xml:space="preserve"> develop learning media</w:t>
      </w:r>
      <w:r w:rsidR="0023010C" w:rsidRPr="002D1F1A">
        <w:rPr>
          <w:rFonts w:ascii="Times New Roman" w:eastAsia="Times New Roman" w:hAnsi="Times New Roman" w:cs="Times New Roman"/>
          <w:color w:val="000000"/>
          <w:sz w:val="20"/>
          <w:szCs w:val="20"/>
          <w:lang w:val="en-US"/>
        </w:rPr>
        <w:t xml:space="preserve"> </w:t>
      </w:r>
      <w:r w:rsidR="00440678" w:rsidRPr="002D1F1A">
        <w:rPr>
          <w:rFonts w:ascii="Times New Roman" w:eastAsia="Times New Roman" w:hAnsi="Times New Roman" w:cs="Times New Roman"/>
          <w:color w:val="000000"/>
          <w:sz w:val="20"/>
          <w:szCs w:val="20"/>
          <w:lang w:val="en-US"/>
        </w:rPr>
        <w:fldChar w:fldCharType="begin" w:fldLock="1"/>
      </w:r>
      <w:r w:rsidR="009033B2" w:rsidRPr="002D1F1A">
        <w:rPr>
          <w:rFonts w:ascii="Times New Roman" w:eastAsia="Times New Roman" w:hAnsi="Times New Roman" w:cs="Times New Roman"/>
          <w:color w:val="000000"/>
          <w:sz w:val="20"/>
          <w:szCs w:val="20"/>
          <w:lang w:val="en-US"/>
        </w:rPr>
        <w:instrText>ADDIN CSL_CITATION {"citationItems":[{"id":"ITEM-1","itemData":{"DOI":"10.21831/cp.v38i2.25393","ISSN":"24428620","abstract":"Workforce in the 21st century has been marked by the acceleration of disruptive moves as the Industrial Revolution 4.0 and Society 5.0. This era requires human resources with new competencies that may be far different from current competencies. To present vocational education that is able to facilitate future human resource to learn compentencies that meet the need of future changes, vocational teachers should master new competencies comprehensively. This study aims to formulate the core vocational teacher competencies, hard skills and soft skills, which are in line with the various demands of the future. This qualitative research involved active vocational teachers and vocational education experts in several Focus Group Discussions and questionnaire completion. Research questions are focused on reflection of current teacher competencies and perceptions of teacher competencies in the future. The results lead to a conclusion that for future teachers, the core competencies are the pedagogic, content, and ICT competencies. These competences are relevant to hard skills aspects categorised as curriculum and content. In the aspect of soft skills, category living in the world is dominant. The three aspects considered very important for future vocational teachers are able to be exemplary, honest, and discipline. As a consequence, this research suggests to teacher educational institutes that produce vocational teachers to develop the teacher education curricula that integrates these key competencies in their vocational education teacher standards.","author":[{"dropping-particle":"","family":"Wagiran","given":"","non-dropping-particle":"","parse-names":false,"suffix":""},{"dropping-particle":"","family":"Pardjono","given":"","non-dropping-particle":"","parse-names":false,"suffix":""},{"dropping-particle":"","family":"Suyanto","given":"Wardan","non-dropping-particle":"","parse-names":false,"suffix":""},{"dropping-particle":"","family":"Sofyan","given":"Herminarto","non-dropping-particle":"","parse-names":false,"suffix":""},{"dropping-particle":"","family":"Soenarto","given":"Sunaryo","non-dropping-particle":"","parse-names":false,"suffix":""},{"dropping-particle":"","family":"Yudantoko","given":"Afri","non-dropping-particle":"","parse-names":false,"suffix":""}],"container-title":"Cakrawala Pendidikan","id":"ITEM-1","issue":"2","issued":{"date-parts":[["2019"]]},"page":"387-397","title":"Competencies of future vocational teachers: Perspective of in-service teachers and educational experts","type":"article-journal","volume":"38"},"uris":["http://www.mendeley.com/documents/?uuid=71fafead-de7d-451c-b3fd-f6fcc34e94ed"]},{"id":"ITEM-2","itemData":{"DOI":"10.1016/j.amsu.2021.01.051","ISSN":"20490801","abstract":"Students often feel overwhelmed by the volume and complexity of knowledge and skills required to learn. Along with this challange, educational technology has been gradually introduced in medical education to facilitate learning and improve outcomes. It became an essential part of communication, storing and transferring information, audio-visual media use and production, and knowledge sharing. Technology's role has been expanding from a mere tool of study and inquiry to an approach and integrated use in education. Its use in medical education is continuously evolving. However, the impact and optimal use of various technology applications are not clearly defined. There are multiple challenges facing educators to choose the right application for the specific educational purpose. Hence, studies and evaluation reviews are needed to inform the better-defined use of educational technology. This review aims to discuss and evaluate various educational technology applications in medical education, focusing on interactive learning during lectures. Lectures and other group learning sessions are common activities used by medical schools. Promoting interactive learning in large groups is known to be challenging. The advances in technology to facilitate communication and promote interaction is a promising adjunct for lectures interactivity.","author":[{"dropping-particle":"","family":"Tuma","given":"Faiz","non-dropping-particle":"","parse-names":false,"suffix":""}],"container-title":"Annals of Medicine and Surgery","id":"ITEM-2","issue":"January","issued":{"date-parts":[["2021"]]},"page":"231-235","publisher":"Elsevier Ltd","title":"The use of educational technology for interactive teaching in lectures","type":"article-journal","volume":"62"},"uris":["http://www.mendeley.com/documents/?uuid=15e021f2-9aca-4174-9edb-84b6692bc177"]}],"mendeley":{"formattedCitation":"&lt;sup&gt;4,8&lt;/sup&gt;","plainTextFormattedCitation":"4,8","previouslyFormattedCitation":"&lt;sup&gt;4,8&lt;/sup&gt;"},"properties":{"noteIndex":0},"schema":"https://github.com/citation-style-language/schema/raw/master/csl-citation.json"}</w:instrText>
      </w:r>
      <w:r w:rsidR="00440678" w:rsidRPr="002D1F1A">
        <w:rPr>
          <w:rFonts w:ascii="Times New Roman" w:eastAsia="Times New Roman" w:hAnsi="Times New Roman" w:cs="Times New Roman"/>
          <w:color w:val="000000"/>
          <w:sz w:val="20"/>
          <w:szCs w:val="20"/>
          <w:lang w:val="en-US"/>
        </w:rPr>
        <w:fldChar w:fldCharType="separate"/>
      </w:r>
      <w:r w:rsidR="0084721B" w:rsidRPr="002D1F1A">
        <w:rPr>
          <w:rFonts w:ascii="Times New Roman" w:eastAsia="Times New Roman" w:hAnsi="Times New Roman" w:cs="Times New Roman"/>
          <w:noProof/>
          <w:color w:val="000000"/>
          <w:sz w:val="20"/>
          <w:szCs w:val="20"/>
          <w:vertAlign w:val="superscript"/>
          <w:lang w:val="en-US"/>
        </w:rPr>
        <w:t>4,8</w:t>
      </w:r>
      <w:r w:rsidR="00440678" w:rsidRPr="002D1F1A">
        <w:rPr>
          <w:rFonts w:ascii="Times New Roman" w:eastAsia="Times New Roman" w:hAnsi="Times New Roman" w:cs="Times New Roman"/>
          <w:color w:val="000000"/>
          <w:sz w:val="20"/>
          <w:szCs w:val="20"/>
          <w:lang w:val="en-US"/>
        </w:rPr>
        <w:fldChar w:fldCharType="end"/>
      </w:r>
      <w:r w:rsidR="00353F24" w:rsidRPr="002D1F1A">
        <w:rPr>
          <w:rFonts w:ascii="Times New Roman" w:eastAsia="Times New Roman" w:hAnsi="Times New Roman" w:cs="Times New Roman"/>
          <w:color w:val="000000"/>
          <w:sz w:val="20"/>
          <w:szCs w:val="20"/>
          <w:lang w:val="en-US"/>
        </w:rPr>
        <w:t xml:space="preserve">. </w:t>
      </w:r>
      <w:r w:rsidRPr="002D1F1A">
        <w:rPr>
          <w:rFonts w:ascii="Times New Roman" w:eastAsia="Times New Roman" w:hAnsi="Times New Roman" w:cs="Times New Roman"/>
          <w:color w:val="000000"/>
          <w:sz w:val="20"/>
          <w:szCs w:val="20"/>
          <w:lang w:val="en-US"/>
        </w:rPr>
        <w:t xml:space="preserve">The ICT competence is the third main competency that lecturers must possess, besides pedagogical and subject </w:t>
      </w:r>
      <w:r w:rsidR="000D0A33" w:rsidRPr="002D1F1A">
        <w:rPr>
          <w:rFonts w:ascii="Times New Roman" w:eastAsia="Times New Roman" w:hAnsi="Times New Roman" w:cs="Times New Roman"/>
          <w:color w:val="000000"/>
          <w:sz w:val="20"/>
          <w:szCs w:val="20"/>
          <w:lang w:val="en-US"/>
        </w:rPr>
        <w:t>knowledge</w:t>
      </w:r>
      <w:r w:rsidR="00201041" w:rsidRPr="002D1F1A">
        <w:rPr>
          <w:rFonts w:ascii="Times New Roman" w:eastAsia="Times New Roman" w:hAnsi="Times New Roman" w:cs="Times New Roman"/>
          <w:color w:val="000000"/>
          <w:sz w:val="20"/>
          <w:szCs w:val="20"/>
          <w:lang w:val="en-US"/>
        </w:rPr>
        <w:fldChar w:fldCharType="begin" w:fldLock="1"/>
      </w:r>
      <w:r w:rsidR="009033B2" w:rsidRPr="002D1F1A">
        <w:rPr>
          <w:rFonts w:ascii="Times New Roman" w:eastAsia="Times New Roman" w:hAnsi="Times New Roman" w:cs="Times New Roman"/>
          <w:color w:val="000000"/>
          <w:sz w:val="20"/>
          <w:szCs w:val="20"/>
          <w:lang w:val="en-US"/>
        </w:rPr>
        <w:instrText>ADDIN CSL_CITATION {"citationItems":[{"id":"ITEM-1","itemData":{"DOI":"10.21831/cp.v38i2.25393","ISSN":"24428620","abstract":"Workforce in the 21st century has been marked by the acceleration of disruptive moves as the Industrial Revolution 4.0 and Society 5.0. This era requires human resources with new competencies that may be far different from current competencies. To present vocational education that is able to facilitate future human resource to learn compentencies that meet the need of future changes, vocational teachers should master new competencies comprehensively. This study aims to formulate the core vocational teacher competencies, hard skills and soft skills, which are in line with the various demands of the future. This qualitative research involved active vocational teachers and vocational education experts in several Focus Group Discussions and questionnaire completion. Research questions are focused on reflection of current teacher competencies and perceptions of teacher competencies in the future. The results lead to a conclusion that for future teachers, the core competencies are the pedagogic, content, and ICT competencies. These competences are relevant to hard skills aspects categorised as curriculum and content. In the aspect of soft skills, category living in the world is dominant. The three aspects considered very important for future vocational teachers are able to be exemplary, honest, and discipline. As a consequence, this research suggests to teacher educational institutes that produce vocational teachers to develop the teacher education curricula that integrates these key competencies in their vocational education teacher standards.","author":[{"dropping-particle":"","family":"Wagiran","given":"","non-dropping-particle":"","parse-names":false,"suffix":""},{"dropping-particle":"","family":"Pardjono","given":"","non-dropping-particle":"","parse-names":false,"suffix":""},{"dropping-particle":"","family":"Suyanto","given":"Wardan","non-dropping-particle":"","parse-names":false,"suffix":""},{"dropping-particle":"","family":"Sofyan","given":"Herminarto","non-dropping-particle":"","parse-names":false,"suffix":""},{"dropping-particle":"","family":"Soenarto","given":"Sunaryo","non-dropping-particle":"","parse-names":false,"suffix":""},{"dropping-particle":"","family":"Yudantoko","given":"Afri","non-dropping-particle":"","parse-names":false,"suffix":""}],"container-title":"Cakrawala Pendidikan","id":"ITEM-1","issue":"2","issued":{"date-parts":[["2019"]]},"page":"387-397","title":"Competencies of future vocational teachers: Perspective of in-service teachers and educational experts","type":"article-journal","volume":"38"},"uris":["http://www.mendeley.com/documents/?uuid=71fafead-de7d-451c-b3fd-f6fcc34e94ed"]}],"mendeley":{"formattedCitation":"&lt;sup&gt;8&lt;/sup&gt;","plainTextFormattedCitation":"8","previouslyFormattedCitation":"&lt;sup&gt;8&lt;/sup&gt;"},"properties":{"noteIndex":0},"schema":"https://github.com/citation-style-language/schema/raw/master/csl-citation.json"}</w:instrText>
      </w:r>
      <w:r w:rsidR="00201041" w:rsidRPr="002D1F1A">
        <w:rPr>
          <w:rFonts w:ascii="Times New Roman" w:eastAsia="Times New Roman" w:hAnsi="Times New Roman" w:cs="Times New Roman"/>
          <w:color w:val="000000"/>
          <w:sz w:val="20"/>
          <w:szCs w:val="20"/>
          <w:lang w:val="en-US"/>
        </w:rPr>
        <w:fldChar w:fldCharType="separate"/>
      </w:r>
      <w:r w:rsidR="0084721B" w:rsidRPr="002D1F1A">
        <w:rPr>
          <w:rFonts w:ascii="Times New Roman" w:eastAsia="Times New Roman" w:hAnsi="Times New Roman" w:cs="Times New Roman"/>
          <w:noProof/>
          <w:color w:val="000000"/>
          <w:sz w:val="20"/>
          <w:szCs w:val="20"/>
          <w:vertAlign w:val="superscript"/>
          <w:lang w:val="en-US"/>
        </w:rPr>
        <w:t>8</w:t>
      </w:r>
      <w:r w:rsidR="00201041" w:rsidRPr="002D1F1A">
        <w:rPr>
          <w:rFonts w:ascii="Times New Roman" w:eastAsia="Times New Roman" w:hAnsi="Times New Roman" w:cs="Times New Roman"/>
          <w:color w:val="000000"/>
          <w:sz w:val="20"/>
          <w:szCs w:val="20"/>
          <w:lang w:val="en-US"/>
        </w:rPr>
        <w:fldChar w:fldCharType="end"/>
      </w:r>
      <w:r w:rsidR="00201041" w:rsidRPr="002D1F1A">
        <w:rPr>
          <w:rFonts w:ascii="Times New Roman" w:eastAsia="Times New Roman" w:hAnsi="Times New Roman" w:cs="Times New Roman"/>
          <w:color w:val="000000"/>
          <w:sz w:val="20"/>
          <w:szCs w:val="20"/>
          <w:lang w:val="en-US"/>
        </w:rPr>
        <w:t xml:space="preserve">. </w:t>
      </w:r>
    </w:p>
    <w:p w14:paraId="6BF7331D" w14:textId="5D89BEC5" w:rsidR="007836B3" w:rsidRPr="002D1F1A" w:rsidRDefault="007E16C1" w:rsidP="00664177">
      <w:pPr>
        <w:pStyle w:val="ListParagraph"/>
        <w:pBdr>
          <w:top w:val="nil"/>
          <w:left w:val="nil"/>
          <w:bottom w:val="nil"/>
          <w:right w:val="nil"/>
          <w:between w:val="nil"/>
        </w:pBdr>
        <w:spacing w:after="0" w:line="240" w:lineRule="auto"/>
        <w:ind w:left="0" w:firstLine="284"/>
        <w:jc w:val="both"/>
        <w:rPr>
          <w:rFonts w:ascii="Times New Roman" w:eastAsia="Times New Roman" w:hAnsi="Times New Roman" w:cs="Times New Roman"/>
          <w:color w:val="000000"/>
          <w:sz w:val="20"/>
          <w:szCs w:val="20"/>
          <w:lang w:val="en-US"/>
        </w:rPr>
      </w:pPr>
      <w:r w:rsidRPr="002D1F1A">
        <w:rPr>
          <w:rFonts w:ascii="Times New Roman" w:eastAsia="Times New Roman" w:hAnsi="Times New Roman" w:cs="Times New Roman"/>
          <w:color w:val="000000"/>
          <w:sz w:val="20"/>
          <w:szCs w:val="20"/>
          <w:lang w:val="en-US"/>
        </w:rPr>
        <w:t xml:space="preserve">The implementation of blended learning requires ICT </w:t>
      </w:r>
      <w:r w:rsidR="003116F7" w:rsidRPr="002D1F1A">
        <w:rPr>
          <w:rFonts w:ascii="Times New Roman" w:eastAsia="Times New Roman" w:hAnsi="Times New Roman" w:cs="Times New Roman"/>
          <w:color w:val="000000"/>
          <w:sz w:val="20"/>
          <w:szCs w:val="20"/>
          <w:lang w:val="en-US"/>
        </w:rPr>
        <w:t>facilities</w:t>
      </w:r>
      <w:r w:rsidRPr="002D1F1A">
        <w:rPr>
          <w:rFonts w:ascii="Times New Roman" w:eastAsia="Times New Roman" w:hAnsi="Times New Roman" w:cs="Times New Roman"/>
          <w:color w:val="000000"/>
          <w:sz w:val="20"/>
          <w:szCs w:val="20"/>
          <w:lang w:val="en-US"/>
        </w:rPr>
        <w:t xml:space="preserve">, such as </w:t>
      </w:r>
      <w:r w:rsidR="0023010C" w:rsidRPr="002D1F1A">
        <w:rPr>
          <w:rFonts w:ascii="Times New Roman" w:eastAsia="Times New Roman" w:hAnsi="Times New Roman" w:cs="Times New Roman"/>
          <w:color w:val="000000"/>
          <w:sz w:val="20"/>
          <w:szCs w:val="20"/>
          <w:lang w:val="en-US"/>
        </w:rPr>
        <w:t xml:space="preserve">networks, </w:t>
      </w:r>
      <w:r w:rsidRPr="002D1F1A">
        <w:rPr>
          <w:rFonts w:ascii="Times New Roman" w:eastAsia="Times New Roman" w:hAnsi="Times New Roman" w:cs="Times New Roman"/>
          <w:color w:val="000000"/>
          <w:sz w:val="20"/>
          <w:szCs w:val="20"/>
          <w:lang w:val="en-US"/>
        </w:rPr>
        <w:t>hardware, software, and</w:t>
      </w:r>
      <w:r w:rsidR="00742A04" w:rsidRPr="002D1F1A">
        <w:rPr>
          <w:rFonts w:ascii="Times New Roman" w:eastAsia="Times New Roman" w:hAnsi="Times New Roman" w:cs="Times New Roman"/>
          <w:color w:val="000000"/>
          <w:sz w:val="20"/>
          <w:szCs w:val="20"/>
          <w:lang w:val="en-US"/>
        </w:rPr>
        <w:t xml:space="preserve"> ICT equipment </w:t>
      </w:r>
      <w:r w:rsidR="009968C5" w:rsidRPr="002D1F1A">
        <w:rPr>
          <w:rFonts w:ascii="Times New Roman" w:eastAsia="Times New Roman" w:hAnsi="Times New Roman" w:cs="Times New Roman"/>
          <w:color w:val="000000"/>
          <w:sz w:val="20"/>
          <w:szCs w:val="20"/>
          <w:lang w:val="en-US"/>
        </w:rPr>
        <w:t xml:space="preserve">to support </w:t>
      </w:r>
      <w:r w:rsidR="00742A04" w:rsidRPr="002D1F1A">
        <w:rPr>
          <w:rFonts w:ascii="Times New Roman" w:eastAsia="Times New Roman" w:hAnsi="Times New Roman" w:cs="Times New Roman"/>
          <w:color w:val="000000"/>
          <w:sz w:val="20"/>
          <w:szCs w:val="20"/>
          <w:lang w:val="en-US"/>
        </w:rPr>
        <w:t>blended learning</w:t>
      </w:r>
      <w:r w:rsidRPr="002D1F1A">
        <w:rPr>
          <w:rFonts w:ascii="Times New Roman" w:eastAsia="Times New Roman" w:hAnsi="Times New Roman" w:cs="Times New Roman"/>
          <w:color w:val="000000"/>
          <w:sz w:val="20"/>
          <w:szCs w:val="20"/>
          <w:lang w:val="en-US"/>
        </w:rPr>
        <w:t xml:space="preserve">. </w:t>
      </w:r>
      <w:r w:rsidR="009968C5" w:rsidRPr="002D1F1A">
        <w:rPr>
          <w:rFonts w:ascii="Times New Roman" w:eastAsia="Times New Roman" w:hAnsi="Times New Roman" w:cs="Times New Roman"/>
          <w:color w:val="000000"/>
          <w:sz w:val="20"/>
          <w:szCs w:val="20"/>
          <w:lang w:val="en-US"/>
        </w:rPr>
        <w:t>In Indonesia, the</w:t>
      </w:r>
      <w:r w:rsidR="00162F9D" w:rsidRPr="002D1F1A">
        <w:rPr>
          <w:rFonts w:ascii="Times New Roman" w:eastAsia="Times New Roman" w:hAnsi="Times New Roman" w:cs="Times New Roman"/>
          <w:color w:val="000000"/>
          <w:sz w:val="20"/>
          <w:szCs w:val="20"/>
          <w:lang w:val="en-US"/>
        </w:rPr>
        <w:t xml:space="preserve"> Internet Service Providers</w:t>
      </w:r>
      <w:r w:rsidR="009968C5" w:rsidRPr="002D1F1A">
        <w:rPr>
          <w:rFonts w:ascii="Times New Roman" w:eastAsia="Times New Roman" w:hAnsi="Times New Roman" w:cs="Times New Roman"/>
          <w:color w:val="000000"/>
          <w:sz w:val="20"/>
          <w:szCs w:val="20"/>
          <w:lang w:val="en-US"/>
        </w:rPr>
        <w:t xml:space="preserve"> </w:t>
      </w:r>
      <w:r w:rsidR="00162F9D" w:rsidRPr="002D1F1A">
        <w:rPr>
          <w:rFonts w:ascii="Times New Roman" w:eastAsia="Times New Roman" w:hAnsi="Times New Roman" w:cs="Times New Roman"/>
          <w:color w:val="000000"/>
          <w:sz w:val="20"/>
          <w:szCs w:val="20"/>
          <w:lang w:val="en-US"/>
        </w:rPr>
        <w:t>(</w:t>
      </w:r>
      <w:r w:rsidR="009968C5" w:rsidRPr="002D1F1A">
        <w:rPr>
          <w:rFonts w:ascii="Times New Roman" w:eastAsia="Times New Roman" w:hAnsi="Times New Roman" w:cs="Times New Roman"/>
          <w:color w:val="000000"/>
          <w:sz w:val="20"/>
          <w:szCs w:val="20"/>
          <w:lang w:val="en-US"/>
        </w:rPr>
        <w:t>ISP</w:t>
      </w:r>
      <w:r w:rsidR="00162F9D" w:rsidRPr="002D1F1A">
        <w:rPr>
          <w:rFonts w:ascii="Times New Roman" w:eastAsia="Times New Roman" w:hAnsi="Times New Roman" w:cs="Times New Roman"/>
          <w:color w:val="000000"/>
          <w:sz w:val="20"/>
          <w:szCs w:val="20"/>
          <w:lang w:val="en-US"/>
        </w:rPr>
        <w:t>)</w:t>
      </w:r>
      <w:r w:rsidR="009968C5" w:rsidRPr="002D1F1A">
        <w:rPr>
          <w:rFonts w:ascii="Times New Roman" w:eastAsia="Times New Roman" w:hAnsi="Times New Roman" w:cs="Times New Roman"/>
          <w:color w:val="000000"/>
          <w:sz w:val="20"/>
          <w:szCs w:val="20"/>
          <w:lang w:val="en-US"/>
        </w:rPr>
        <w:t xml:space="preserve"> and cellular operators offer </w:t>
      </w:r>
      <w:r w:rsidR="00357481">
        <w:rPr>
          <w:rFonts w:ascii="Times New Roman" w:eastAsia="Times New Roman" w:hAnsi="Times New Roman" w:cs="Times New Roman"/>
          <w:color w:val="000000"/>
          <w:sz w:val="20"/>
          <w:szCs w:val="20"/>
          <w:lang w:val="en-US"/>
        </w:rPr>
        <w:t>internet access</w:t>
      </w:r>
      <w:r w:rsidRPr="002D1F1A">
        <w:rPr>
          <w:rFonts w:ascii="Times New Roman" w:eastAsia="Times New Roman" w:hAnsi="Times New Roman" w:cs="Times New Roman"/>
          <w:color w:val="000000"/>
          <w:sz w:val="20"/>
          <w:szCs w:val="20"/>
          <w:lang w:val="en-US"/>
        </w:rPr>
        <w:t xml:space="preserve"> </w:t>
      </w:r>
      <w:r w:rsidR="009968C5" w:rsidRPr="002D1F1A">
        <w:rPr>
          <w:rFonts w:ascii="Times New Roman" w:eastAsia="Times New Roman" w:hAnsi="Times New Roman" w:cs="Times New Roman"/>
          <w:color w:val="000000"/>
          <w:sz w:val="20"/>
          <w:szCs w:val="20"/>
          <w:lang w:val="en-US"/>
        </w:rPr>
        <w:t>services</w:t>
      </w:r>
      <w:r w:rsidRPr="002D1F1A">
        <w:rPr>
          <w:rFonts w:ascii="Times New Roman" w:eastAsia="Times New Roman" w:hAnsi="Times New Roman" w:cs="Times New Roman"/>
          <w:color w:val="000000"/>
          <w:sz w:val="20"/>
          <w:szCs w:val="20"/>
          <w:lang w:val="en-US"/>
        </w:rPr>
        <w:t>. Access to ICT-based learning is performed using laptop</w:t>
      </w:r>
      <w:r w:rsidR="003116F7" w:rsidRPr="002D1F1A">
        <w:rPr>
          <w:rFonts w:ascii="Times New Roman" w:eastAsia="Times New Roman" w:hAnsi="Times New Roman" w:cs="Times New Roman"/>
          <w:color w:val="000000"/>
          <w:sz w:val="20"/>
          <w:szCs w:val="20"/>
          <w:lang w:val="en-US"/>
        </w:rPr>
        <w:t>s</w:t>
      </w:r>
      <w:r w:rsidRPr="002D1F1A">
        <w:rPr>
          <w:rFonts w:ascii="Times New Roman" w:eastAsia="Times New Roman" w:hAnsi="Times New Roman" w:cs="Times New Roman"/>
          <w:color w:val="000000"/>
          <w:sz w:val="20"/>
          <w:szCs w:val="20"/>
          <w:lang w:val="en-US"/>
        </w:rPr>
        <w:t>, PC</w:t>
      </w:r>
      <w:r w:rsidR="003116F7" w:rsidRPr="002D1F1A">
        <w:rPr>
          <w:rFonts w:ascii="Times New Roman" w:eastAsia="Times New Roman" w:hAnsi="Times New Roman" w:cs="Times New Roman"/>
          <w:color w:val="000000"/>
          <w:sz w:val="20"/>
          <w:szCs w:val="20"/>
          <w:lang w:val="en-US"/>
        </w:rPr>
        <w:t>s</w:t>
      </w:r>
      <w:r w:rsidRPr="002D1F1A">
        <w:rPr>
          <w:rFonts w:ascii="Times New Roman" w:eastAsia="Times New Roman" w:hAnsi="Times New Roman" w:cs="Times New Roman"/>
          <w:color w:val="000000"/>
          <w:sz w:val="20"/>
          <w:szCs w:val="20"/>
          <w:lang w:val="en-US"/>
        </w:rPr>
        <w:t>, tablet</w:t>
      </w:r>
      <w:r w:rsidR="003116F7" w:rsidRPr="002D1F1A">
        <w:rPr>
          <w:rFonts w:ascii="Times New Roman" w:eastAsia="Times New Roman" w:hAnsi="Times New Roman" w:cs="Times New Roman"/>
          <w:color w:val="000000"/>
          <w:sz w:val="20"/>
          <w:szCs w:val="20"/>
          <w:lang w:val="en-US"/>
        </w:rPr>
        <w:t>s,</w:t>
      </w:r>
      <w:r w:rsidRPr="002D1F1A">
        <w:rPr>
          <w:rFonts w:ascii="Times New Roman" w:eastAsia="Times New Roman" w:hAnsi="Times New Roman" w:cs="Times New Roman"/>
          <w:color w:val="000000"/>
          <w:sz w:val="20"/>
          <w:szCs w:val="20"/>
          <w:lang w:val="en-US"/>
        </w:rPr>
        <w:t xml:space="preserve"> or smartphone</w:t>
      </w:r>
      <w:r w:rsidR="003116F7" w:rsidRPr="002D1F1A">
        <w:rPr>
          <w:rFonts w:ascii="Times New Roman" w:eastAsia="Times New Roman" w:hAnsi="Times New Roman" w:cs="Times New Roman"/>
          <w:color w:val="000000"/>
          <w:sz w:val="20"/>
          <w:szCs w:val="20"/>
          <w:lang w:val="en-US"/>
        </w:rPr>
        <w:t>s</w:t>
      </w:r>
      <w:r w:rsidR="00A831EB" w:rsidRPr="002D1F1A">
        <w:rPr>
          <w:rFonts w:ascii="Times New Roman" w:eastAsia="Times New Roman" w:hAnsi="Times New Roman" w:cs="Times New Roman"/>
          <w:color w:val="000000"/>
          <w:sz w:val="20"/>
          <w:szCs w:val="20"/>
          <w:lang w:val="en-US"/>
        </w:rPr>
        <w:fldChar w:fldCharType="begin" w:fldLock="1"/>
      </w:r>
      <w:r w:rsidR="004667FC" w:rsidRPr="002D1F1A">
        <w:rPr>
          <w:rFonts w:ascii="Times New Roman" w:eastAsia="Times New Roman" w:hAnsi="Times New Roman" w:cs="Times New Roman"/>
          <w:color w:val="000000"/>
          <w:sz w:val="20"/>
          <w:szCs w:val="20"/>
          <w:lang w:val="en-US"/>
        </w:rPr>
        <w:instrText>ADDIN CSL_CITATION {"citationItems":[{"id":"ITEM-1","itemData":{"DOI":"10.1016/j.amsu.2021.01.051","ISSN":"20490801","abstract":"Students often feel overwhelmed by the volume and complexity of knowledge and skills required to learn. Along with this challange, educational technology has been gradually introduced in medical education to facilitate learning and improve outcomes. It became an essential part of communication, storing and transferring information, audio-visual media use and production, and knowledge sharing. Technology's role has been expanding from a mere tool of study and inquiry to an approach and integrated use in education. Its use in medical education is continuously evolving. However, the impact and optimal use of various technology applications are not clearly defined. There are multiple challenges facing educators to choose the right application for the specific educational purpose. Hence, studies and evaluation reviews are needed to inform the better-defined use of educational technology. This review aims to discuss and evaluate various educational technology applications in medical education, focusing on interactive learning during lectures. Lectures and other group learning sessions are common activities used by medical schools. Promoting interactive learning in large groups is known to be challenging. The advances in technology to facilitate communication and promote interaction is a promising adjunct for lectures interactivity.","author":[{"dropping-particle":"","family":"Tuma","given":"Faiz","non-dropping-particle":"","parse-names":false,"suffix":""}],"container-title":"Annals of Medicine and Surgery","id":"ITEM-1","issue":"January","issued":{"date-parts":[["2021"]]},"page":"231-235","publisher":"Elsevier Ltd","title":"The use of educational technology for interactive teaching in lectures","type":"article-journal","volume":"62"},"uris":["http://www.mendeley.com/documents/?uuid=15e021f2-9aca-4174-9edb-84b6692bc177"]}],"mendeley":{"formattedCitation":"&lt;sup&gt;4&lt;/sup&gt;","plainTextFormattedCitation":"4","previouslyFormattedCitation":"&lt;sup&gt;4&lt;/sup&gt;"},"properties":{"noteIndex":0},"schema":"https://github.com/citation-style-language/schema/raw/master/csl-citation.json"}</w:instrText>
      </w:r>
      <w:r w:rsidR="00A831EB" w:rsidRPr="002D1F1A">
        <w:rPr>
          <w:rFonts w:ascii="Times New Roman" w:eastAsia="Times New Roman" w:hAnsi="Times New Roman" w:cs="Times New Roman"/>
          <w:color w:val="000000"/>
          <w:sz w:val="20"/>
          <w:szCs w:val="20"/>
          <w:lang w:val="en-US"/>
        </w:rPr>
        <w:fldChar w:fldCharType="separate"/>
      </w:r>
      <w:r w:rsidR="004667FC" w:rsidRPr="002D1F1A">
        <w:rPr>
          <w:rFonts w:ascii="Times New Roman" w:eastAsia="Times New Roman" w:hAnsi="Times New Roman" w:cs="Times New Roman"/>
          <w:noProof/>
          <w:color w:val="000000"/>
          <w:sz w:val="20"/>
          <w:szCs w:val="20"/>
          <w:vertAlign w:val="superscript"/>
          <w:lang w:val="en-US"/>
        </w:rPr>
        <w:t>4</w:t>
      </w:r>
      <w:r w:rsidR="00A831EB" w:rsidRPr="002D1F1A">
        <w:rPr>
          <w:rFonts w:ascii="Times New Roman" w:eastAsia="Times New Roman" w:hAnsi="Times New Roman" w:cs="Times New Roman"/>
          <w:color w:val="000000"/>
          <w:sz w:val="20"/>
          <w:szCs w:val="20"/>
          <w:lang w:val="en-US"/>
        </w:rPr>
        <w:fldChar w:fldCharType="end"/>
      </w:r>
      <w:r w:rsidR="00E523DE" w:rsidRPr="002D1F1A">
        <w:rPr>
          <w:rFonts w:ascii="Times New Roman" w:eastAsia="Times New Roman" w:hAnsi="Times New Roman" w:cs="Times New Roman"/>
          <w:color w:val="000000"/>
          <w:sz w:val="20"/>
          <w:szCs w:val="20"/>
          <w:lang w:val="en-US"/>
        </w:rPr>
        <w:t xml:space="preserve">. </w:t>
      </w:r>
      <w:r w:rsidR="003116F7" w:rsidRPr="002D1F1A">
        <w:rPr>
          <w:rFonts w:ascii="Times New Roman" w:eastAsia="Times New Roman" w:hAnsi="Times New Roman" w:cs="Times New Roman"/>
          <w:color w:val="000000"/>
          <w:sz w:val="20"/>
          <w:szCs w:val="20"/>
          <w:lang w:val="en-US"/>
        </w:rPr>
        <w:t>Applications can be used to bolster discussions and interactions during synchronous or virtual-synchronous meetings, such as Padlet, Miro, Kahoot, Quizziz, Mentimeter, Slido, and others. These applications will increase student engagement</w:t>
      </w:r>
      <w:r w:rsidR="000603B7" w:rsidRPr="002D1F1A">
        <w:rPr>
          <w:rFonts w:ascii="Times New Roman" w:eastAsia="Times New Roman" w:hAnsi="Times New Roman" w:cs="Times New Roman"/>
          <w:color w:val="000000"/>
          <w:sz w:val="20"/>
          <w:szCs w:val="20"/>
          <w:lang w:val="en-US"/>
        </w:rPr>
        <w:fldChar w:fldCharType="begin" w:fldLock="1"/>
      </w:r>
      <w:r w:rsidR="004667FC" w:rsidRPr="002D1F1A">
        <w:rPr>
          <w:rFonts w:ascii="Times New Roman" w:eastAsia="Times New Roman" w:hAnsi="Times New Roman" w:cs="Times New Roman"/>
          <w:color w:val="000000"/>
          <w:sz w:val="20"/>
          <w:szCs w:val="20"/>
          <w:lang w:val="en-US"/>
        </w:rPr>
        <w:instrText>ADDIN CSL_CITATION {"citationItems":[{"id":"ITEM-1","itemData":{"DOI":"10.1016/j.teln.2018.03.008","ISSN":"15573087","abstract":"Generation Z, a unique and truly digital native generation, is now entering college and the workplace. This article identifies generational influences and distinctive characteristics of this group, which may challenge nurse educators and require changes in teaching–learning design strategies and approaches. Specific educational suggestions and ways to support members of Generation Z in higher education and the workplace are offered.","author":[{"dropping-particle":"","family":"Chicca","given":"Jennifer","non-dropping-particle":"","parse-names":false,"suffix":""},{"dropping-particle":"","family":"Shellenbarger","given":"Teresa","non-dropping-particle":"","parse-names":false,"suffix":""}],"container-title":"Teaching and Learning in Nursing","id":"ITEM-1","issue":"3","issued":{"date-parts":[["2018"]]},"page":"180-184","publisher":"Organization for Associate Degree Nursing.","title":"Connecting with Generation Z: Approaches in Nursing Education","type":"article-journal","volume":"13"},"uris":["http://www.mendeley.com/documents/?uuid=14eeda11-08f6-4488-9fbf-240b60a538a0"]}],"mendeley":{"formattedCitation":"&lt;sup&gt;2&lt;/sup&gt;","plainTextFormattedCitation":"2","previouslyFormattedCitation":"&lt;sup&gt;2&lt;/sup&gt;"},"properties":{"noteIndex":0},"schema":"https://github.com/citation-style-language/schema/raw/master/csl-citation.json"}</w:instrText>
      </w:r>
      <w:r w:rsidR="000603B7" w:rsidRPr="002D1F1A">
        <w:rPr>
          <w:rFonts w:ascii="Times New Roman" w:eastAsia="Times New Roman" w:hAnsi="Times New Roman" w:cs="Times New Roman"/>
          <w:color w:val="000000"/>
          <w:sz w:val="20"/>
          <w:szCs w:val="20"/>
          <w:lang w:val="en-US"/>
        </w:rPr>
        <w:fldChar w:fldCharType="separate"/>
      </w:r>
      <w:r w:rsidR="004667FC" w:rsidRPr="002D1F1A">
        <w:rPr>
          <w:rFonts w:ascii="Times New Roman" w:eastAsia="Times New Roman" w:hAnsi="Times New Roman" w:cs="Times New Roman"/>
          <w:noProof/>
          <w:color w:val="000000"/>
          <w:sz w:val="20"/>
          <w:szCs w:val="20"/>
          <w:vertAlign w:val="superscript"/>
          <w:lang w:val="en-US"/>
        </w:rPr>
        <w:t>2</w:t>
      </w:r>
      <w:r w:rsidR="000603B7" w:rsidRPr="002D1F1A">
        <w:rPr>
          <w:rFonts w:ascii="Times New Roman" w:eastAsia="Times New Roman" w:hAnsi="Times New Roman" w:cs="Times New Roman"/>
          <w:color w:val="000000"/>
          <w:sz w:val="20"/>
          <w:szCs w:val="20"/>
          <w:lang w:val="en-US"/>
        </w:rPr>
        <w:fldChar w:fldCharType="end"/>
      </w:r>
      <w:r w:rsidR="001827C6" w:rsidRPr="002D1F1A">
        <w:rPr>
          <w:rFonts w:ascii="Times New Roman" w:eastAsia="Times New Roman" w:hAnsi="Times New Roman" w:cs="Times New Roman"/>
          <w:color w:val="000000"/>
          <w:sz w:val="20"/>
          <w:szCs w:val="20"/>
          <w:lang w:val="en-US"/>
        </w:rPr>
        <w:t xml:space="preserve">. </w:t>
      </w:r>
      <w:r w:rsidR="003C595B" w:rsidRPr="002D1F1A">
        <w:rPr>
          <w:rFonts w:ascii="Times New Roman" w:eastAsia="Times New Roman" w:hAnsi="Times New Roman" w:cs="Times New Roman"/>
          <w:color w:val="000000"/>
          <w:sz w:val="20"/>
          <w:szCs w:val="20"/>
          <w:lang w:val="en-US"/>
        </w:rPr>
        <w:t>Digital whiteboard applications such as Padlet or Miro will prevent discussion</w:t>
      </w:r>
      <w:r w:rsidR="009968C5" w:rsidRPr="002D1F1A">
        <w:rPr>
          <w:rFonts w:ascii="Times New Roman" w:eastAsia="Times New Roman" w:hAnsi="Times New Roman" w:cs="Times New Roman"/>
          <w:color w:val="000000"/>
          <w:sz w:val="20"/>
          <w:szCs w:val="20"/>
          <w:lang w:val="en-US"/>
        </w:rPr>
        <w:t>s</w:t>
      </w:r>
      <w:r w:rsidR="003C595B" w:rsidRPr="002D1F1A">
        <w:rPr>
          <w:rFonts w:ascii="Times New Roman" w:eastAsia="Times New Roman" w:hAnsi="Times New Roman" w:cs="Times New Roman"/>
          <w:color w:val="000000"/>
          <w:sz w:val="20"/>
          <w:szCs w:val="20"/>
          <w:lang w:val="en-US"/>
        </w:rPr>
        <w:t xml:space="preserve"> that involve </w:t>
      </w:r>
      <w:r w:rsidR="006B4FC2" w:rsidRPr="002D1F1A">
        <w:rPr>
          <w:rFonts w:ascii="Times New Roman" w:eastAsia="Times New Roman" w:hAnsi="Times New Roman" w:cs="Times New Roman"/>
          <w:color w:val="000000"/>
          <w:sz w:val="20"/>
          <w:szCs w:val="20"/>
          <w:lang w:val="en-US"/>
        </w:rPr>
        <w:t xml:space="preserve">only </w:t>
      </w:r>
      <w:r w:rsidR="003C595B" w:rsidRPr="002D1F1A">
        <w:rPr>
          <w:rFonts w:ascii="Times New Roman" w:eastAsia="Times New Roman" w:hAnsi="Times New Roman" w:cs="Times New Roman"/>
          <w:color w:val="000000"/>
          <w:sz w:val="20"/>
          <w:szCs w:val="20"/>
          <w:lang w:val="en-US"/>
        </w:rPr>
        <w:t>certain students</w:t>
      </w:r>
      <w:r w:rsidR="009332BB" w:rsidRPr="002D1F1A">
        <w:rPr>
          <w:rFonts w:ascii="Times New Roman" w:eastAsia="Times New Roman" w:hAnsi="Times New Roman" w:cs="Times New Roman"/>
          <w:color w:val="000000"/>
          <w:sz w:val="20"/>
          <w:szCs w:val="20"/>
          <w:lang w:val="en-US"/>
        </w:rPr>
        <w:fldChar w:fldCharType="begin" w:fldLock="1"/>
      </w:r>
      <w:r w:rsidR="004667FC" w:rsidRPr="002D1F1A">
        <w:rPr>
          <w:rFonts w:ascii="Times New Roman" w:eastAsia="Times New Roman" w:hAnsi="Times New Roman" w:cs="Times New Roman"/>
          <w:color w:val="000000"/>
          <w:sz w:val="20"/>
          <w:szCs w:val="20"/>
          <w:lang w:val="en-US"/>
        </w:rPr>
        <w:instrText>ADDIN CSL_CITATION {"citationItems":[{"id":"ITEM-1","itemData":{"DOI":"10.1016/j.jsurg.2020.03.018","ISSN":"18787452","PMID":"32253133","abstract":"Background: The COVID-19 pandemic presents a unique challenge to surgical residency programs. Due to the restrictions recommended by the Centers for Disease Control and Prevention and other organizations, the educational landscape for surgical residents is rapidly changing. In addition, the time course of these changes is undefined. Methods: We attempt to define the scope of the problem of maintaining surgical resident education while maintaining the safety of residents, educators, and patients. Within the basic framework of limiting in-person gatherings, postponing or canceling elective operations in hospitals, and limiting rotations between sites, we propose innovative solutions to maintain rigorous education. Results: We propose several innovative solutions including the flipped classroom model, online practice questions, teleconferencing in place of in-person lectures, involving residents in telemedicine clinics, procedural simulation, and the facilitated use of surgical videos. Although there is no substitute for hands-on learning through operative experience and direct patient care, these may be ways to mitigate the loss of learning exposure during this time. Conclusions: These innovative solutions utilizing technology may help to bridge the educational gap for surgical residents during this unprecedented circumstance. The support of national organizations may be beneficial in maintaining rigorous surgical education.","author":[{"dropping-particle":"","family":"Chick","given":"Robert Connor","non-dropping-particle":"","parse-names":false,"suffix":""},{"dropping-particle":"","family":"Clifton","given":"Guy Travis","non-dropping-particle":"","parse-names":false,"suffix":""},{"dropping-particle":"","family":"Peace","given":"Kaitlin M.","non-dropping-particle":"","parse-names":false,"suffix":""},{"dropping-particle":"","family":"Propper","given":"Brandon W.","non-dropping-particle":"","parse-names":false,"suffix":""},{"dropping-particle":"","family":"Hale","given":"Diane F.","non-dropping-particle":"","parse-names":false,"suffix":""},{"dropping-particle":"","family":"Alseidi","given":"Adnan A.","non-dropping-particle":"","parse-names":false,"suffix":""},{"dropping-particle":"","family":"Vreeland","given":"Timothy J.","non-dropping-particle":"","parse-names":false,"suffix":""}],"container-title":"Journal of Surgical Education","id":"ITEM-1","issue":"4","issued":{"date-parts":[["2020"]]},"page":"729-732","publisher":"Elsevier Inc.","title":"Using Technology to Maintain the Education of Residents During the COVID-19 Pandemic","type":"article-journal","volume":"77"},"uris":["http://www.mendeley.com/documents/?uuid=62932e63-f2de-4e80-875c-70676bd9a351"]}],"mendeley":{"formattedCitation":"&lt;sup&gt;3&lt;/sup&gt;","plainTextFormattedCitation":"3","previouslyFormattedCitation":"&lt;sup&gt;3&lt;/sup&gt;"},"properties":{"noteIndex":0},"schema":"https://github.com/citation-style-language/schema/raw/master/csl-citation.json"}</w:instrText>
      </w:r>
      <w:r w:rsidR="009332BB" w:rsidRPr="002D1F1A">
        <w:rPr>
          <w:rFonts w:ascii="Times New Roman" w:eastAsia="Times New Roman" w:hAnsi="Times New Roman" w:cs="Times New Roman"/>
          <w:color w:val="000000"/>
          <w:sz w:val="20"/>
          <w:szCs w:val="20"/>
          <w:lang w:val="en-US"/>
        </w:rPr>
        <w:fldChar w:fldCharType="separate"/>
      </w:r>
      <w:r w:rsidR="004667FC" w:rsidRPr="002D1F1A">
        <w:rPr>
          <w:rFonts w:ascii="Times New Roman" w:eastAsia="Times New Roman" w:hAnsi="Times New Roman" w:cs="Times New Roman"/>
          <w:noProof/>
          <w:color w:val="000000"/>
          <w:sz w:val="20"/>
          <w:szCs w:val="20"/>
          <w:vertAlign w:val="superscript"/>
          <w:lang w:val="en-US"/>
        </w:rPr>
        <w:t>3</w:t>
      </w:r>
      <w:r w:rsidR="009332BB" w:rsidRPr="002D1F1A">
        <w:rPr>
          <w:rFonts w:ascii="Times New Roman" w:eastAsia="Times New Roman" w:hAnsi="Times New Roman" w:cs="Times New Roman"/>
          <w:color w:val="000000"/>
          <w:sz w:val="20"/>
          <w:szCs w:val="20"/>
          <w:lang w:val="en-US"/>
        </w:rPr>
        <w:fldChar w:fldCharType="end"/>
      </w:r>
      <w:r w:rsidR="009332BB" w:rsidRPr="002D1F1A">
        <w:rPr>
          <w:rFonts w:ascii="Times New Roman" w:eastAsia="Times New Roman" w:hAnsi="Times New Roman" w:cs="Times New Roman"/>
          <w:color w:val="000000"/>
          <w:sz w:val="20"/>
          <w:szCs w:val="20"/>
          <w:lang w:val="en-US"/>
        </w:rPr>
        <w:t xml:space="preserve">. </w:t>
      </w:r>
      <w:r w:rsidR="00C5542F" w:rsidRPr="002D1F1A">
        <w:rPr>
          <w:rFonts w:ascii="Times New Roman" w:eastAsia="Times New Roman" w:hAnsi="Times New Roman" w:cs="Times New Roman"/>
          <w:color w:val="000000"/>
          <w:sz w:val="20"/>
          <w:szCs w:val="20"/>
          <w:lang w:val="en-US"/>
        </w:rPr>
        <w:t>Video conferencing requires laptops or PCs with high-speed processors and a stable internet connection. Additional tools are also essential to maintain student engagement, such as high-quality microphones, webcams, and lighting</w:t>
      </w:r>
      <w:r w:rsidR="003C595B" w:rsidRPr="002D1F1A">
        <w:rPr>
          <w:rFonts w:ascii="Times New Roman" w:eastAsia="Times New Roman" w:hAnsi="Times New Roman" w:cs="Times New Roman"/>
          <w:color w:val="000000"/>
          <w:sz w:val="20"/>
          <w:szCs w:val="20"/>
          <w:lang w:val="en-US"/>
        </w:rPr>
        <w:t xml:space="preserve">. </w:t>
      </w:r>
      <w:r w:rsidR="00FB5ED4" w:rsidRPr="002D1F1A">
        <w:rPr>
          <w:rFonts w:ascii="Times New Roman" w:eastAsia="Times New Roman" w:hAnsi="Times New Roman" w:cs="Times New Roman"/>
          <w:color w:val="000000"/>
          <w:sz w:val="20"/>
          <w:szCs w:val="20"/>
          <w:lang w:val="en-US"/>
        </w:rPr>
        <w:t>The facilities to support asynchronous meetings are more complex than virtual synchronous meetings. Producing a simple video presentation requires software for presentation, screen recording, video editing, and hardware like a microphone, webcam, and lighting. Furthermore, making high-quality videos requires at minimum HD video cameras, good quality lighting, green screens, and noise-canceling microphones</w:t>
      </w:r>
      <w:r w:rsidR="003C595B" w:rsidRPr="002D1F1A">
        <w:rPr>
          <w:rFonts w:ascii="Times New Roman" w:eastAsia="Times New Roman" w:hAnsi="Times New Roman" w:cs="Times New Roman"/>
          <w:color w:val="000000"/>
          <w:sz w:val="20"/>
          <w:szCs w:val="20"/>
          <w:lang w:val="en-US"/>
        </w:rPr>
        <w:t xml:space="preserve">. Collaborative work </w:t>
      </w:r>
      <w:r w:rsidR="00FB5ED4" w:rsidRPr="002D1F1A">
        <w:rPr>
          <w:rFonts w:ascii="Times New Roman" w:eastAsia="Times New Roman" w:hAnsi="Times New Roman" w:cs="Times New Roman"/>
          <w:color w:val="000000"/>
          <w:sz w:val="20"/>
          <w:szCs w:val="20"/>
          <w:lang w:val="en-US"/>
        </w:rPr>
        <w:t>among</w:t>
      </w:r>
      <w:r w:rsidR="003C595B" w:rsidRPr="002D1F1A">
        <w:rPr>
          <w:rFonts w:ascii="Times New Roman" w:eastAsia="Times New Roman" w:hAnsi="Times New Roman" w:cs="Times New Roman"/>
          <w:color w:val="000000"/>
          <w:sz w:val="20"/>
          <w:szCs w:val="20"/>
          <w:lang w:val="en-US"/>
        </w:rPr>
        <w:t xml:space="preserve"> students can be facilitated with cloud-based </w:t>
      </w:r>
      <w:r w:rsidR="000F01F8" w:rsidRPr="002D1F1A">
        <w:rPr>
          <w:rFonts w:ascii="Times New Roman" w:eastAsia="Times New Roman" w:hAnsi="Times New Roman" w:cs="Times New Roman"/>
          <w:color w:val="000000"/>
          <w:sz w:val="20"/>
          <w:szCs w:val="20"/>
          <w:lang w:val="en-US"/>
        </w:rPr>
        <w:t>application</w:t>
      </w:r>
      <w:r w:rsidR="009968C5" w:rsidRPr="002D1F1A">
        <w:rPr>
          <w:rFonts w:ascii="Times New Roman" w:eastAsia="Times New Roman" w:hAnsi="Times New Roman" w:cs="Times New Roman"/>
          <w:color w:val="000000"/>
          <w:sz w:val="20"/>
          <w:szCs w:val="20"/>
          <w:lang w:val="en-US"/>
        </w:rPr>
        <w:t>s</w:t>
      </w:r>
      <w:r w:rsidR="003C595B" w:rsidRPr="002D1F1A">
        <w:rPr>
          <w:rFonts w:ascii="Times New Roman" w:eastAsia="Times New Roman" w:hAnsi="Times New Roman" w:cs="Times New Roman"/>
          <w:color w:val="000000"/>
          <w:sz w:val="20"/>
          <w:szCs w:val="20"/>
          <w:lang w:val="en-US"/>
        </w:rPr>
        <w:t xml:space="preserve">, such as Microsoft </w:t>
      </w:r>
      <w:r w:rsidR="002003DD">
        <w:rPr>
          <w:rFonts w:ascii="Times New Roman" w:eastAsia="Times New Roman" w:hAnsi="Times New Roman" w:cs="Times New Roman"/>
          <w:color w:val="000000"/>
          <w:sz w:val="20"/>
          <w:szCs w:val="20"/>
          <w:lang w:val="en-US"/>
        </w:rPr>
        <w:t>365</w:t>
      </w:r>
      <w:r w:rsidR="003C595B" w:rsidRPr="002D1F1A">
        <w:rPr>
          <w:rFonts w:ascii="Times New Roman" w:eastAsia="Times New Roman" w:hAnsi="Times New Roman" w:cs="Times New Roman"/>
          <w:color w:val="000000"/>
          <w:sz w:val="20"/>
          <w:szCs w:val="20"/>
          <w:lang w:val="en-US"/>
        </w:rPr>
        <w:t xml:space="preserve"> or Google Workplace</w:t>
      </w:r>
      <w:r w:rsidR="004A5425" w:rsidRPr="002D1F1A">
        <w:rPr>
          <w:rFonts w:ascii="Times New Roman" w:eastAsia="Times New Roman" w:hAnsi="Times New Roman" w:cs="Times New Roman"/>
          <w:color w:val="000000"/>
          <w:sz w:val="20"/>
          <w:szCs w:val="20"/>
          <w:lang w:val="en-US"/>
        </w:rPr>
        <w:fldChar w:fldCharType="begin" w:fldLock="1"/>
      </w:r>
      <w:r w:rsidR="009033B2" w:rsidRPr="002D1F1A">
        <w:rPr>
          <w:rFonts w:ascii="Times New Roman" w:eastAsia="Times New Roman" w:hAnsi="Times New Roman" w:cs="Times New Roman"/>
          <w:color w:val="000000"/>
          <w:sz w:val="20"/>
          <w:szCs w:val="20"/>
          <w:lang w:val="en-US"/>
        </w:rPr>
        <w:instrText>ADDIN CSL_CITATION {"citationItems":[{"id":"ITEM-1","itemData":{"DOI":"10.1016/j.ece.2021.01.008","ISSN":"17497728","abstract":"Teaching laboratories form an essential component of any engineering education. They enable students to participate in various stages of experiential learning including conceptualization and experimentation followed by reflection, analysis and interpretation of data. However, operating teaching laboratories with social distancing measures poses significant logistical and safety challenges, and alternative modes of delivery may be a realistic way forward in adapting engineering curricula to the post COVID-19 world. Best practices from spaces such as distance learning and virtual / remote laboratories can be leveraged to facilitate educators’ responses. This review is aimed at identifying evidence-based approaches for transforming hands-on labs into virtual or remote operation to achieve desired learning outcomes without compromising on soft skills and student self-efficacy. A critical review of the recent literature on delivering STEMM education laboratories in either a virtual or remote setting or a combination of both is presented here. Commonly emerging approaches are identified and strategies to implement remote or mixed-mode (a combination of remote and traditional lab components) delivery are highlighted. The value of these approaches to the educator is assessed based on claimed learning outcomes, availability of resources, technology, scheduling, and cost factors.","author":[{"dropping-particle":"","family":"Bhute","given":"Vijesh J.","non-dropping-particle":"","parse-names":false,"suffix":""},{"dropping-particle":"","family":"Inguva","given":"Pavan","non-dropping-particle":"","parse-names":false,"suffix":""},{"dropping-particle":"","family":"Shah","given":"Umang","non-dropping-particle":"","parse-names":false,"suffix":""},{"dropping-particle":"","family":"Brechtelsbauer","given":"Clemens","non-dropping-particle":"","parse-names":false,"suffix":""}],"container-title":"Education for Chemical Engineers","id":"ITEM-1","issued":{"date-parts":[["2021"]]},"page":"96-104","publisher":"Institution of Chemical Engineers","title":"Transforming traditional teaching laboratories for effective remote delivery-A review","type":"article-journal","volume":"35"},"uris":["http://www.mendeley.com/documents/?uuid=76385956-973a-4b0c-8550-2b7e2414ed80"]},{"id":"ITEM-2","itemData":{"DOI":"10.1016/j.amsu.2021.01.051","ISSN":"20490801","abstract":"Students often feel overwhelmed by the volume and complexity of knowledge and skills required to learn. Along with this challange, educational technology has been gradually introduced in medical education to facilitate learning and improve outcomes. It became an essential part of communication, storing and transferring information, audio-visual media use and production, and knowledge sharing. Technology's role has been expanding from a mere tool of study and inquiry to an approach and integrated use in education. Its use in medical education is continuously evolving. However, the impact and optimal use of various technology applications are not clearly defined. There are multiple challenges facing educators to choose the right application for the specific educational purpose. Hence, studies and evaluation reviews are needed to inform the better-defined use of educational technology. This review aims to discuss and evaluate various educational technology applications in medical education, focusing on interactive learning during lectures. Lectures and other group learning sessions are common activities used by medical schools. Promoting interactive learning in large groups is known to be challenging. The advances in technology to facilitate communication and promote interaction is a promising adjunct for lectures interactivity.","author":[{"dropping-particle":"","family":"Tuma","given":"Faiz","non-dropping-particle":"","parse-names":false,"suffix":""}],"container-title":"Annals of Medicine and Surgery","id":"ITEM-2","issue":"January","issued":{"date-parts":[["2021"]]},"page":"231-235","publisher":"Elsevier Ltd","title":"The use of educational technology for interactive teaching in lectures","type":"article-journal","volume":"62"},"uris":["http://www.mendeley.com/documents/?uuid=15e021f2-9aca-4174-9edb-84b6692bc177"]}],"mendeley":{"formattedCitation":"&lt;sup&gt;4,7&lt;/sup&gt;","plainTextFormattedCitation":"4,7","previouslyFormattedCitation":"&lt;sup&gt;4,7&lt;/sup&gt;"},"properties":{"noteIndex":0},"schema":"https://github.com/citation-style-language/schema/raw/master/csl-citation.json"}</w:instrText>
      </w:r>
      <w:r w:rsidR="004A5425" w:rsidRPr="002D1F1A">
        <w:rPr>
          <w:rFonts w:ascii="Times New Roman" w:eastAsia="Times New Roman" w:hAnsi="Times New Roman" w:cs="Times New Roman"/>
          <w:color w:val="000000"/>
          <w:sz w:val="20"/>
          <w:szCs w:val="20"/>
          <w:lang w:val="en-US"/>
        </w:rPr>
        <w:fldChar w:fldCharType="separate"/>
      </w:r>
      <w:r w:rsidR="0084721B" w:rsidRPr="002D1F1A">
        <w:rPr>
          <w:rFonts w:ascii="Times New Roman" w:eastAsia="Times New Roman" w:hAnsi="Times New Roman" w:cs="Times New Roman"/>
          <w:noProof/>
          <w:color w:val="000000"/>
          <w:sz w:val="20"/>
          <w:szCs w:val="20"/>
          <w:vertAlign w:val="superscript"/>
          <w:lang w:val="en-US"/>
        </w:rPr>
        <w:t>4,7</w:t>
      </w:r>
      <w:r w:rsidR="004A5425" w:rsidRPr="002D1F1A">
        <w:rPr>
          <w:rFonts w:ascii="Times New Roman" w:eastAsia="Times New Roman" w:hAnsi="Times New Roman" w:cs="Times New Roman"/>
          <w:color w:val="000000"/>
          <w:sz w:val="20"/>
          <w:szCs w:val="20"/>
          <w:lang w:val="en-US"/>
        </w:rPr>
        <w:fldChar w:fldCharType="end"/>
      </w:r>
      <w:r w:rsidR="004A5425" w:rsidRPr="002D1F1A">
        <w:rPr>
          <w:rFonts w:ascii="Times New Roman" w:eastAsia="Times New Roman" w:hAnsi="Times New Roman" w:cs="Times New Roman"/>
          <w:color w:val="000000"/>
          <w:sz w:val="20"/>
          <w:szCs w:val="20"/>
          <w:lang w:val="en-US"/>
        </w:rPr>
        <w:t>.</w:t>
      </w:r>
      <w:r w:rsidR="00A831EB" w:rsidRPr="002D1F1A">
        <w:rPr>
          <w:rFonts w:ascii="Times New Roman" w:eastAsia="Times New Roman" w:hAnsi="Times New Roman" w:cs="Times New Roman"/>
          <w:color w:val="000000"/>
          <w:sz w:val="20"/>
          <w:szCs w:val="20"/>
          <w:lang w:val="en-US"/>
        </w:rPr>
        <w:t xml:space="preserve"> </w:t>
      </w:r>
    </w:p>
    <w:p w14:paraId="15C0B9D0" w14:textId="36B78D8A" w:rsidR="00684DA2" w:rsidRPr="002D1F1A" w:rsidRDefault="005873C2" w:rsidP="00664177">
      <w:pPr>
        <w:pStyle w:val="ListParagraph"/>
        <w:pBdr>
          <w:top w:val="nil"/>
          <w:left w:val="nil"/>
          <w:bottom w:val="nil"/>
          <w:right w:val="nil"/>
          <w:between w:val="nil"/>
        </w:pBdr>
        <w:spacing w:after="0" w:line="240" w:lineRule="auto"/>
        <w:ind w:left="0" w:firstLine="284"/>
        <w:jc w:val="both"/>
        <w:rPr>
          <w:rFonts w:ascii="Times New Roman" w:eastAsia="Times New Roman" w:hAnsi="Times New Roman" w:cs="Times New Roman"/>
          <w:color w:val="000000"/>
          <w:sz w:val="20"/>
          <w:szCs w:val="20"/>
          <w:lang w:val="en-US"/>
        </w:rPr>
      </w:pPr>
      <w:r w:rsidRPr="002D1F1A">
        <w:rPr>
          <w:rFonts w:ascii="Times New Roman" w:eastAsia="Times New Roman" w:hAnsi="Times New Roman" w:cs="Times New Roman"/>
          <w:color w:val="000000"/>
          <w:sz w:val="20"/>
          <w:szCs w:val="20"/>
          <w:lang w:val="en-US"/>
        </w:rPr>
        <w:t xml:space="preserve">Several lecturers of the Faculty of Engineering in UNY have been conducting blended learning since 2015. The university's policy </w:t>
      </w:r>
      <w:r w:rsidR="001143A8" w:rsidRPr="002D1F1A">
        <w:rPr>
          <w:rFonts w:ascii="Times New Roman" w:eastAsia="Times New Roman" w:hAnsi="Times New Roman" w:cs="Times New Roman"/>
          <w:color w:val="000000"/>
          <w:sz w:val="20"/>
          <w:szCs w:val="20"/>
          <w:lang w:val="en-US"/>
        </w:rPr>
        <w:t>permits</w:t>
      </w:r>
      <w:r w:rsidRPr="002D1F1A">
        <w:rPr>
          <w:rFonts w:ascii="Times New Roman" w:eastAsia="Times New Roman" w:hAnsi="Times New Roman" w:cs="Times New Roman"/>
          <w:color w:val="000000"/>
          <w:sz w:val="20"/>
          <w:szCs w:val="20"/>
          <w:lang w:val="en-US"/>
        </w:rPr>
        <w:t xml:space="preserve"> the implementation of blended learning with asynchronous meetings of a maximum of 50%. Lecturer's preparation to conduct asynchronous meetings is longer than synchronous meetings</w:t>
      </w:r>
      <w:r w:rsidR="00684DA2" w:rsidRPr="002D1F1A">
        <w:rPr>
          <w:rFonts w:ascii="Times New Roman" w:eastAsia="Times New Roman" w:hAnsi="Times New Roman" w:cs="Times New Roman"/>
          <w:color w:val="000000"/>
          <w:sz w:val="20"/>
          <w:szCs w:val="20"/>
          <w:lang w:val="en-US"/>
        </w:rPr>
        <w:t xml:space="preserve">. </w:t>
      </w:r>
      <w:r w:rsidR="005459DC" w:rsidRPr="002D1F1A">
        <w:rPr>
          <w:rFonts w:ascii="Times New Roman" w:eastAsia="Times New Roman" w:hAnsi="Times New Roman" w:cs="Times New Roman"/>
          <w:color w:val="000000"/>
          <w:sz w:val="20"/>
          <w:szCs w:val="20"/>
          <w:lang w:val="en-US"/>
        </w:rPr>
        <w:t>Therefore, shifting from synchronous meetings to asynchronous meetings runs slowly. The COVID-19 pandemic has contributed to speeding up the shifting process. Lecturers are forced to facilitate learning from home so that teaching and learning facilities must be provided personally at home. However, the availability of ICT facilities for blended learning by the lecturers has not been identified.</w:t>
      </w:r>
    </w:p>
    <w:p w14:paraId="329BA93C" w14:textId="08CA223F" w:rsidR="00AD6D09" w:rsidRPr="002D1F1A" w:rsidRDefault="005F700B" w:rsidP="00664177">
      <w:pPr>
        <w:pStyle w:val="ListParagraph"/>
        <w:pBdr>
          <w:top w:val="nil"/>
          <w:left w:val="nil"/>
          <w:bottom w:val="nil"/>
          <w:right w:val="nil"/>
          <w:between w:val="nil"/>
        </w:pBdr>
        <w:spacing w:after="0" w:line="240" w:lineRule="auto"/>
        <w:ind w:left="0" w:firstLine="284"/>
        <w:jc w:val="both"/>
        <w:rPr>
          <w:rFonts w:ascii="Times New Roman" w:eastAsia="Times New Roman" w:hAnsi="Times New Roman" w:cs="Times New Roman"/>
          <w:color w:val="000000"/>
          <w:sz w:val="20"/>
          <w:szCs w:val="20"/>
          <w:lang w:val="en-US"/>
        </w:rPr>
      </w:pPr>
      <w:r w:rsidRPr="002D1F1A">
        <w:rPr>
          <w:rFonts w:ascii="Times New Roman" w:eastAsia="Times New Roman" w:hAnsi="Times New Roman" w:cs="Times New Roman"/>
          <w:color w:val="000000"/>
          <w:sz w:val="20"/>
          <w:szCs w:val="20"/>
          <w:lang w:val="en-US"/>
        </w:rPr>
        <w:t>This article portrays the availability of ICT facilities, which includes network, hardware, software, and other ICT supporting tools, that are accessible, either through ownership or other means, by the lecturers of the Faculty of Engineering UNY. The availability and accessibility of ICT facilities indicate lecturers' readiness to facilitate the shifting of teaching and learning towards blended learning for today's generation.</w:t>
      </w:r>
    </w:p>
    <w:p w14:paraId="036CE22D" w14:textId="1457A5B8" w:rsidR="00FC7BEC" w:rsidRPr="002D1F1A" w:rsidRDefault="005252BF" w:rsidP="005252BF">
      <w:pPr>
        <w:pStyle w:val="Heading2"/>
        <w:numPr>
          <w:ilvl w:val="0"/>
          <w:numId w:val="0"/>
        </w:numPr>
        <w:tabs>
          <w:tab w:val="left" w:pos="426"/>
        </w:tabs>
        <w:spacing w:before="240" w:after="240"/>
        <w:jc w:val="center"/>
        <w:rPr>
          <w:rFonts w:ascii="Times New Roman" w:hAnsi="Times New Roman" w:cs="Times New Roman"/>
          <w:sz w:val="24"/>
          <w:szCs w:val="24"/>
          <w:lang w:val="en-US"/>
        </w:rPr>
      </w:pPr>
      <w:r w:rsidRPr="002D1F1A">
        <w:rPr>
          <w:rFonts w:ascii="Times New Roman" w:hAnsi="Times New Roman" w:cs="Times New Roman"/>
          <w:sz w:val="24"/>
          <w:szCs w:val="24"/>
          <w:lang w:val="en-US"/>
        </w:rPr>
        <w:t>METHOD</w:t>
      </w:r>
    </w:p>
    <w:p w14:paraId="032D77F9" w14:textId="7C52DFBE" w:rsidR="00FC7BEC" w:rsidRPr="002D1F1A" w:rsidRDefault="007E2939" w:rsidP="007E2939">
      <w:pPr>
        <w:pStyle w:val="Heading3"/>
        <w:keepLines/>
        <w:numPr>
          <w:ilvl w:val="0"/>
          <w:numId w:val="0"/>
        </w:numPr>
        <w:spacing w:after="240"/>
        <w:ind w:left="720" w:hanging="720"/>
        <w:jc w:val="center"/>
        <w:rPr>
          <w:rFonts w:ascii="Times New Roman" w:eastAsia="Times New Roman" w:hAnsi="Times New Roman" w:cs="Times New Roman"/>
          <w:bCs w:val="0"/>
          <w:iCs/>
          <w:sz w:val="24"/>
          <w:szCs w:val="24"/>
          <w:lang w:val="en-US"/>
        </w:rPr>
      </w:pPr>
      <w:r w:rsidRPr="002D1F1A">
        <w:rPr>
          <w:rFonts w:ascii="Times New Roman" w:eastAsia="Times New Roman" w:hAnsi="Times New Roman" w:cs="Times New Roman"/>
          <w:bCs w:val="0"/>
          <w:iCs/>
          <w:sz w:val="24"/>
          <w:szCs w:val="24"/>
          <w:lang w:val="en-US"/>
        </w:rPr>
        <w:t xml:space="preserve">Research </w:t>
      </w:r>
      <w:r w:rsidR="00BD2505" w:rsidRPr="002D1F1A">
        <w:rPr>
          <w:rFonts w:ascii="Times New Roman" w:eastAsia="Times New Roman" w:hAnsi="Times New Roman" w:cs="Times New Roman"/>
          <w:bCs w:val="0"/>
          <w:iCs/>
          <w:sz w:val="24"/>
          <w:szCs w:val="24"/>
          <w:lang w:val="en-US"/>
        </w:rPr>
        <w:t>Met</w:t>
      </w:r>
      <w:r w:rsidRPr="002D1F1A">
        <w:rPr>
          <w:rFonts w:ascii="Times New Roman" w:eastAsia="Times New Roman" w:hAnsi="Times New Roman" w:cs="Times New Roman"/>
          <w:bCs w:val="0"/>
          <w:iCs/>
          <w:sz w:val="24"/>
          <w:szCs w:val="24"/>
          <w:lang w:val="en-US"/>
        </w:rPr>
        <w:t>hod</w:t>
      </w:r>
    </w:p>
    <w:p w14:paraId="5152E186" w14:textId="75C23565" w:rsidR="00A13885" w:rsidRPr="002D1F1A" w:rsidRDefault="002264EE" w:rsidP="00C23D2A">
      <w:pPr>
        <w:ind w:firstLine="284"/>
        <w:jc w:val="both"/>
        <w:rPr>
          <w:rFonts w:ascii="Times New Roman" w:eastAsia="Times New Roman" w:hAnsi="Times New Roman" w:cs="Times New Roman"/>
          <w:sz w:val="20"/>
          <w:szCs w:val="20"/>
          <w:lang w:val="en-US"/>
        </w:rPr>
      </w:pPr>
      <w:r w:rsidRPr="002D1F1A">
        <w:rPr>
          <w:rFonts w:ascii="Times New Roman" w:eastAsia="Times New Roman" w:hAnsi="Times New Roman" w:cs="Times New Roman"/>
          <w:sz w:val="20"/>
          <w:szCs w:val="20"/>
          <w:lang w:val="en-US"/>
        </w:rPr>
        <w:t>This qualitative study described the availability of ICT facilities to support blended learning. The samples were lecturers who participated in the Lecturer Capacity Improvement Webinar of the Faculty of Engineering UNY on August 25, 2021. The sample was taken accidentally. Data were collected using real-time online polls launched during the webinar, and 56 respondents filled out the poll.</w:t>
      </w:r>
    </w:p>
    <w:p w14:paraId="062F68E1" w14:textId="6670AC12" w:rsidR="00C62CC2" w:rsidRPr="002D1F1A" w:rsidRDefault="00C62CC2" w:rsidP="00C23D2A">
      <w:pPr>
        <w:pStyle w:val="Heading3"/>
        <w:keepLines/>
        <w:numPr>
          <w:ilvl w:val="0"/>
          <w:numId w:val="0"/>
        </w:numPr>
        <w:spacing w:after="240"/>
        <w:ind w:left="720" w:hanging="720"/>
        <w:jc w:val="center"/>
        <w:rPr>
          <w:rFonts w:ascii="Times New Roman" w:eastAsia="Times New Roman" w:hAnsi="Times New Roman" w:cs="Times New Roman"/>
          <w:bCs w:val="0"/>
          <w:iCs/>
          <w:sz w:val="24"/>
          <w:szCs w:val="24"/>
          <w:lang w:val="en-US"/>
        </w:rPr>
      </w:pPr>
      <w:r w:rsidRPr="002D1F1A">
        <w:rPr>
          <w:rFonts w:ascii="Times New Roman" w:eastAsia="Times New Roman" w:hAnsi="Times New Roman" w:cs="Times New Roman"/>
          <w:bCs w:val="0"/>
          <w:iCs/>
          <w:sz w:val="24"/>
          <w:szCs w:val="24"/>
          <w:lang w:val="en-US"/>
        </w:rPr>
        <w:t>Instrumen</w:t>
      </w:r>
      <w:r w:rsidR="009968C5" w:rsidRPr="002D1F1A">
        <w:rPr>
          <w:rFonts w:ascii="Times New Roman" w:eastAsia="Times New Roman" w:hAnsi="Times New Roman" w:cs="Times New Roman"/>
          <w:bCs w:val="0"/>
          <w:iCs/>
          <w:sz w:val="24"/>
          <w:szCs w:val="24"/>
          <w:lang w:val="en-US"/>
        </w:rPr>
        <w:t>t</w:t>
      </w:r>
    </w:p>
    <w:p w14:paraId="11C6C6C2" w14:textId="2A8C7492" w:rsidR="00276F1B" w:rsidRPr="002D1F1A" w:rsidRDefault="00276F1B" w:rsidP="00C23D2A">
      <w:pPr>
        <w:ind w:firstLine="284"/>
        <w:jc w:val="both"/>
        <w:rPr>
          <w:rFonts w:ascii="Times New Roman" w:hAnsi="Times New Roman" w:cs="Times New Roman"/>
          <w:sz w:val="20"/>
          <w:szCs w:val="20"/>
          <w:lang w:val="en-US"/>
        </w:rPr>
      </w:pPr>
      <w:r w:rsidRPr="002D1F1A">
        <w:rPr>
          <w:rFonts w:ascii="Times New Roman" w:hAnsi="Times New Roman" w:cs="Times New Roman"/>
          <w:sz w:val="20"/>
          <w:szCs w:val="20"/>
          <w:lang w:val="en-US"/>
        </w:rPr>
        <w:t>The instrument was prepared based on the recommendations of Chicca et al</w:t>
      </w:r>
      <w:r w:rsidR="009968C5" w:rsidRPr="002D1F1A">
        <w:rPr>
          <w:rFonts w:ascii="Times New Roman" w:hAnsi="Times New Roman" w:cs="Times New Roman"/>
          <w:sz w:val="20"/>
          <w:szCs w:val="20"/>
          <w:lang w:val="en-US"/>
        </w:rPr>
        <w:t>.</w:t>
      </w:r>
      <w:r w:rsidRPr="002D1F1A">
        <w:rPr>
          <w:rFonts w:ascii="Times New Roman" w:hAnsi="Times New Roman" w:cs="Times New Roman"/>
          <w:sz w:val="20"/>
          <w:szCs w:val="20"/>
          <w:lang w:val="en-US"/>
        </w:rPr>
        <w:t xml:space="preserve"> and Bhute et al</w:t>
      </w:r>
      <w:r w:rsidR="009968C5" w:rsidRPr="002D1F1A">
        <w:rPr>
          <w:rFonts w:ascii="Times New Roman" w:hAnsi="Times New Roman" w:cs="Times New Roman"/>
          <w:sz w:val="20"/>
          <w:szCs w:val="20"/>
          <w:lang w:val="en-US"/>
        </w:rPr>
        <w:t>.</w:t>
      </w:r>
      <w:r w:rsidRPr="002D1F1A">
        <w:rPr>
          <w:rFonts w:ascii="Times New Roman" w:hAnsi="Times New Roman" w:cs="Times New Roman"/>
          <w:sz w:val="20"/>
          <w:szCs w:val="20"/>
          <w:lang w:val="en-US"/>
        </w:rPr>
        <w:t xml:space="preserve"> on the </w:t>
      </w:r>
      <w:r w:rsidR="005E2864" w:rsidRPr="002D1F1A">
        <w:rPr>
          <w:rFonts w:ascii="Times New Roman" w:hAnsi="Times New Roman" w:cs="Times New Roman"/>
          <w:sz w:val="20"/>
          <w:szCs w:val="20"/>
          <w:lang w:val="en-US"/>
        </w:rPr>
        <w:t>facilities</w:t>
      </w:r>
      <w:r w:rsidRPr="002D1F1A">
        <w:rPr>
          <w:rFonts w:ascii="Times New Roman" w:hAnsi="Times New Roman" w:cs="Times New Roman"/>
          <w:sz w:val="20"/>
          <w:szCs w:val="20"/>
          <w:lang w:val="en-US"/>
        </w:rPr>
        <w:t xml:space="preserve"> needed to support blended learning</w:t>
      </w:r>
      <w:r w:rsidR="004C44B0" w:rsidRPr="002D1F1A">
        <w:rPr>
          <w:rFonts w:ascii="Times New Roman" w:hAnsi="Times New Roman" w:cs="Times New Roman"/>
          <w:sz w:val="20"/>
          <w:szCs w:val="20"/>
          <w:lang w:val="en-US"/>
        </w:rPr>
        <w:fldChar w:fldCharType="begin" w:fldLock="1"/>
      </w:r>
      <w:r w:rsidR="007A2C66" w:rsidRPr="002D1F1A">
        <w:rPr>
          <w:rFonts w:ascii="Times New Roman" w:hAnsi="Times New Roman" w:cs="Times New Roman"/>
          <w:sz w:val="20"/>
          <w:szCs w:val="20"/>
          <w:lang w:val="en-US"/>
        </w:rPr>
        <w:instrText>ADDIN CSL_CITATION {"citationItems":[{"id":"ITEM-1","itemData":{"DOI":"10.1016/j.teln.2018.03.008","ISSN":"15573087","abstract":"Generation Z, a unique and truly digital native generation, is now entering college and the workplace. This article identifies generational influences and distinctive characteristics of this group, which may challenge nurse educators and require changes in teaching–learning design strategies and approaches. Specific educational suggestions and ways to support members of Generation Z in higher education and the workplace are offered.","author":[{"dropping-particle":"","family":"Chicca","given":"Jennifer","non-dropping-particle":"","parse-names":false,"suffix":""},{"dropping-particle":"","family":"Shellenbarger","given":"Teresa","non-dropping-particle":"","parse-names":false,"suffix":""}],"container-title":"Teaching and Learning in Nursing","id":"ITEM-1","issue":"3","issued":{"date-parts":[["2018"]]},"page":"180-184","publisher":"Organization for Associate Degree Nursing.","title":"Connecting with Generation Z: Approaches in Nursing Education","type":"article-journal","volume":"13"},"uris":["http://www.mendeley.com/documents/?uuid=14eeda11-08f6-4488-9fbf-240b60a538a0"]},{"id":"ITEM-2","itemData":{"DOI":"10.1016/j.ece.2021.01.008","ISSN":"17497728","abstract":"Teaching laboratories form an essential component of any engineering education. They enable students to participate in various stages of experiential learning including conceptualization and experimentation followed by reflection, analysis and interpretation of data. However, operating teaching laboratories with social distancing measures poses significant logistical and safety challenges, and alternative modes of delivery may be a realistic way forward in adapting engineering curricula to the post COVID-19 world. Best practices from spaces such as distance learning and virtual / remote laboratories can be leveraged to facilitate educators’ responses. This review is aimed at identifying evidence-based approaches for transforming hands-on labs into virtual or remote operation to achieve desired learning outcomes without compromising on soft skills and student self-efficacy. A critical review of the recent literature on delivering STEMM education laboratories in either a virtual or remote setting or a combination of both is presented here. Commonly emerging approaches are identified and strategies to implement remote or mixed-mode (a combination of remote and traditional lab components) delivery are highlighted. The value of these approaches to the educator is assessed based on claimed learning outcomes, availability of resources, technology, scheduling, and cost factors.","author":[{"dropping-particle":"","family":"Bhute","given":"Vijesh J.","non-dropping-particle":"","parse-names":false,"suffix":""},{"dropping-particle":"","family":"Inguva","given":"Pavan","non-dropping-particle":"","parse-names":false,"suffix":""},{"dropping-particle":"","family":"Shah","given":"Umang","non-dropping-particle":"","parse-names":false,"suffix":""},{"dropping-particle":"","family":"Brechtelsbauer","given":"Clemens","non-dropping-particle":"","parse-names":false,"suffix":""}],"container-title":"Education for Chemical Engineers","id":"ITEM-2","issued":{"date-parts":[["2021"]]},"page":"96-104","publisher":"Institution of Chemical Engineers","title":"Transforming traditional teaching laboratories for effective remote delivery-A review","type":"article-journal","volume":"35"},"uris":["http://www.mendeley.com/documents/?uuid=76385956-973a-4b0c-8550-2b7e2414ed80"]}],"mendeley":{"formattedCitation":"&lt;sup&gt;2,7&lt;/sup&gt;","plainTextFormattedCitation":"2,7","previouslyFormattedCitation":"&lt;sup&gt;2,7&lt;/sup&gt;"},"properties":{"noteIndex":0},"schema":"https://github.com/citation-style-language/schema/raw/master/csl-citation.json"}</w:instrText>
      </w:r>
      <w:r w:rsidR="004C44B0" w:rsidRPr="002D1F1A">
        <w:rPr>
          <w:rFonts w:ascii="Times New Roman" w:hAnsi="Times New Roman" w:cs="Times New Roman"/>
          <w:sz w:val="20"/>
          <w:szCs w:val="20"/>
          <w:lang w:val="en-US"/>
        </w:rPr>
        <w:fldChar w:fldCharType="separate"/>
      </w:r>
      <w:r w:rsidR="004C44B0" w:rsidRPr="002D1F1A">
        <w:rPr>
          <w:rFonts w:ascii="Times New Roman" w:hAnsi="Times New Roman" w:cs="Times New Roman"/>
          <w:noProof/>
          <w:sz w:val="20"/>
          <w:szCs w:val="20"/>
          <w:vertAlign w:val="superscript"/>
          <w:lang w:val="en-US"/>
        </w:rPr>
        <w:t>2,7</w:t>
      </w:r>
      <w:r w:rsidR="004C44B0" w:rsidRPr="002D1F1A">
        <w:rPr>
          <w:rFonts w:ascii="Times New Roman" w:hAnsi="Times New Roman" w:cs="Times New Roman"/>
          <w:sz w:val="20"/>
          <w:szCs w:val="20"/>
          <w:lang w:val="en-US"/>
        </w:rPr>
        <w:fldChar w:fldCharType="end"/>
      </w:r>
      <w:r w:rsidR="00BC096D" w:rsidRPr="002D1F1A">
        <w:rPr>
          <w:rFonts w:ascii="Times New Roman" w:hAnsi="Times New Roman" w:cs="Times New Roman"/>
          <w:sz w:val="20"/>
          <w:szCs w:val="20"/>
          <w:lang w:val="en-US"/>
        </w:rPr>
        <w:t>.</w:t>
      </w:r>
      <w:r w:rsidR="00CE1FA3" w:rsidRPr="002D1F1A">
        <w:rPr>
          <w:rFonts w:ascii="Times New Roman" w:hAnsi="Times New Roman" w:cs="Times New Roman"/>
          <w:sz w:val="20"/>
          <w:szCs w:val="20"/>
          <w:lang w:val="en-US"/>
        </w:rPr>
        <w:t xml:space="preserve"> </w:t>
      </w:r>
      <w:r w:rsidRPr="002D1F1A">
        <w:rPr>
          <w:rFonts w:ascii="Times New Roman" w:hAnsi="Times New Roman" w:cs="Times New Roman"/>
          <w:sz w:val="20"/>
          <w:szCs w:val="20"/>
          <w:lang w:val="en-US"/>
        </w:rPr>
        <w:t xml:space="preserve">These </w:t>
      </w:r>
      <w:r w:rsidR="00E57726" w:rsidRPr="002D1F1A">
        <w:rPr>
          <w:rFonts w:ascii="Times New Roman" w:hAnsi="Times New Roman" w:cs="Times New Roman"/>
          <w:sz w:val="20"/>
          <w:szCs w:val="20"/>
          <w:lang w:val="en-US"/>
        </w:rPr>
        <w:t>facilities</w:t>
      </w:r>
      <w:r w:rsidRPr="002D1F1A">
        <w:rPr>
          <w:rFonts w:ascii="Times New Roman" w:hAnsi="Times New Roman" w:cs="Times New Roman"/>
          <w:sz w:val="20"/>
          <w:szCs w:val="20"/>
          <w:lang w:val="en-US"/>
        </w:rPr>
        <w:t xml:space="preserve"> include internet </w:t>
      </w:r>
      <w:r w:rsidR="00B8485A" w:rsidRPr="002D1F1A">
        <w:rPr>
          <w:rFonts w:ascii="Times New Roman" w:hAnsi="Times New Roman" w:cs="Times New Roman"/>
          <w:sz w:val="20"/>
          <w:szCs w:val="20"/>
          <w:lang w:val="en-US"/>
        </w:rPr>
        <w:t>access</w:t>
      </w:r>
      <w:r w:rsidRPr="002D1F1A">
        <w:rPr>
          <w:rFonts w:ascii="Times New Roman" w:hAnsi="Times New Roman" w:cs="Times New Roman"/>
          <w:sz w:val="20"/>
          <w:szCs w:val="20"/>
          <w:lang w:val="en-US"/>
        </w:rPr>
        <w:t xml:space="preserve">, hardware, </w:t>
      </w:r>
      <w:r w:rsidR="00B8485A" w:rsidRPr="002D1F1A">
        <w:rPr>
          <w:rFonts w:ascii="Times New Roman" w:hAnsi="Times New Roman" w:cs="Times New Roman"/>
          <w:sz w:val="20"/>
          <w:szCs w:val="20"/>
          <w:lang w:val="en-US"/>
        </w:rPr>
        <w:t xml:space="preserve">institutional </w:t>
      </w:r>
      <w:proofErr w:type="gramStart"/>
      <w:r w:rsidR="00B8485A" w:rsidRPr="002D1F1A">
        <w:rPr>
          <w:rFonts w:ascii="Times New Roman" w:hAnsi="Times New Roman" w:cs="Times New Roman"/>
          <w:sz w:val="20"/>
          <w:szCs w:val="20"/>
          <w:lang w:val="en-US"/>
        </w:rPr>
        <w:t>software</w:t>
      </w:r>
      <w:proofErr w:type="gramEnd"/>
      <w:r w:rsidRPr="002D1F1A">
        <w:rPr>
          <w:rFonts w:ascii="Times New Roman" w:hAnsi="Times New Roman" w:cs="Times New Roman"/>
          <w:sz w:val="20"/>
          <w:szCs w:val="20"/>
          <w:lang w:val="en-US"/>
        </w:rPr>
        <w:t xml:space="preserve"> </w:t>
      </w:r>
      <w:r w:rsidR="00B8485A" w:rsidRPr="002D1F1A">
        <w:rPr>
          <w:rFonts w:ascii="Times New Roman" w:hAnsi="Times New Roman" w:cs="Times New Roman"/>
          <w:sz w:val="20"/>
          <w:szCs w:val="20"/>
          <w:lang w:val="en-US"/>
        </w:rPr>
        <w:t>and</w:t>
      </w:r>
      <w:r w:rsidRPr="002D1F1A">
        <w:rPr>
          <w:rFonts w:ascii="Times New Roman" w:hAnsi="Times New Roman" w:cs="Times New Roman"/>
          <w:sz w:val="20"/>
          <w:szCs w:val="20"/>
          <w:lang w:val="en-US"/>
        </w:rPr>
        <w:t xml:space="preserve"> applications </w:t>
      </w:r>
      <w:r w:rsidR="00162F9D" w:rsidRPr="002D1F1A">
        <w:rPr>
          <w:rFonts w:ascii="Times New Roman" w:hAnsi="Times New Roman" w:cs="Times New Roman"/>
          <w:sz w:val="20"/>
          <w:szCs w:val="20"/>
          <w:lang w:val="en-US"/>
        </w:rPr>
        <w:t>(</w:t>
      </w:r>
      <w:r w:rsidRPr="002D1F1A">
        <w:rPr>
          <w:rFonts w:ascii="Times New Roman" w:hAnsi="Times New Roman" w:cs="Times New Roman"/>
          <w:sz w:val="20"/>
          <w:szCs w:val="20"/>
          <w:lang w:val="en-US"/>
        </w:rPr>
        <w:t>provided by UNY</w:t>
      </w:r>
      <w:r w:rsidR="00162F9D" w:rsidRPr="002D1F1A">
        <w:rPr>
          <w:rFonts w:ascii="Times New Roman" w:hAnsi="Times New Roman" w:cs="Times New Roman"/>
          <w:sz w:val="20"/>
          <w:szCs w:val="20"/>
          <w:lang w:val="en-US"/>
        </w:rPr>
        <w:t>)</w:t>
      </w:r>
      <w:r w:rsidRPr="002D1F1A">
        <w:rPr>
          <w:rFonts w:ascii="Times New Roman" w:hAnsi="Times New Roman" w:cs="Times New Roman"/>
          <w:sz w:val="20"/>
          <w:szCs w:val="20"/>
          <w:lang w:val="en-US"/>
        </w:rPr>
        <w:t xml:space="preserve">, and </w:t>
      </w:r>
      <w:r w:rsidR="00B8485A" w:rsidRPr="002D1F1A">
        <w:rPr>
          <w:rFonts w:ascii="Times New Roman" w:hAnsi="Times New Roman" w:cs="Times New Roman"/>
          <w:sz w:val="20"/>
          <w:szCs w:val="20"/>
          <w:lang w:val="en-US"/>
        </w:rPr>
        <w:t xml:space="preserve">supporting </w:t>
      </w:r>
      <w:r w:rsidRPr="002D1F1A">
        <w:rPr>
          <w:rFonts w:ascii="Times New Roman" w:hAnsi="Times New Roman" w:cs="Times New Roman"/>
          <w:sz w:val="20"/>
          <w:szCs w:val="20"/>
          <w:lang w:val="en-US"/>
        </w:rPr>
        <w:t xml:space="preserve">ICT </w:t>
      </w:r>
      <w:r w:rsidR="009968C5" w:rsidRPr="002D1F1A">
        <w:rPr>
          <w:rFonts w:ascii="Times New Roman" w:hAnsi="Times New Roman" w:cs="Times New Roman"/>
          <w:sz w:val="20"/>
          <w:szCs w:val="20"/>
          <w:lang w:val="en-US"/>
        </w:rPr>
        <w:t>equipment</w:t>
      </w:r>
      <w:r w:rsidRPr="002D1F1A">
        <w:rPr>
          <w:rFonts w:ascii="Times New Roman" w:hAnsi="Times New Roman" w:cs="Times New Roman"/>
          <w:sz w:val="20"/>
          <w:szCs w:val="20"/>
          <w:lang w:val="en-US"/>
        </w:rPr>
        <w:t xml:space="preserve">. The </w:t>
      </w:r>
      <w:r w:rsidR="00B8485A" w:rsidRPr="002D1F1A">
        <w:rPr>
          <w:rFonts w:ascii="Times New Roman" w:hAnsi="Times New Roman" w:cs="Times New Roman"/>
          <w:sz w:val="20"/>
          <w:szCs w:val="20"/>
          <w:lang w:val="en-US"/>
        </w:rPr>
        <w:t xml:space="preserve">choice </w:t>
      </w:r>
      <w:r w:rsidR="00162F9D" w:rsidRPr="002D1F1A">
        <w:rPr>
          <w:rFonts w:ascii="Times New Roman" w:hAnsi="Times New Roman" w:cs="Times New Roman"/>
          <w:sz w:val="20"/>
          <w:szCs w:val="20"/>
          <w:lang w:val="en-US"/>
        </w:rPr>
        <w:t xml:space="preserve">of </w:t>
      </w:r>
      <w:r w:rsidRPr="002D1F1A">
        <w:rPr>
          <w:rFonts w:ascii="Times New Roman" w:hAnsi="Times New Roman" w:cs="Times New Roman"/>
          <w:sz w:val="20"/>
          <w:szCs w:val="20"/>
          <w:lang w:val="en-US"/>
        </w:rPr>
        <w:t xml:space="preserve">internet </w:t>
      </w:r>
      <w:r w:rsidR="00B8485A" w:rsidRPr="002D1F1A">
        <w:rPr>
          <w:rFonts w:ascii="Times New Roman" w:hAnsi="Times New Roman" w:cs="Times New Roman"/>
          <w:sz w:val="20"/>
          <w:szCs w:val="20"/>
          <w:lang w:val="en-US"/>
        </w:rPr>
        <w:t>access</w:t>
      </w:r>
      <w:r w:rsidRPr="002D1F1A">
        <w:rPr>
          <w:rFonts w:ascii="Times New Roman" w:hAnsi="Times New Roman" w:cs="Times New Roman"/>
          <w:sz w:val="20"/>
          <w:szCs w:val="20"/>
          <w:lang w:val="en-US"/>
        </w:rPr>
        <w:t xml:space="preserve"> includes subscription to ISP and cellular data plan.</w:t>
      </w:r>
      <w:r w:rsidR="002B0149" w:rsidRPr="002D1F1A">
        <w:rPr>
          <w:rFonts w:ascii="Times New Roman" w:hAnsi="Times New Roman" w:cs="Times New Roman"/>
          <w:sz w:val="20"/>
          <w:szCs w:val="20"/>
          <w:lang w:val="en-US"/>
        </w:rPr>
        <w:t xml:space="preserve"> Essential hardware for blended learning is laptop or PC processors equipped with Intel </w:t>
      </w:r>
      <w:r w:rsidR="002B0149" w:rsidRPr="002D1F1A">
        <w:rPr>
          <w:rFonts w:ascii="Times New Roman" w:hAnsi="Times New Roman" w:cs="Times New Roman"/>
          <w:sz w:val="20"/>
          <w:szCs w:val="20"/>
          <w:lang w:val="en-US"/>
        </w:rPr>
        <w:lastRenderedPageBreak/>
        <w:t>Core i7 or AMD Ryzen 7, Intel Core i5 or AMD Ryzen 5, Intel Core i3 or AMD Ryzen 3, and below Intel Core i3 or AMD Ryzen 3 processors.</w:t>
      </w:r>
      <w:r w:rsidRPr="002D1F1A">
        <w:rPr>
          <w:rFonts w:ascii="Times New Roman" w:hAnsi="Times New Roman" w:cs="Times New Roman"/>
          <w:sz w:val="20"/>
          <w:szCs w:val="20"/>
          <w:lang w:val="en-US"/>
        </w:rPr>
        <w:t xml:space="preserve"> </w:t>
      </w:r>
      <w:r w:rsidR="00901832" w:rsidRPr="002D1F1A">
        <w:rPr>
          <w:rFonts w:ascii="Times New Roman" w:hAnsi="Times New Roman" w:cs="Times New Roman"/>
          <w:sz w:val="20"/>
          <w:szCs w:val="20"/>
          <w:lang w:val="en-US"/>
        </w:rPr>
        <w:t>Institutional s</w:t>
      </w:r>
      <w:r w:rsidRPr="002D1F1A">
        <w:rPr>
          <w:rFonts w:ascii="Times New Roman" w:hAnsi="Times New Roman" w:cs="Times New Roman"/>
          <w:sz w:val="20"/>
          <w:szCs w:val="20"/>
          <w:lang w:val="en-US"/>
        </w:rPr>
        <w:t xml:space="preserve">oftware </w:t>
      </w:r>
      <w:r w:rsidR="00901832" w:rsidRPr="002D1F1A">
        <w:rPr>
          <w:rFonts w:ascii="Times New Roman" w:hAnsi="Times New Roman" w:cs="Times New Roman"/>
          <w:sz w:val="20"/>
          <w:szCs w:val="20"/>
          <w:lang w:val="en-US"/>
        </w:rPr>
        <w:t xml:space="preserve">and </w:t>
      </w:r>
      <w:r w:rsidRPr="002D1F1A">
        <w:rPr>
          <w:rFonts w:ascii="Times New Roman" w:hAnsi="Times New Roman" w:cs="Times New Roman"/>
          <w:sz w:val="20"/>
          <w:szCs w:val="20"/>
          <w:lang w:val="en-US"/>
        </w:rPr>
        <w:t xml:space="preserve">applications </w:t>
      </w:r>
      <w:r w:rsidR="00901832" w:rsidRPr="002D1F1A">
        <w:rPr>
          <w:rFonts w:ascii="Times New Roman" w:hAnsi="Times New Roman" w:cs="Times New Roman"/>
          <w:sz w:val="20"/>
          <w:szCs w:val="20"/>
          <w:lang w:val="en-US"/>
        </w:rPr>
        <w:t xml:space="preserve">from </w:t>
      </w:r>
      <w:r w:rsidRPr="002D1F1A">
        <w:rPr>
          <w:rFonts w:ascii="Times New Roman" w:hAnsi="Times New Roman" w:cs="Times New Roman"/>
          <w:sz w:val="20"/>
          <w:szCs w:val="20"/>
          <w:lang w:val="en-US"/>
        </w:rPr>
        <w:t xml:space="preserve">UNY include Microsoft </w:t>
      </w:r>
      <w:r w:rsidR="002003DD">
        <w:rPr>
          <w:rFonts w:ascii="Times New Roman" w:hAnsi="Times New Roman" w:cs="Times New Roman"/>
          <w:sz w:val="20"/>
          <w:szCs w:val="20"/>
          <w:lang w:val="en-US"/>
        </w:rPr>
        <w:t>365</w:t>
      </w:r>
      <w:r w:rsidRPr="002D1F1A">
        <w:rPr>
          <w:rFonts w:ascii="Times New Roman" w:hAnsi="Times New Roman" w:cs="Times New Roman"/>
          <w:sz w:val="20"/>
          <w:szCs w:val="20"/>
          <w:lang w:val="en-US"/>
        </w:rPr>
        <w:t>, Google Workspace</w:t>
      </w:r>
      <w:r w:rsidR="00901832" w:rsidRPr="002D1F1A">
        <w:rPr>
          <w:rFonts w:ascii="Times New Roman" w:hAnsi="Times New Roman" w:cs="Times New Roman"/>
          <w:sz w:val="20"/>
          <w:szCs w:val="20"/>
          <w:lang w:val="en-US"/>
        </w:rPr>
        <w:t xml:space="preserve"> collaborative application</w:t>
      </w:r>
      <w:r w:rsidRPr="002D1F1A">
        <w:rPr>
          <w:rFonts w:ascii="Times New Roman" w:hAnsi="Times New Roman" w:cs="Times New Roman"/>
          <w:sz w:val="20"/>
          <w:szCs w:val="20"/>
          <w:lang w:val="en-US"/>
        </w:rPr>
        <w:t xml:space="preserve">, and </w:t>
      </w:r>
      <w:r w:rsidR="00901832" w:rsidRPr="002D1F1A">
        <w:rPr>
          <w:rFonts w:ascii="Times New Roman" w:hAnsi="Times New Roman" w:cs="Times New Roman"/>
          <w:sz w:val="20"/>
          <w:szCs w:val="20"/>
          <w:lang w:val="en-US"/>
        </w:rPr>
        <w:t xml:space="preserve">licensed </w:t>
      </w:r>
      <w:r w:rsidRPr="002D1F1A">
        <w:rPr>
          <w:rFonts w:ascii="Times New Roman" w:hAnsi="Times New Roman" w:cs="Times New Roman"/>
          <w:sz w:val="20"/>
          <w:szCs w:val="20"/>
          <w:lang w:val="en-US"/>
        </w:rPr>
        <w:t xml:space="preserve">Zoom </w:t>
      </w:r>
      <w:r w:rsidR="00901832" w:rsidRPr="002D1F1A">
        <w:rPr>
          <w:rFonts w:ascii="Times New Roman" w:hAnsi="Times New Roman" w:cs="Times New Roman"/>
          <w:sz w:val="20"/>
          <w:szCs w:val="20"/>
          <w:lang w:val="en-US"/>
        </w:rPr>
        <w:t>Meeting (education)</w:t>
      </w:r>
      <w:r w:rsidRPr="002D1F1A">
        <w:rPr>
          <w:rFonts w:ascii="Times New Roman" w:hAnsi="Times New Roman" w:cs="Times New Roman"/>
          <w:sz w:val="20"/>
          <w:szCs w:val="20"/>
          <w:lang w:val="en-US"/>
        </w:rPr>
        <w:t>.</w:t>
      </w:r>
      <w:r w:rsidR="0085387C" w:rsidRPr="002D1F1A">
        <w:rPr>
          <w:rFonts w:ascii="Times New Roman" w:hAnsi="Times New Roman" w:cs="Times New Roman"/>
          <w:sz w:val="20"/>
          <w:szCs w:val="20"/>
          <w:lang w:val="en-US"/>
        </w:rPr>
        <w:t xml:space="preserve"> ICT equipment supporting blended learning includes extra hardware and software. The hardware is microphones (condenser or clip-on microphones), headsets (over-ear or on-ear), lighting, external webcams with HD quality, extended desktops, </w:t>
      </w:r>
      <w:r w:rsidR="00FC411A">
        <w:rPr>
          <w:rFonts w:ascii="Times New Roman" w:hAnsi="Times New Roman" w:cs="Times New Roman"/>
          <w:sz w:val="20"/>
          <w:szCs w:val="20"/>
          <w:lang w:val="en-US"/>
        </w:rPr>
        <w:t xml:space="preserve">and </w:t>
      </w:r>
      <w:r w:rsidR="0085387C" w:rsidRPr="002D1F1A">
        <w:rPr>
          <w:rFonts w:ascii="Times New Roman" w:hAnsi="Times New Roman" w:cs="Times New Roman"/>
          <w:sz w:val="20"/>
          <w:szCs w:val="20"/>
          <w:lang w:val="en-US"/>
        </w:rPr>
        <w:t>graphic pads, or tablets. Meanwhile, the software includes interactive applications for the virtual synchronous meeting (Padlet, Miro, Kahoot, Quizziz, Mentimeter, Slido, and others),</w:t>
      </w:r>
      <w:r w:rsidR="00FC411A">
        <w:rPr>
          <w:rFonts w:ascii="Times New Roman" w:hAnsi="Times New Roman" w:cs="Times New Roman"/>
          <w:sz w:val="20"/>
          <w:szCs w:val="20"/>
          <w:lang w:val="en-US"/>
        </w:rPr>
        <w:t xml:space="preserve"> </w:t>
      </w:r>
      <w:r w:rsidR="0085387C" w:rsidRPr="002D1F1A">
        <w:rPr>
          <w:rFonts w:ascii="Times New Roman" w:hAnsi="Times New Roman" w:cs="Times New Roman"/>
          <w:sz w:val="20"/>
          <w:szCs w:val="20"/>
          <w:lang w:val="en-US"/>
        </w:rPr>
        <w:t>project management (Trello), video-audio editing (Camtasia, Filmora, Adobe Premiere, and others), and screen recording software (Camtasia, Filmora, Snagit, and others).</w:t>
      </w:r>
    </w:p>
    <w:p w14:paraId="3F5B7F85" w14:textId="4525737E" w:rsidR="00FC7BEC" w:rsidRPr="002D1F1A" w:rsidRDefault="00AA747F" w:rsidP="00C23D2A">
      <w:pPr>
        <w:pStyle w:val="Heading3"/>
        <w:keepLines/>
        <w:numPr>
          <w:ilvl w:val="0"/>
          <w:numId w:val="0"/>
        </w:numPr>
        <w:spacing w:after="240"/>
        <w:ind w:left="720" w:hanging="720"/>
        <w:jc w:val="center"/>
        <w:rPr>
          <w:rFonts w:ascii="Times New Roman" w:eastAsia="Times New Roman" w:hAnsi="Times New Roman" w:cs="Times New Roman"/>
          <w:bCs w:val="0"/>
          <w:iCs/>
          <w:sz w:val="24"/>
          <w:szCs w:val="24"/>
          <w:lang w:val="en-US"/>
        </w:rPr>
      </w:pPr>
      <w:r w:rsidRPr="002D1F1A">
        <w:rPr>
          <w:rFonts w:ascii="Times New Roman" w:eastAsia="Times New Roman" w:hAnsi="Times New Roman" w:cs="Times New Roman"/>
          <w:bCs w:val="0"/>
          <w:iCs/>
          <w:sz w:val="24"/>
          <w:szCs w:val="24"/>
          <w:lang w:val="en-US"/>
        </w:rPr>
        <w:t xml:space="preserve">Data Analysis </w:t>
      </w:r>
    </w:p>
    <w:p w14:paraId="19375E59" w14:textId="6A039EA6" w:rsidR="00D64ED0" w:rsidRPr="002D1F1A" w:rsidRDefault="004B0CC7" w:rsidP="00CF5F93">
      <w:pPr>
        <w:ind w:firstLine="284"/>
        <w:jc w:val="both"/>
        <w:rPr>
          <w:rFonts w:ascii="Times New Roman" w:hAnsi="Times New Roman" w:cs="Times New Roman"/>
          <w:sz w:val="20"/>
          <w:szCs w:val="20"/>
          <w:lang w:val="en-US"/>
        </w:rPr>
      </w:pPr>
      <w:r w:rsidRPr="002D1F1A">
        <w:rPr>
          <w:rFonts w:ascii="Times New Roman" w:hAnsi="Times New Roman" w:cs="Times New Roman"/>
          <w:sz w:val="20"/>
          <w:szCs w:val="20"/>
          <w:lang w:val="en-US"/>
        </w:rPr>
        <w:t>Respondents gave one answer for the 'internet access' and 'hardware' questions of the polls. Respondents can provide one or more answers to the questions of 'software or application provided by UNY' and 'ICT facilities supporting blended learning.' Data were analyzed quantitatively by calculating the percentage of respondents who chose an answer to the total number of respondents in the poll</w:t>
      </w:r>
      <w:r w:rsidR="00D64ED0" w:rsidRPr="002D1F1A">
        <w:rPr>
          <w:rFonts w:ascii="Times New Roman" w:hAnsi="Times New Roman" w:cs="Times New Roman"/>
          <w:sz w:val="20"/>
          <w:szCs w:val="20"/>
          <w:lang w:val="en-US"/>
        </w:rPr>
        <w:t>.</w:t>
      </w:r>
    </w:p>
    <w:p w14:paraId="66B249B0" w14:textId="4C351AFC" w:rsidR="00FC7BEC" w:rsidRPr="002D1F1A" w:rsidRDefault="005252BF" w:rsidP="005252BF">
      <w:pPr>
        <w:pStyle w:val="Heading2"/>
        <w:numPr>
          <w:ilvl w:val="0"/>
          <w:numId w:val="0"/>
        </w:numPr>
        <w:tabs>
          <w:tab w:val="left" w:pos="426"/>
        </w:tabs>
        <w:spacing w:before="240" w:after="240"/>
        <w:jc w:val="center"/>
        <w:rPr>
          <w:rFonts w:ascii="Times New Roman" w:hAnsi="Times New Roman" w:cs="Times New Roman"/>
          <w:sz w:val="24"/>
          <w:szCs w:val="24"/>
          <w:lang w:val="en-US"/>
        </w:rPr>
      </w:pPr>
      <w:r w:rsidRPr="002D1F1A">
        <w:rPr>
          <w:rFonts w:ascii="Times New Roman" w:hAnsi="Times New Roman" w:cs="Times New Roman"/>
          <w:sz w:val="24"/>
          <w:szCs w:val="24"/>
          <w:lang w:val="en-US"/>
        </w:rPr>
        <w:t>RESULT AND DISCUSSION</w:t>
      </w:r>
    </w:p>
    <w:p w14:paraId="1315084D" w14:textId="3980FA9A" w:rsidR="002F753B" w:rsidRPr="002D1F1A" w:rsidRDefault="00DE423C" w:rsidP="0054336E">
      <w:pPr>
        <w:ind w:firstLine="284"/>
        <w:jc w:val="both"/>
        <w:rPr>
          <w:rFonts w:ascii="Times New Roman" w:hAnsi="Times New Roman" w:cs="Times New Roman"/>
          <w:sz w:val="20"/>
          <w:szCs w:val="20"/>
          <w:lang w:val="en-US"/>
        </w:rPr>
      </w:pPr>
      <w:r w:rsidRPr="002D1F1A">
        <w:rPr>
          <w:rFonts w:ascii="Times New Roman" w:hAnsi="Times New Roman" w:cs="Times New Roman"/>
          <w:sz w:val="20"/>
          <w:szCs w:val="20"/>
          <w:lang w:val="en-US"/>
        </w:rPr>
        <w:t>One of the essential competencies in Education 4.0 is that lecturers must possess ICT competence. To be able to master these competencies, lecturers must be accustomed to using ICT facilities. Shifting teaching and learning from the on-campus environment to the home environment caused by the Covid-19 pandemic has forced lecturers to obtain access to ICT facilities</w:t>
      </w:r>
      <w:r w:rsidR="002F753B" w:rsidRPr="002D1F1A">
        <w:rPr>
          <w:rFonts w:ascii="Times New Roman" w:hAnsi="Times New Roman" w:cs="Times New Roman"/>
          <w:sz w:val="20"/>
          <w:szCs w:val="20"/>
          <w:lang w:val="en-US"/>
        </w:rPr>
        <w:t>.</w:t>
      </w:r>
    </w:p>
    <w:p w14:paraId="60C1D5C7" w14:textId="31DFB892" w:rsidR="00FC7BEC" w:rsidRPr="002D1F1A" w:rsidRDefault="00C23D2A" w:rsidP="00C23D2A">
      <w:pPr>
        <w:pStyle w:val="Heading3"/>
        <w:keepLines/>
        <w:numPr>
          <w:ilvl w:val="0"/>
          <w:numId w:val="0"/>
        </w:numPr>
        <w:spacing w:after="240"/>
        <w:ind w:left="720" w:hanging="720"/>
        <w:jc w:val="center"/>
        <w:rPr>
          <w:rFonts w:ascii="Times New Roman" w:eastAsia="Times New Roman" w:hAnsi="Times New Roman" w:cs="Times New Roman"/>
          <w:bCs w:val="0"/>
          <w:iCs/>
          <w:sz w:val="24"/>
          <w:szCs w:val="24"/>
          <w:lang w:val="en-US"/>
        </w:rPr>
      </w:pPr>
      <w:r w:rsidRPr="002D1F1A">
        <w:rPr>
          <w:rFonts w:ascii="Times New Roman" w:eastAsia="Times New Roman" w:hAnsi="Times New Roman" w:cs="Times New Roman"/>
          <w:bCs w:val="0"/>
          <w:iCs/>
          <w:sz w:val="24"/>
          <w:szCs w:val="24"/>
          <w:lang w:val="en-US"/>
        </w:rPr>
        <w:t>Internet</w:t>
      </w:r>
      <w:r w:rsidR="001C65E0" w:rsidRPr="002D1F1A">
        <w:rPr>
          <w:rFonts w:ascii="Times New Roman" w:eastAsia="Times New Roman" w:hAnsi="Times New Roman" w:cs="Times New Roman"/>
          <w:bCs w:val="0"/>
          <w:iCs/>
          <w:sz w:val="24"/>
          <w:szCs w:val="24"/>
          <w:lang w:val="en-US"/>
        </w:rPr>
        <w:t xml:space="preserve"> </w:t>
      </w:r>
      <w:r w:rsidR="003A49A5">
        <w:rPr>
          <w:rFonts w:ascii="Times New Roman" w:eastAsia="Times New Roman" w:hAnsi="Times New Roman" w:cs="Times New Roman"/>
          <w:bCs w:val="0"/>
          <w:iCs/>
          <w:sz w:val="24"/>
          <w:szCs w:val="24"/>
          <w:lang w:val="en-US"/>
        </w:rPr>
        <w:t>Access</w:t>
      </w:r>
      <w:r w:rsidR="001C65E0" w:rsidRPr="002D1F1A">
        <w:rPr>
          <w:rFonts w:ascii="Times New Roman" w:eastAsia="Times New Roman" w:hAnsi="Times New Roman" w:cs="Times New Roman"/>
          <w:bCs w:val="0"/>
          <w:iCs/>
          <w:sz w:val="24"/>
          <w:szCs w:val="24"/>
          <w:lang w:val="en-US"/>
        </w:rPr>
        <w:t xml:space="preserve"> </w:t>
      </w:r>
    </w:p>
    <w:p w14:paraId="268ED2F6" w14:textId="1F8C293B" w:rsidR="0054336E" w:rsidRPr="002D1F1A" w:rsidRDefault="00B64333" w:rsidP="0054336E">
      <w:pPr>
        <w:ind w:firstLine="284"/>
        <w:jc w:val="both"/>
        <w:rPr>
          <w:rFonts w:ascii="Times New Roman" w:eastAsia="Times New Roman" w:hAnsi="Times New Roman" w:cs="Times New Roman"/>
          <w:sz w:val="20"/>
          <w:szCs w:val="20"/>
          <w:highlight w:val="green"/>
          <w:lang w:val="en-US"/>
        </w:rPr>
      </w:pPr>
      <w:r w:rsidRPr="002D1F1A">
        <w:rPr>
          <w:rFonts w:ascii="Times New Roman" w:eastAsia="Times New Roman" w:hAnsi="Times New Roman" w:cs="Times New Roman"/>
          <w:sz w:val="20"/>
          <w:szCs w:val="20"/>
          <w:lang w:val="en-US"/>
        </w:rPr>
        <w:t xml:space="preserve">The </w:t>
      </w:r>
      <w:r w:rsidR="00357481" w:rsidRPr="00357481">
        <w:rPr>
          <w:rFonts w:ascii="Times New Roman" w:eastAsia="Times New Roman" w:hAnsi="Times New Roman" w:cs="Times New Roman"/>
          <w:sz w:val="20"/>
          <w:szCs w:val="20"/>
          <w:lang w:val="en-US"/>
        </w:rPr>
        <w:t>central facility in blended learning is internet access. Internet access owned by the respondent in their home is presented in Figure 1(a)</w:t>
      </w:r>
      <w:r w:rsidRPr="002D1F1A">
        <w:rPr>
          <w:rFonts w:ascii="Times New Roman" w:eastAsia="Times New Roman" w:hAnsi="Times New Roman" w:cs="Times New Roman"/>
          <w:sz w:val="20"/>
          <w:szCs w:val="20"/>
          <w:lang w:val="en-US"/>
        </w:rPr>
        <w:t xml:space="preserve">. </w:t>
      </w:r>
      <w:r w:rsidR="00250852" w:rsidRPr="00250852">
        <w:rPr>
          <w:rFonts w:ascii="Times New Roman" w:eastAsia="Times New Roman" w:hAnsi="Times New Roman" w:cs="Times New Roman"/>
          <w:sz w:val="20"/>
          <w:szCs w:val="20"/>
          <w:lang w:val="en-US"/>
        </w:rPr>
        <w:t xml:space="preserve">28% of respondents have cellular data packages only and have not subscribed to an ISP. Virtual synchronous meeting by video conferencing requires high-speed and stable internet connection. When many of the participants turn their videos on, the need for data access increases. The ISPs provide solutions for high data needs for video conferencing activities as they usually have more bandwidth. However, there are still some areas in Indonesia that do not have ISP facilities yet. Therefore, ownership of cellular data plans becomes a reasonable alternative. Because cellular data are expensive and </w:t>
      </w:r>
      <w:r w:rsidR="00DB686D">
        <w:rPr>
          <w:rFonts w:ascii="Times New Roman" w:eastAsia="Times New Roman" w:hAnsi="Times New Roman" w:cs="Times New Roman"/>
          <w:sz w:val="20"/>
          <w:szCs w:val="20"/>
          <w:lang w:val="en-US"/>
        </w:rPr>
        <w:t xml:space="preserve">often </w:t>
      </w:r>
      <w:r w:rsidR="00250852" w:rsidRPr="00250852">
        <w:rPr>
          <w:rFonts w:ascii="Times New Roman" w:eastAsia="Times New Roman" w:hAnsi="Times New Roman" w:cs="Times New Roman"/>
          <w:sz w:val="20"/>
          <w:szCs w:val="20"/>
          <w:lang w:val="en-US"/>
        </w:rPr>
        <w:t xml:space="preserve">unstable, some lecturers would carry out virtual synchronous activities from the on-campus internet connection. Related to this finding, lecturers at the University of California even reported difficulty facilitating video conferences due to poor internet </w:t>
      </w:r>
      <w:r w:rsidR="00AB55BF" w:rsidRPr="002D1F1A">
        <w:rPr>
          <w:rFonts w:ascii="Times New Roman" w:eastAsia="Times New Roman" w:hAnsi="Times New Roman" w:cs="Times New Roman"/>
          <w:sz w:val="20"/>
          <w:szCs w:val="20"/>
          <w:lang w:val="en-US"/>
        </w:rPr>
        <w:t>connection</w:t>
      </w:r>
      <w:r w:rsidR="0060718B" w:rsidRPr="002D1F1A">
        <w:rPr>
          <w:rFonts w:ascii="Times New Roman" w:eastAsia="Times New Roman" w:hAnsi="Times New Roman" w:cs="Times New Roman"/>
          <w:sz w:val="20"/>
          <w:szCs w:val="20"/>
          <w:lang w:val="en-US"/>
        </w:rPr>
        <w:fldChar w:fldCharType="begin" w:fldLock="1"/>
      </w:r>
      <w:r w:rsidR="0060718B" w:rsidRPr="002D1F1A">
        <w:rPr>
          <w:rFonts w:ascii="Times New Roman" w:eastAsia="Times New Roman" w:hAnsi="Times New Roman" w:cs="Times New Roman"/>
          <w:sz w:val="20"/>
          <w:szCs w:val="20"/>
          <w:lang w:val="en-US"/>
        </w:rPr>
        <w:instrText>ADDIN CSL_CITATION {"citationItems":[{"id":"ITEM-1","itemData":{"DOI":"10.1016/j.jsurg.2020.03.018","ISSN":"18787452","PMID":"32253133","abstract":"Background: The COVID-19 pandemic presents a unique challenge to surgical residency programs. Due to the restrictions recommended by the Centers for Disease Control and Prevention and other organizations, the educational landscape for surgical residents is rapidly changing. In addition, the time course of these changes is undefined. Methods: We attempt to define the scope of the problem of maintaining surgical resident education while maintaining the safety of residents, educators, and patients. Within the basic framework of limiting in-person gatherings, postponing or canceling elective operations in hospitals, and limiting rotations between sites, we propose innovative solutions to maintain rigorous education. Results: We propose several innovative solutions including the flipped classroom model, online practice questions, teleconferencing in place of in-person lectures, involving residents in telemedicine clinics, procedural simulation, and the facilitated use of surgical videos. Although there is no substitute for hands-on learning through operative experience and direct patient care, these may be ways to mitigate the loss of learning exposure during this time. Conclusions: These innovative solutions utilizing technology may help to bridge the educational gap for surgical residents during this unprecedented circumstance. The support of national organizations may be beneficial in maintaining rigorous surgical education.","author":[{"dropping-particle":"","family":"Chick","given":"Robert Connor","non-dropping-particle":"","parse-names":false,"suffix":""},{"dropping-particle":"","family":"Clifton","given":"Guy Travis","non-dropping-particle":"","parse-names":false,"suffix":""},{"dropping-particle":"","family":"Peace","given":"Kaitlin M.","non-dropping-particle":"","parse-names":false,"suffix":""},{"dropping-particle":"","family":"Propper","given":"Brandon W.","non-dropping-particle":"","parse-names":false,"suffix":""},{"dropping-particle":"","family":"Hale","given":"Diane F.","non-dropping-particle":"","parse-names":false,"suffix":""},{"dropping-particle":"","family":"Alseidi","given":"Adnan A.","non-dropping-particle":"","parse-names":false,"suffix":""},{"dropping-particle":"","family":"Vreeland","given":"Timothy J.","non-dropping-particle":"","parse-names":false,"suffix":""}],"container-title":"Journal of Surgical Education","id":"ITEM-1","issue":"4","issued":{"date-parts":[["2020"]]},"page":"729-732","publisher":"Elsevier Inc.","title":"Using Technology to Maintain the Education of Residents During the COVID-19 Pandemic","type":"article-journal","volume":"77"},"uris":["http://www.mendeley.com/documents/?uuid=62932e63-f2de-4e80-875c-70676bd9a351"]}],"mendeley":{"formattedCitation":"&lt;sup&gt;3&lt;/sup&gt;","plainTextFormattedCitation":"3","previouslyFormattedCitation":"&lt;sup&gt;3&lt;/sup&gt;"},"properties":{"noteIndex":0},"schema":"https://github.com/citation-style-language/schema/raw/master/csl-citation.json"}</w:instrText>
      </w:r>
      <w:r w:rsidR="0060718B" w:rsidRPr="002D1F1A">
        <w:rPr>
          <w:rFonts w:ascii="Times New Roman" w:eastAsia="Times New Roman" w:hAnsi="Times New Roman" w:cs="Times New Roman"/>
          <w:sz w:val="20"/>
          <w:szCs w:val="20"/>
          <w:lang w:val="en-US"/>
        </w:rPr>
        <w:fldChar w:fldCharType="separate"/>
      </w:r>
      <w:r w:rsidR="0060718B" w:rsidRPr="002D1F1A">
        <w:rPr>
          <w:rFonts w:ascii="Times New Roman" w:eastAsia="Times New Roman" w:hAnsi="Times New Roman" w:cs="Times New Roman"/>
          <w:noProof/>
          <w:sz w:val="20"/>
          <w:szCs w:val="20"/>
          <w:vertAlign w:val="superscript"/>
          <w:lang w:val="en-US"/>
        </w:rPr>
        <w:t>3</w:t>
      </w:r>
      <w:r w:rsidR="0060718B" w:rsidRPr="002D1F1A">
        <w:rPr>
          <w:rFonts w:ascii="Times New Roman" w:eastAsia="Times New Roman" w:hAnsi="Times New Roman" w:cs="Times New Roman"/>
          <w:sz w:val="20"/>
          <w:szCs w:val="20"/>
          <w:lang w:val="en-US"/>
        </w:rPr>
        <w:fldChar w:fldCharType="end"/>
      </w:r>
      <w:r w:rsidR="0060718B" w:rsidRPr="002D1F1A">
        <w:rPr>
          <w:rFonts w:ascii="Times New Roman" w:eastAsia="Times New Roman" w:hAnsi="Times New Roman" w:cs="Times New Roman"/>
          <w:sz w:val="20"/>
          <w:szCs w:val="20"/>
          <w:lang w:val="en-US"/>
        </w:rPr>
        <w:t>.</w:t>
      </w:r>
    </w:p>
    <w:p w14:paraId="04B438D2" w14:textId="45E8A9E4" w:rsidR="00734826" w:rsidRPr="002D1F1A" w:rsidRDefault="00250852" w:rsidP="00734826">
      <w:pPr>
        <w:ind w:firstLine="284"/>
        <w:jc w:val="both"/>
        <w:rPr>
          <w:rFonts w:ascii="Times New Roman" w:eastAsia="Times New Roman" w:hAnsi="Times New Roman" w:cs="Times New Roman"/>
          <w:sz w:val="18"/>
          <w:szCs w:val="18"/>
          <w:lang w:val="en-US"/>
        </w:rPr>
      </w:pPr>
      <w:r w:rsidRPr="00250852">
        <w:rPr>
          <w:rFonts w:ascii="Times New Roman" w:eastAsia="Times New Roman" w:hAnsi="Times New Roman" w:cs="Times New Roman"/>
          <w:sz w:val="20"/>
          <w:szCs w:val="20"/>
          <w:lang w:val="en-US"/>
        </w:rPr>
        <w:t>In providing resources or activities in asynchronous meetings, lecturers often need to upload them to an online sharing platform like YouTube or Google Drive. It requires a high-speed internet connection.</w:t>
      </w:r>
      <w:r>
        <w:rPr>
          <w:rFonts w:ascii="Times New Roman" w:eastAsia="Times New Roman" w:hAnsi="Times New Roman" w:cs="Times New Roman"/>
          <w:sz w:val="20"/>
          <w:szCs w:val="20"/>
          <w:lang w:val="en-US"/>
        </w:rPr>
        <w:t xml:space="preserve"> </w:t>
      </w:r>
      <w:r w:rsidR="00AA7B37" w:rsidRPr="002D1F1A">
        <w:rPr>
          <w:rFonts w:ascii="Times New Roman" w:eastAsia="Times New Roman" w:hAnsi="Times New Roman" w:cs="Times New Roman"/>
          <w:sz w:val="20"/>
          <w:szCs w:val="20"/>
          <w:lang w:val="en-US"/>
        </w:rPr>
        <w:t>Th</w:t>
      </w:r>
      <w:r w:rsidR="00AB55BF" w:rsidRPr="002D1F1A">
        <w:rPr>
          <w:rFonts w:ascii="Times New Roman" w:eastAsia="Times New Roman" w:hAnsi="Times New Roman" w:cs="Times New Roman"/>
          <w:sz w:val="20"/>
          <w:szCs w:val="20"/>
          <w:lang w:val="en-US"/>
        </w:rPr>
        <w:t>e need for</w:t>
      </w:r>
      <w:r w:rsidR="005A19B4">
        <w:rPr>
          <w:rFonts w:ascii="Times New Roman" w:eastAsia="Times New Roman" w:hAnsi="Times New Roman" w:cs="Times New Roman"/>
          <w:sz w:val="20"/>
          <w:szCs w:val="20"/>
          <w:lang w:val="en-US"/>
        </w:rPr>
        <w:t xml:space="preserve"> this</w:t>
      </w:r>
      <w:r w:rsidR="00AB55BF" w:rsidRPr="002D1F1A">
        <w:rPr>
          <w:rFonts w:ascii="Times New Roman" w:eastAsia="Times New Roman" w:hAnsi="Times New Roman" w:cs="Times New Roman"/>
          <w:sz w:val="20"/>
          <w:szCs w:val="20"/>
          <w:lang w:val="en-US"/>
        </w:rPr>
        <w:t xml:space="preserve"> high-speed internet access can be circumvented by selecting screen recording software</w:t>
      </w:r>
      <w:r w:rsidR="00AA7B37" w:rsidRPr="002D1F1A">
        <w:rPr>
          <w:rFonts w:ascii="Times New Roman" w:eastAsia="Times New Roman" w:hAnsi="Times New Roman" w:cs="Times New Roman"/>
          <w:sz w:val="20"/>
          <w:szCs w:val="20"/>
          <w:lang w:val="en-US"/>
        </w:rPr>
        <w:t xml:space="preserve"> capable of producing HD video with minimal file size and </w:t>
      </w:r>
      <w:r w:rsidR="00D2341C" w:rsidRPr="002D1F1A">
        <w:rPr>
          <w:rFonts w:ascii="Times New Roman" w:eastAsia="Times New Roman" w:hAnsi="Times New Roman" w:cs="Times New Roman"/>
          <w:sz w:val="20"/>
          <w:szCs w:val="20"/>
          <w:lang w:val="en-US"/>
        </w:rPr>
        <w:t xml:space="preserve">reducing </w:t>
      </w:r>
      <w:r w:rsidR="00AA7B37" w:rsidRPr="002D1F1A">
        <w:rPr>
          <w:rFonts w:ascii="Times New Roman" w:eastAsia="Times New Roman" w:hAnsi="Times New Roman" w:cs="Times New Roman"/>
          <w:sz w:val="20"/>
          <w:szCs w:val="20"/>
          <w:lang w:val="en-US"/>
        </w:rPr>
        <w:t xml:space="preserve">the video resolution to 720p. </w:t>
      </w:r>
      <w:r w:rsidR="005A19B4">
        <w:rPr>
          <w:rFonts w:ascii="Times New Roman" w:eastAsia="Times New Roman" w:hAnsi="Times New Roman" w:cs="Times New Roman"/>
          <w:sz w:val="20"/>
          <w:szCs w:val="20"/>
          <w:lang w:val="en-US"/>
        </w:rPr>
        <w:t>Anything</w:t>
      </w:r>
      <w:r w:rsidR="00AA7B37" w:rsidRPr="002D1F1A">
        <w:rPr>
          <w:rFonts w:ascii="Times New Roman" w:eastAsia="Times New Roman" w:hAnsi="Times New Roman" w:cs="Times New Roman"/>
          <w:sz w:val="20"/>
          <w:szCs w:val="20"/>
          <w:lang w:val="en-US"/>
        </w:rPr>
        <w:t xml:space="preserve"> below 720p is not recommended because Generation Z likes learning media with an attractive visual appearance</w:t>
      </w:r>
      <w:r w:rsidR="0060718B" w:rsidRPr="002D1F1A">
        <w:rPr>
          <w:rFonts w:ascii="Times New Roman" w:eastAsia="Times New Roman" w:hAnsi="Times New Roman" w:cs="Times New Roman"/>
          <w:sz w:val="20"/>
          <w:szCs w:val="20"/>
          <w:lang w:val="en-US"/>
        </w:rPr>
        <w:fldChar w:fldCharType="begin" w:fldLock="1"/>
      </w:r>
      <w:r w:rsidR="009913A4" w:rsidRPr="002D1F1A">
        <w:rPr>
          <w:rFonts w:ascii="Times New Roman" w:eastAsia="Times New Roman" w:hAnsi="Times New Roman" w:cs="Times New Roman"/>
          <w:sz w:val="20"/>
          <w:szCs w:val="20"/>
          <w:lang w:val="en-US"/>
        </w:rPr>
        <w:instrText>ADDIN CSL_CITATION {"citationItems":[{"id":"ITEM-1","itemData":{"DOI":"10.1016/j.teln.2018.03.008","ISSN":"15573087","abstract":"Generation Z, a unique and truly digital native generation, is now entering college and the workplace. This article identifies generational influences and distinctive characteristics of this group, which may challenge nurse educators and require changes in teaching–learning design strategies and approaches. Specific educational suggestions and ways to support members of Generation Z in higher education and the workplace are offered.","author":[{"dropping-particle":"","family":"Chicca","given":"Jennifer","non-dropping-particle":"","parse-names":false,"suffix":""},{"dropping-particle":"","family":"Shellenbarger","given":"Teresa","non-dropping-particle":"","parse-names":false,"suffix":""}],"container-title":"Teaching and Learning in Nursing","id":"ITEM-1","issue":"3","issued":{"date-parts":[["2018"]]},"page":"180-184","publisher":"Organization for Associate Degree Nursing.","title":"Connecting with Generation Z: Approaches in Nursing Education","type":"article-journal","volume":"13"},"uris":["http://www.mendeley.com/documents/?uuid=14eeda11-08f6-4488-9fbf-240b60a538a0"]}],"mendeley":{"formattedCitation":"&lt;sup&gt;2&lt;/sup&gt;","plainTextFormattedCitation":"2","previouslyFormattedCitation":"&lt;sup&gt;2&lt;/sup&gt;"},"properties":{"noteIndex":0},"schema":"https://github.com/citation-style-language/schema/raw/master/csl-citation.json"}</w:instrText>
      </w:r>
      <w:r w:rsidR="0060718B" w:rsidRPr="002D1F1A">
        <w:rPr>
          <w:rFonts w:ascii="Times New Roman" w:eastAsia="Times New Roman" w:hAnsi="Times New Roman" w:cs="Times New Roman"/>
          <w:sz w:val="20"/>
          <w:szCs w:val="20"/>
          <w:lang w:val="en-US"/>
        </w:rPr>
        <w:fldChar w:fldCharType="separate"/>
      </w:r>
      <w:r w:rsidR="0060718B" w:rsidRPr="002D1F1A">
        <w:rPr>
          <w:rFonts w:ascii="Times New Roman" w:eastAsia="Times New Roman" w:hAnsi="Times New Roman" w:cs="Times New Roman"/>
          <w:noProof/>
          <w:sz w:val="20"/>
          <w:szCs w:val="20"/>
          <w:vertAlign w:val="superscript"/>
          <w:lang w:val="en-US"/>
        </w:rPr>
        <w:t>2</w:t>
      </w:r>
      <w:r w:rsidR="0060718B" w:rsidRPr="002D1F1A">
        <w:rPr>
          <w:rFonts w:ascii="Times New Roman" w:eastAsia="Times New Roman" w:hAnsi="Times New Roman" w:cs="Times New Roman"/>
          <w:sz w:val="20"/>
          <w:szCs w:val="20"/>
          <w:lang w:val="en-US"/>
        </w:rPr>
        <w:fldChar w:fldCharType="end"/>
      </w:r>
      <w:r w:rsidR="00734826" w:rsidRPr="002D1F1A">
        <w:rPr>
          <w:rFonts w:ascii="Times New Roman" w:eastAsia="Times New Roman" w:hAnsi="Times New Roman" w:cs="Times New Roman"/>
          <w:sz w:val="20"/>
          <w:szCs w:val="20"/>
          <w:lang w:val="en-US"/>
        </w:rPr>
        <w:t>.</w:t>
      </w:r>
    </w:p>
    <w:p w14:paraId="792111C9" w14:textId="77777777" w:rsidR="00734826" w:rsidRPr="002D1F1A" w:rsidRDefault="00734826" w:rsidP="0054336E">
      <w:pPr>
        <w:ind w:firstLine="284"/>
        <w:jc w:val="both"/>
        <w:rPr>
          <w:rFonts w:ascii="Times New Roman" w:eastAsia="Times New Roman" w:hAnsi="Times New Roman" w:cs="Times New Roman"/>
          <w:sz w:val="20"/>
          <w:szCs w:val="20"/>
          <w:highlight w:val="gre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274"/>
        <w:gridCol w:w="5048"/>
      </w:tblGrid>
      <w:tr w:rsidR="00E454A0" w:rsidRPr="002D1F1A" w14:paraId="566DA8E5" w14:textId="77777777" w:rsidTr="00C142A9">
        <w:tc>
          <w:tcPr>
            <w:tcW w:w="4219" w:type="dxa"/>
          </w:tcPr>
          <w:p w14:paraId="697F3D45" w14:textId="49F39159" w:rsidR="00824FF1" w:rsidRPr="002D1F1A" w:rsidRDefault="00824FF1" w:rsidP="000A176F">
            <w:pPr>
              <w:jc w:val="center"/>
              <w:rPr>
                <w:rFonts w:ascii="Times New Roman" w:eastAsia="Times New Roman" w:hAnsi="Times New Roman" w:cs="Times New Roman"/>
                <w:b/>
                <w:bCs/>
                <w:sz w:val="18"/>
                <w:szCs w:val="18"/>
              </w:rPr>
            </w:pPr>
            <w:r w:rsidRPr="002D1F1A">
              <w:rPr>
                <w:noProof/>
              </w:rPr>
              <w:drawing>
                <wp:inline distT="0" distB="0" distL="0" distR="0" wp14:anchorId="201BED0F" wp14:editId="5C083158">
                  <wp:extent cx="2518012" cy="1535373"/>
                  <wp:effectExtent l="0" t="0" r="0" b="8255"/>
                  <wp:docPr id="6" name="Chart 6">
                    <a:extLst xmlns:a="http://schemas.openxmlformats.org/drawingml/2006/main">
                      <a:ext uri="{FF2B5EF4-FFF2-40B4-BE49-F238E27FC236}">
                        <a16:creationId xmlns:a16="http://schemas.microsoft.com/office/drawing/2014/main" id="{A713EC18-EE08-4DD2-A675-21BFAFB20A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274" w:type="dxa"/>
          </w:tcPr>
          <w:p w14:paraId="515E5C7D" w14:textId="77777777" w:rsidR="00824FF1" w:rsidRPr="002D1F1A" w:rsidRDefault="00824FF1" w:rsidP="000A176F">
            <w:pPr>
              <w:jc w:val="center"/>
              <w:rPr>
                <w:rFonts w:ascii="Times New Roman" w:eastAsia="Times New Roman" w:hAnsi="Times New Roman" w:cs="Times New Roman"/>
                <w:b/>
                <w:bCs/>
                <w:sz w:val="18"/>
                <w:szCs w:val="18"/>
              </w:rPr>
            </w:pPr>
          </w:p>
        </w:tc>
        <w:tc>
          <w:tcPr>
            <w:tcW w:w="5048" w:type="dxa"/>
          </w:tcPr>
          <w:p w14:paraId="2C0EFF87" w14:textId="015CABE8" w:rsidR="00824FF1" w:rsidRPr="002D1F1A" w:rsidRDefault="00E454A0" w:rsidP="000A176F">
            <w:pPr>
              <w:jc w:val="center"/>
              <w:rPr>
                <w:rFonts w:ascii="Times New Roman" w:eastAsia="Times New Roman" w:hAnsi="Times New Roman" w:cs="Times New Roman"/>
                <w:b/>
                <w:bCs/>
                <w:sz w:val="16"/>
                <w:szCs w:val="16"/>
              </w:rPr>
            </w:pPr>
            <w:r w:rsidRPr="002D1F1A">
              <w:rPr>
                <w:rFonts w:ascii="Times New Roman" w:hAnsi="Times New Roman" w:cs="Times New Roman"/>
                <w:noProof/>
                <w:sz w:val="16"/>
                <w:szCs w:val="16"/>
              </w:rPr>
              <w:drawing>
                <wp:inline distT="0" distB="0" distL="0" distR="0" wp14:anchorId="5B3B9AF4" wp14:editId="25754511">
                  <wp:extent cx="3068320" cy="1534795"/>
                  <wp:effectExtent l="0" t="0" r="0" b="8255"/>
                  <wp:docPr id="1" name="Chart 1">
                    <a:extLst xmlns:a="http://schemas.openxmlformats.org/drawingml/2006/main">
                      <a:ext uri="{FF2B5EF4-FFF2-40B4-BE49-F238E27FC236}">
                        <a16:creationId xmlns:a16="http://schemas.microsoft.com/office/drawing/2014/main" id="{26D07D62-D0C5-4169-AEAC-B6AE2A7A31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824FF1" w:rsidRPr="002D1F1A" w14:paraId="706C9ADA" w14:textId="77777777" w:rsidTr="00C142A9">
        <w:tc>
          <w:tcPr>
            <w:tcW w:w="4219" w:type="dxa"/>
          </w:tcPr>
          <w:p w14:paraId="38B1E52F" w14:textId="3852FF27" w:rsidR="00824FF1" w:rsidRPr="002D1F1A" w:rsidRDefault="00824FF1" w:rsidP="000A176F">
            <w:pPr>
              <w:jc w:val="center"/>
              <w:rPr>
                <w:rFonts w:ascii="Times New Roman" w:hAnsi="Times New Roman" w:cs="Times New Roman"/>
                <w:noProof/>
                <w:sz w:val="20"/>
                <w:szCs w:val="20"/>
              </w:rPr>
            </w:pPr>
            <w:r w:rsidRPr="002D1F1A">
              <w:rPr>
                <w:rFonts w:ascii="Times New Roman" w:hAnsi="Times New Roman" w:cs="Times New Roman"/>
                <w:noProof/>
                <w:sz w:val="20"/>
                <w:szCs w:val="20"/>
              </w:rPr>
              <w:t>(a)</w:t>
            </w:r>
          </w:p>
        </w:tc>
        <w:tc>
          <w:tcPr>
            <w:tcW w:w="274" w:type="dxa"/>
          </w:tcPr>
          <w:p w14:paraId="1BB21BE9" w14:textId="77777777" w:rsidR="00824FF1" w:rsidRPr="002D1F1A" w:rsidRDefault="00824FF1" w:rsidP="000A176F">
            <w:pPr>
              <w:jc w:val="center"/>
              <w:rPr>
                <w:rFonts w:ascii="Times New Roman" w:eastAsia="Times New Roman" w:hAnsi="Times New Roman" w:cs="Times New Roman"/>
                <w:b/>
                <w:bCs/>
                <w:sz w:val="20"/>
                <w:szCs w:val="20"/>
              </w:rPr>
            </w:pPr>
          </w:p>
        </w:tc>
        <w:tc>
          <w:tcPr>
            <w:tcW w:w="5048" w:type="dxa"/>
          </w:tcPr>
          <w:p w14:paraId="1AE57956" w14:textId="2CE9CC6B" w:rsidR="00824FF1" w:rsidRPr="002D1F1A" w:rsidRDefault="00824FF1" w:rsidP="000A176F">
            <w:pPr>
              <w:jc w:val="center"/>
              <w:rPr>
                <w:rFonts w:ascii="Times New Roman" w:hAnsi="Times New Roman" w:cs="Times New Roman"/>
                <w:noProof/>
                <w:sz w:val="20"/>
                <w:szCs w:val="20"/>
              </w:rPr>
            </w:pPr>
            <w:r w:rsidRPr="002D1F1A">
              <w:rPr>
                <w:rFonts w:ascii="Times New Roman" w:hAnsi="Times New Roman" w:cs="Times New Roman"/>
                <w:noProof/>
                <w:sz w:val="20"/>
                <w:szCs w:val="20"/>
              </w:rPr>
              <w:t>(b)</w:t>
            </w:r>
          </w:p>
        </w:tc>
      </w:tr>
    </w:tbl>
    <w:p w14:paraId="5EB7D658" w14:textId="3F9625FC" w:rsidR="002178F3" w:rsidRPr="002D1F1A" w:rsidRDefault="003C60D5" w:rsidP="00734826">
      <w:pPr>
        <w:spacing w:before="120"/>
        <w:jc w:val="center"/>
        <w:rPr>
          <w:rFonts w:ascii="Times New Roman" w:eastAsia="Times New Roman" w:hAnsi="Times New Roman" w:cs="Times New Roman"/>
          <w:lang w:val="en-US"/>
        </w:rPr>
      </w:pPr>
      <w:r w:rsidRPr="002D1F1A">
        <w:rPr>
          <w:rFonts w:ascii="Times New Roman" w:eastAsia="Times New Roman" w:hAnsi="Times New Roman" w:cs="Times New Roman"/>
          <w:b/>
          <w:bCs/>
          <w:sz w:val="18"/>
          <w:szCs w:val="18"/>
          <w:lang w:val="en-US"/>
        </w:rPr>
        <w:t>FIGURE</w:t>
      </w:r>
      <w:r w:rsidR="008E1A31" w:rsidRPr="002D1F1A">
        <w:rPr>
          <w:rFonts w:ascii="Times New Roman" w:eastAsia="Times New Roman" w:hAnsi="Times New Roman" w:cs="Times New Roman"/>
          <w:b/>
          <w:bCs/>
          <w:sz w:val="18"/>
          <w:szCs w:val="18"/>
          <w:lang w:val="en-US"/>
        </w:rPr>
        <w:t xml:space="preserve"> 1.</w:t>
      </w:r>
      <w:r w:rsidR="008E1A31" w:rsidRPr="002D1F1A">
        <w:rPr>
          <w:rFonts w:ascii="Times New Roman" w:eastAsia="Times New Roman" w:hAnsi="Times New Roman" w:cs="Times New Roman"/>
          <w:sz w:val="18"/>
          <w:szCs w:val="18"/>
          <w:lang w:val="en-US"/>
        </w:rPr>
        <w:t xml:space="preserve"> </w:t>
      </w:r>
      <w:r w:rsidR="00341A46" w:rsidRPr="002D1F1A">
        <w:rPr>
          <w:rFonts w:ascii="Times New Roman" w:eastAsia="Times New Roman" w:hAnsi="Times New Roman" w:cs="Times New Roman"/>
          <w:sz w:val="18"/>
          <w:szCs w:val="18"/>
          <w:lang w:val="en-US"/>
        </w:rPr>
        <w:t xml:space="preserve">Internet </w:t>
      </w:r>
      <w:r w:rsidR="00FC411A">
        <w:rPr>
          <w:rFonts w:ascii="Times New Roman" w:eastAsia="Times New Roman" w:hAnsi="Times New Roman" w:cs="Times New Roman"/>
          <w:sz w:val="18"/>
          <w:szCs w:val="18"/>
          <w:lang w:val="en-US"/>
        </w:rPr>
        <w:t>a</w:t>
      </w:r>
      <w:r w:rsidR="002F361B">
        <w:rPr>
          <w:rFonts w:ascii="Times New Roman" w:eastAsia="Times New Roman" w:hAnsi="Times New Roman" w:cs="Times New Roman"/>
          <w:sz w:val="18"/>
          <w:szCs w:val="18"/>
          <w:lang w:val="en-US"/>
        </w:rPr>
        <w:t>ccess</w:t>
      </w:r>
      <w:r w:rsidR="00341A46" w:rsidRPr="002D1F1A">
        <w:rPr>
          <w:rFonts w:ascii="Times New Roman" w:eastAsia="Times New Roman" w:hAnsi="Times New Roman" w:cs="Times New Roman"/>
          <w:sz w:val="18"/>
          <w:szCs w:val="18"/>
          <w:lang w:val="en-US"/>
        </w:rPr>
        <w:t xml:space="preserve"> </w:t>
      </w:r>
      <w:r w:rsidR="00824FF1" w:rsidRPr="002D1F1A">
        <w:rPr>
          <w:rFonts w:ascii="Times New Roman" w:eastAsia="Times New Roman" w:hAnsi="Times New Roman" w:cs="Times New Roman"/>
          <w:sz w:val="18"/>
          <w:szCs w:val="18"/>
          <w:lang w:val="en-US"/>
        </w:rPr>
        <w:t xml:space="preserve">(a) </w:t>
      </w:r>
      <w:r w:rsidR="00341A46" w:rsidRPr="002D1F1A">
        <w:rPr>
          <w:rFonts w:ascii="Times New Roman" w:eastAsia="Times New Roman" w:hAnsi="Times New Roman" w:cs="Times New Roman"/>
          <w:sz w:val="18"/>
          <w:szCs w:val="18"/>
          <w:lang w:val="en-US"/>
        </w:rPr>
        <w:t xml:space="preserve">and </w:t>
      </w:r>
      <w:r w:rsidR="00824FF1" w:rsidRPr="002D1F1A">
        <w:rPr>
          <w:rFonts w:ascii="Times New Roman" w:eastAsia="Times New Roman" w:hAnsi="Times New Roman" w:cs="Times New Roman"/>
          <w:sz w:val="18"/>
          <w:szCs w:val="18"/>
          <w:lang w:val="en-US"/>
        </w:rPr>
        <w:t>laptop</w:t>
      </w:r>
      <w:r w:rsidR="002F361B">
        <w:rPr>
          <w:rFonts w:ascii="Times New Roman" w:eastAsia="Times New Roman" w:hAnsi="Times New Roman" w:cs="Times New Roman"/>
          <w:sz w:val="18"/>
          <w:szCs w:val="18"/>
          <w:lang w:val="en-US"/>
        </w:rPr>
        <w:t xml:space="preserve"> or </w:t>
      </w:r>
      <w:r w:rsidR="00824FF1" w:rsidRPr="002D1F1A">
        <w:rPr>
          <w:rFonts w:ascii="Times New Roman" w:eastAsia="Times New Roman" w:hAnsi="Times New Roman" w:cs="Times New Roman"/>
          <w:sz w:val="18"/>
          <w:szCs w:val="18"/>
          <w:lang w:val="en-US"/>
        </w:rPr>
        <w:t>PC</w:t>
      </w:r>
      <w:r w:rsidR="0023010C" w:rsidRPr="002D1F1A">
        <w:rPr>
          <w:rFonts w:ascii="Times New Roman" w:eastAsia="Times New Roman" w:hAnsi="Times New Roman" w:cs="Times New Roman"/>
          <w:sz w:val="18"/>
          <w:szCs w:val="18"/>
          <w:lang w:val="en-US"/>
        </w:rPr>
        <w:t>'</w:t>
      </w:r>
      <w:r w:rsidR="00341A46" w:rsidRPr="002D1F1A">
        <w:rPr>
          <w:rFonts w:ascii="Times New Roman" w:eastAsia="Times New Roman" w:hAnsi="Times New Roman" w:cs="Times New Roman"/>
          <w:sz w:val="18"/>
          <w:szCs w:val="18"/>
          <w:lang w:val="en-US"/>
        </w:rPr>
        <w:t>s processor spe</w:t>
      </w:r>
      <w:r w:rsidR="0002333C" w:rsidRPr="002D1F1A">
        <w:rPr>
          <w:rFonts w:ascii="Times New Roman" w:eastAsia="Times New Roman" w:hAnsi="Times New Roman" w:cs="Times New Roman"/>
          <w:sz w:val="18"/>
          <w:szCs w:val="18"/>
          <w:lang w:val="en-US"/>
        </w:rPr>
        <w:t>c</w:t>
      </w:r>
      <w:r w:rsidR="00341A46" w:rsidRPr="002D1F1A">
        <w:rPr>
          <w:rFonts w:ascii="Times New Roman" w:eastAsia="Times New Roman" w:hAnsi="Times New Roman" w:cs="Times New Roman"/>
          <w:sz w:val="18"/>
          <w:szCs w:val="18"/>
          <w:lang w:val="en-US"/>
        </w:rPr>
        <w:t xml:space="preserve">ification </w:t>
      </w:r>
      <w:r w:rsidR="00824FF1" w:rsidRPr="002D1F1A">
        <w:rPr>
          <w:rFonts w:ascii="Times New Roman" w:eastAsia="Times New Roman" w:hAnsi="Times New Roman" w:cs="Times New Roman"/>
          <w:sz w:val="18"/>
          <w:szCs w:val="18"/>
          <w:lang w:val="en-US"/>
        </w:rPr>
        <w:t>(b)</w:t>
      </w:r>
      <w:r w:rsidR="00824FF1" w:rsidRPr="002D1F1A">
        <w:rPr>
          <w:rFonts w:ascii="Times New Roman" w:eastAsia="Times New Roman" w:hAnsi="Times New Roman" w:cs="Times New Roman"/>
          <w:lang w:val="en-US"/>
        </w:rPr>
        <w:t>.</w:t>
      </w:r>
    </w:p>
    <w:p w14:paraId="1D8A9BBD" w14:textId="6FA3B9E2" w:rsidR="00FC7BEC" w:rsidRPr="002D1F1A" w:rsidRDefault="004A35BA" w:rsidP="00C23D2A">
      <w:pPr>
        <w:pStyle w:val="Heading3"/>
        <w:keepLines/>
        <w:numPr>
          <w:ilvl w:val="0"/>
          <w:numId w:val="0"/>
        </w:numPr>
        <w:spacing w:after="240"/>
        <w:ind w:left="720" w:hanging="720"/>
        <w:jc w:val="center"/>
        <w:rPr>
          <w:rFonts w:ascii="Times New Roman" w:eastAsia="Times New Roman" w:hAnsi="Times New Roman" w:cs="Times New Roman"/>
          <w:bCs w:val="0"/>
          <w:iCs/>
          <w:sz w:val="22"/>
          <w:szCs w:val="22"/>
          <w:lang w:val="en-US"/>
        </w:rPr>
      </w:pPr>
      <w:r w:rsidRPr="002D1F1A">
        <w:rPr>
          <w:rFonts w:ascii="Times New Roman" w:eastAsia="Times New Roman" w:hAnsi="Times New Roman" w:cs="Times New Roman"/>
          <w:bCs w:val="0"/>
          <w:iCs/>
          <w:sz w:val="22"/>
          <w:szCs w:val="22"/>
          <w:lang w:val="en-US"/>
        </w:rPr>
        <w:lastRenderedPageBreak/>
        <w:t>Hardware</w:t>
      </w:r>
    </w:p>
    <w:p w14:paraId="1560C3B0" w14:textId="62D8286D" w:rsidR="00337F52" w:rsidRPr="002D1F1A" w:rsidRDefault="00310568" w:rsidP="0054336E">
      <w:pPr>
        <w:ind w:firstLine="284"/>
        <w:jc w:val="both"/>
        <w:rPr>
          <w:rFonts w:ascii="Times New Roman" w:eastAsia="Times New Roman" w:hAnsi="Times New Roman" w:cs="Times New Roman"/>
          <w:sz w:val="20"/>
          <w:szCs w:val="20"/>
          <w:lang w:val="en-US"/>
        </w:rPr>
      </w:pPr>
      <w:r w:rsidRPr="00310568">
        <w:rPr>
          <w:rFonts w:ascii="Times New Roman" w:eastAsia="Times New Roman" w:hAnsi="Times New Roman" w:cs="Times New Roman"/>
          <w:sz w:val="20"/>
          <w:szCs w:val="20"/>
          <w:lang w:val="en-US"/>
        </w:rPr>
        <w:t xml:space="preserve">Developing </w:t>
      </w:r>
      <w:r w:rsidR="00FC411A">
        <w:rPr>
          <w:rFonts w:ascii="Times New Roman" w:eastAsia="Times New Roman" w:hAnsi="Times New Roman" w:cs="Times New Roman"/>
          <w:sz w:val="20"/>
          <w:szCs w:val="20"/>
          <w:lang w:val="en-US"/>
        </w:rPr>
        <w:t>l</w:t>
      </w:r>
      <w:r w:rsidRPr="00310568">
        <w:rPr>
          <w:rFonts w:ascii="Times New Roman" w:eastAsia="Times New Roman" w:hAnsi="Times New Roman" w:cs="Times New Roman"/>
          <w:sz w:val="20"/>
          <w:szCs w:val="20"/>
          <w:lang w:val="en-US"/>
        </w:rPr>
        <w:t>earning media for asynchronous and synchronous meetings requires a laptop or PC with high-end specifications, emphasizing the processors. Video audio editing requires a processor of at least Intel Core i5 or AMD Ryzen 5. In developing simulations, augmented reality, and virtual reality, a minimum of Intel Core i7 or AMD Ryzen 7 processors are required. Figure 1(b) shows the respondent's ownership of a laptop or PC. 23% of respondents own a laptop or PC with an Intel Core i3 or AMD Ryzen 3 processor, and 4% with a processor specification below Intel Core i3. These two processors can only support making simple and basic video presentations, like using Microsoft PowerPoint.</w:t>
      </w:r>
    </w:p>
    <w:p w14:paraId="3DB7F383" w14:textId="789514EB" w:rsidR="00FC7BEC" w:rsidRPr="002D1F1A" w:rsidRDefault="00F035D3" w:rsidP="00C23D2A">
      <w:pPr>
        <w:pStyle w:val="Heading3"/>
        <w:keepLines/>
        <w:numPr>
          <w:ilvl w:val="0"/>
          <w:numId w:val="0"/>
        </w:numPr>
        <w:spacing w:after="240"/>
        <w:ind w:left="720" w:hanging="720"/>
        <w:jc w:val="center"/>
        <w:rPr>
          <w:rFonts w:ascii="Times New Roman" w:eastAsia="Times New Roman" w:hAnsi="Times New Roman" w:cs="Times New Roman"/>
          <w:bCs w:val="0"/>
          <w:iCs/>
          <w:sz w:val="24"/>
          <w:szCs w:val="24"/>
          <w:lang w:val="en-US"/>
        </w:rPr>
      </w:pPr>
      <w:r w:rsidRPr="002D1F1A">
        <w:rPr>
          <w:rFonts w:ascii="Times New Roman" w:eastAsia="Times New Roman" w:hAnsi="Times New Roman" w:cs="Times New Roman"/>
          <w:bCs w:val="0"/>
          <w:iCs/>
          <w:sz w:val="24"/>
          <w:szCs w:val="24"/>
          <w:lang w:val="en-US"/>
        </w:rPr>
        <w:t xml:space="preserve">Cloud-Based </w:t>
      </w:r>
      <w:r w:rsidR="009B57EC">
        <w:rPr>
          <w:rFonts w:ascii="Times New Roman" w:eastAsia="Times New Roman" w:hAnsi="Times New Roman" w:cs="Times New Roman"/>
          <w:bCs w:val="0"/>
          <w:iCs/>
          <w:sz w:val="24"/>
          <w:szCs w:val="24"/>
          <w:lang w:val="en-US"/>
        </w:rPr>
        <w:t xml:space="preserve">Productivity Tools </w:t>
      </w:r>
      <w:r w:rsidR="00E57726" w:rsidRPr="002D1F1A">
        <w:rPr>
          <w:rFonts w:ascii="Times New Roman" w:eastAsia="Times New Roman" w:hAnsi="Times New Roman" w:cs="Times New Roman"/>
          <w:bCs w:val="0"/>
          <w:iCs/>
          <w:sz w:val="24"/>
          <w:szCs w:val="24"/>
          <w:lang w:val="en-US"/>
        </w:rPr>
        <w:t>and</w:t>
      </w:r>
      <w:r w:rsidRPr="002D1F1A">
        <w:rPr>
          <w:rFonts w:ascii="Times New Roman" w:eastAsia="Times New Roman" w:hAnsi="Times New Roman" w:cs="Times New Roman"/>
          <w:bCs w:val="0"/>
          <w:iCs/>
          <w:sz w:val="24"/>
          <w:szCs w:val="24"/>
          <w:lang w:val="en-US"/>
        </w:rPr>
        <w:t xml:space="preserve"> </w:t>
      </w:r>
      <w:r w:rsidR="00310568" w:rsidRPr="002D1F1A">
        <w:rPr>
          <w:rFonts w:ascii="Times New Roman" w:eastAsia="Times New Roman" w:hAnsi="Times New Roman" w:cs="Times New Roman"/>
          <w:bCs w:val="0"/>
          <w:iCs/>
          <w:sz w:val="24"/>
          <w:szCs w:val="24"/>
          <w:lang w:val="en-US"/>
        </w:rPr>
        <w:t>Application</w:t>
      </w:r>
      <w:r w:rsidR="00310568">
        <w:rPr>
          <w:rFonts w:ascii="Times New Roman" w:eastAsia="Times New Roman" w:hAnsi="Times New Roman" w:cs="Times New Roman"/>
          <w:bCs w:val="0"/>
          <w:iCs/>
          <w:sz w:val="24"/>
          <w:szCs w:val="24"/>
          <w:lang w:val="en-US"/>
        </w:rPr>
        <w:t xml:space="preserve"> Services</w:t>
      </w:r>
    </w:p>
    <w:p w14:paraId="53333861" w14:textId="2C7791B9" w:rsidR="00D33432" w:rsidRDefault="00334090" w:rsidP="00BF5056">
      <w:pPr>
        <w:ind w:firstLine="284"/>
        <w:jc w:val="both"/>
        <w:rPr>
          <w:rFonts w:ascii="Times New Roman" w:eastAsia="Times New Roman" w:hAnsi="Times New Roman" w:cs="Times New Roman"/>
          <w:sz w:val="20"/>
          <w:szCs w:val="20"/>
          <w:lang w:val="en-US"/>
        </w:rPr>
      </w:pPr>
      <w:r w:rsidRPr="00334090">
        <w:rPr>
          <w:rFonts w:ascii="Times New Roman" w:hAnsi="Times New Roman" w:cs="Times New Roman"/>
          <w:sz w:val="20"/>
          <w:szCs w:val="20"/>
          <w:lang w:val="en-US"/>
        </w:rPr>
        <w:t>Today, many education systems integrated themselves with cloud-based productivity tools, applications, and services, such as Microsoft 365, Google Workspace, and the like</w:t>
      </w:r>
      <w:r w:rsidR="00BF5056" w:rsidRPr="002D1F1A">
        <w:rPr>
          <w:rFonts w:ascii="Times New Roman" w:eastAsia="Times New Roman" w:hAnsi="Times New Roman" w:cs="Times New Roman"/>
          <w:sz w:val="20"/>
          <w:szCs w:val="20"/>
          <w:lang w:val="en-US"/>
        </w:rPr>
        <w:fldChar w:fldCharType="begin" w:fldLock="1"/>
      </w:r>
      <w:r w:rsidR="00BF5056" w:rsidRPr="002D1F1A">
        <w:rPr>
          <w:rFonts w:ascii="Times New Roman" w:eastAsia="Times New Roman" w:hAnsi="Times New Roman" w:cs="Times New Roman"/>
          <w:sz w:val="20"/>
          <w:szCs w:val="20"/>
          <w:lang w:val="en-US"/>
        </w:rPr>
        <w:instrText>ADDIN CSL_CITATION {"citationItems":[{"id":"ITEM-1","itemData":{"DOI":"10.1016/j.ece.2021.01.008","ISSN":"17497728","abstract":"Teaching laboratories form an essential component of any engineering education. They enable students to participate in various stages of experiential learning including conceptualization and experimentation followed by reflection, analysis and interpretation of data. However, operating teaching laboratories with social distancing measures poses significant logistical and safety challenges, and alternative modes of delivery may be a realistic way forward in adapting engineering curricula to the post COVID-19 world. Best practices from spaces such as distance learning and virtual / remote laboratories can be leveraged to facilitate educators’ responses. This review is aimed at identifying evidence-based approaches for transforming hands-on labs into virtual or remote operation to achieve desired learning outcomes without compromising on soft skills and student self-efficacy. A critical review of the recent literature on delivering STEMM education laboratories in either a virtual or remote setting or a combination of both is presented here. Commonly emerging approaches are identified and strategies to implement remote or mixed-mode (a combination of remote and traditional lab components) delivery are highlighted. The value of these approaches to the educator is assessed based on claimed learning outcomes, availability of resources, technology, scheduling, and cost factors.","author":[{"dropping-particle":"","family":"Bhute","given":"Vijesh J.","non-dropping-particle":"","parse-names":false,"suffix":""},{"dropping-particle":"","family":"Inguva","given":"Pavan","non-dropping-particle":"","parse-names":false,"suffix":""},{"dropping-particle":"","family":"Shah","given":"Umang","non-dropping-particle":"","parse-names":false,"suffix":""},{"dropping-particle":"","family":"Brechtelsbauer","given":"Clemens","non-dropping-particle":"","parse-names":false,"suffix":""}],"container-title":"Education for Chemical Engineers","id":"ITEM-1","issued":{"date-parts":[["2021"]]},"page":"96-104","publisher":"Institution of Chemical Engineers","title":"Transforming traditional teaching laboratories for effective remote delivery-A review","type":"article-journal","volume":"35"},"uris":["http://www.mendeley.com/documents/?uuid=76385956-973a-4b0c-8550-2b7e2414ed80"]}],"mendeley":{"formattedCitation":"&lt;sup&gt;7&lt;/sup&gt;","plainTextFormattedCitation":"7","previouslyFormattedCitation":"&lt;sup&gt;7&lt;/sup&gt;"},"properties":{"noteIndex":0},"schema":"https://github.com/citation-style-language/schema/raw/master/csl-citation.json"}</w:instrText>
      </w:r>
      <w:r w:rsidR="00BF5056" w:rsidRPr="002D1F1A">
        <w:rPr>
          <w:rFonts w:ascii="Times New Roman" w:eastAsia="Times New Roman" w:hAnsi="Times New Roman" w:cs="Times New Roman"/>
          <w:sz w:val="20"/>
          <w:szCs w:val="20"/>
          <w:lang w:val="en-US"/>
        </w:rPr>
        <w:fldChar w:fldCharType="separate"/>
      </w:r>
      <w:r w:rsidR="00BF5056" w:rsidRPr="002D1F1A">
        <w:rPr>
          <w:rFonts w:ascii="Times New Roman" w:eastAsia="Times New Roman" w:hAnsi="Times New Roman" w:cs="Times New Roman"/>
          <w:noProof/>
          <w:sz w:val="20"/>
          <w:szCs w:val="20"/>
          <w:vertAlign w:val="superscript"/>
          <w:lang w:val="en-US"/>
        </w:rPr>
        <w:t>7</w:t>
      </w:r>
      <w:r w:rsidR="00BF5056" w:rsidRPr="002D1F1A">
        <w:rPr>
          <w:rFonts w:ascii="Times New Roman" w:eastAsia="Times New Roman" w:hAnsi="Times New Roman" w:cs="Times New Roman"/>
          <w:sz w:val="20"/>
          <w:szCs w:val="20"/>
          <w:lang w:val="en-US"/>
        </w:rPr>
        <w:fldChar w:fldCharType="end"/>
      </w:r>
      <w:r w:rsidR="00BF5056" w:rsidRPr="002D1F1A">
        <w:rPr>
          <w:rFonts w:ascii="Times New Roman" w:eastAsia="Times New Roman" w:hAnsi="Times New Roman" w:cs="Times New Roman"/>
          <w:sz w:val="20"/>
          <w:szCs w:val="20"/>
          <w:lang w:val="en-US"/>
        </w:rPr>
        <w:t xml:space="preserve">. </w:t>
      </w:r>
      <w:r w:rsidR="00BF5056" w:rsidRPr="002D1F1A">
        <w:rPr>
          <w:rFonts w:ascii="Times New Roman" w:hAnsi="Times New Roman" w:cs="Times New Roman"/>
          <w:sz w:val="20"/>
          <w:szCs w:val="20"/>
          <w:lang w:val="en-US"/>
        </w:rPr>
        <w:t>The use of cloud technology will make it easier for lecturers to store files and documents, communicate effectively, and brings portability to learning media. Many lecturers have used this technology to support their teaching and learning activities.</w:t>
      </w:r>
      <w:r>
        <w:rPr>
          <w:rFonts w:ascii="Times New Roman" w:hAnsi="Times New Roman" w:cs="Times New Roman"/>
          <w:sz w:val="20"/>
          <w:szCs w:val="20"/>
          <w:lang w:val="en-US"/>
        </w:rPr>
        <w:t xml:space="preserve"> </w:t>
      </w:r>
      <w:r w:rsidRPr="00334090">
        <w:rPr>
          <w:rFonts w:ascii="Times New Roman" w:hAnsi="Times New Roman" w:cs="Times New Roman"/>
          <w:sz w:val="20"/>
          <w:szCs w:val="20"/>
          <w:lang w:val="en-US"/>
        </w:rPr>
        <w:t>These cloud-based productivity tools also promote collaborati</w:t>
      </w:r>
      <w:r>
        <w:rPr>
          <w:rFonts w:ascii="Times New Roman" w:hAnsi="Times New Roman" w:cs="Times New Roman"/>
          <w:sz w:val="20"/>
          <w:szCs w:val="20"/>
          <w:lang w:val="en-US"/>
        </w:rPr>
        <w:t>on</w:t>
      </w:r>
      <w:r w:rsidRPr="00334090">
        <w:rPr>
          <w:rFonts w:ascii="Times New Roman" w:hAnsi="Times New Roman" w:cs="Times New Roman"/>
          <w:sz w:val="20"/>
          <w:szCs w:val="20"/>
          <w:lang w:val="en-US"/>
        </w:rPr>
        <w:t xml:space="preserve"> in a blended learning setup</w:t>
      </w:r>
      <w:r w:rsidR="003062E2">
        <w:rPr>
          <w:rFonts w:ascii="Times New Roman" w:hAnsi="Times New Roman" w:cs="Times New Roman"/>
          <w:sz w:val="20"/>
          <w:szCs w:val="20"/>
          <w:lang w:val="en-US"/>
        </w:rPr>
        <w:fldChar w:fldCharType="begin" w:fldLock="1"/>
      </w:r>
      <w:r w:rsidR="008726A6">
        <w:rPr>
          <w:rFonts w:ascii="Times New Roman" w:hAnsi="Times New Roman" w:cs="Times New Roman"/>
          <w:sz w:val="20"/>
          <w:szCs w:val="20"/>
          <w:lang w:val="en-US"/>
        </w:rPr>
        <w:instrText>ADDIN CSL_CITATION {"citationItems":[{"id":"ITEM-1","itemData":{"DOI":"10.1016/j.compedu.2018.05.016","ISSN":"03601315","abstract":"The use of online collaborative learning activities has been notably supported by cloud computing. Although specific reference has been made to a certain online application or service, there has been no clear understanding of how different cloud computing tools have shaped the concept of collaborative learning, and the extent to which these resources are accessible to today's students. Thus, a review of the literature was conducted to identify studies on cloud computing tools for collaborative learning in a blended classroom. The review of the literature led to the inclusion of 29 relevant studies categorized as synchronized tools, Learning Management System (LMS) tools, and social networking tools. The review results revealed a set of evidences supporting the use of certain cloud computing tools for certain collaborative learning activities categorized under sharing, editing, communication and discussion. The key opportunities and challenges associated with the use of these tools in a blended learning context were also identified and discussed. Findings from this study will certainly help academicians, practitioners and researchers to understand the potential of using cloud computing environments from a wider perspective.","author":[{"dropping-particle":"","family":"Al-Samarraie","given":"Hosam","non-dropping-particle":"","parse-names":false,"suffix":""},{"dropping-particle":"","family":"Saeed","given":"Noria","non-dropping-particle":"","parse-names":false,"suffix":""}],"container-title":"Computers and Education","id":"ITEM-1","issue":"May","issued":{"date-parts":[["2018"]]},"page":"77-91","publisher":"Elsevier","title":"A systematic review of cloud computing tools for collaborative learning: Opportunities and challenges to the blended-learning environment","type":"article-journal","volume":"124"},"uris":["http://www.mendeley.com/documents/?uuid=1a002318-79cd-491c-a200-e364546c8fcf"]},{"id":"ITEM-2","itemData":{"DOI":"10.1016/j.jacr.2013.11.021","ISSN":"1558349X","PMID":"24674716","abstract":"It is an opportune time for radiologists to focus on personal productivity. The ever increasing reliance on computers and the Internet has significantly changed the way we work. Myriad software applications are available to help us improve our personal efficiency. In this article, the authors discuss some tools that help improve collaboration and personal productivity, maximize e-learning, and protect valuable digital data.","author":[{"dropping-particle":"","family":"Lackey","given":"Amanda E.","non-dropping-particle":"","parse-names":false,"suffix":""},{"dropping-particle":"","family":"Pandey","given":"Tarun","non-dropping-particle":"","parse-names":false,"suffix":""},{"dropping-particle":"","family":"Moshiri","given":"Mariam","non-dropping-particle":"","parse-names":false,"suffix":""},{"dropping-particle":"","family":"Lalwani","given":"Neeraj","non-dropping-particle":"","parse-names":false,"suffix":""},{"dropping-particle":"","family":"Lall","given":"Chandana","non-dropping-particle":"","parse-names":false,"suffix":""},{"dropping-particle":"","family":"Bhargava","given":"Puneet","non-dropping-particle":"","parse-names":false,"suffix":""}],"container-title":"Journal of the American College of Radiology","id":"ITEM-2","issue":"6","issued":{"date-parts":[["2014"]]},"page":"580-588","publisher":"Elsevier Inc","title":"Productivity, part 2: Cloud storage, remote meeting tools, screencasting, speech recognition software, password managers, and online data backup","type":"article-journal","volume":"11"},"uris":["http://www.mendeley.com/documents/?uuid=967d5a0d-13ec-4530-8bf9-d559fc8ff4dc"]}],"mendeley":{"formattedCitation":"&lt;sup&gt;9,10&lt;/sup&gt;","plainTextFormattedCitation":"9,10","previouslyFormattedCitation":"&lt;sup&gt;9,10&lt;/sup&gt;"},"properties":{"noteIndex":0},"schema":"https://github.com/citation-style-language/schema/raw/master/csl-citation.json"}</w:instrText>
      </w:r>
      <w:r w:rsidR="003062E2">
        <w:rPr>
          <w:rFonts w:ascii="Times New Roman" w:hAnsi="Times New Roman" w:cs="Times New Roman"/>
          <w:sz w:val="20"/>
          <w:szCs w:val="20"/>
          <w:lang w:val="en-US"/>
        </w:rPr>
        <w:fldChar w:fldCharType="separate"/>
      </w:r>
      <w:r w:rsidR="003062E2" w:rsidRPr="003062E2">
        <w:rPr>
          <w:rFonts w:ascii="Times New Roman" w:hAnsi="Times New Roman" w:cs="Times New Roman"/>
          <w:noProof/>
          <w:sz w:val="20"/>
          <w:szCs w:val="20"/>
          <w:vertAlign w:val="superscript"/>
          <w:lang w:val="en-US"/>
        </w:rPr>
        <w:t>9,10</w:t>
      </w:r>
      <w:r w:rsidR="003062E2">
        <w:rPr>
          <w:rFonts w:ascii="Times New Roman" w:hAnsi="Times New Roman" w:cs="Times New Roman"/>
          <w:sz w:val="20"/>
          <w:szCs w:val="20"/>
          <w:lang w:val="en-US"/>
        </w:rPr>
        <w:fldChar w:fldCharType="end"/>
      </w:r>
      <w:r w:rsidR="003062E2">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Pr="002D1F1A">
        <w:rPr>
          <w:rFonts w:ascii="Times New Roman" w:hAnsi="Times New Roman" w:cs="Times New Roman"/>
          <w:sz w:val="20"/>
          <w:szCs w:val="20"/>
          <w:lang w:val="en-US"/>
        </w:rPr>
        <w:t>Students can use cloud-based software and services to do collaborative work, such as compiling lab reports in groups, sharing photos of practical activities, and the like</w:t>
      </w:r>
      <w:r w:rsidRPr="002D1F1A">
        <w:rPr>
          <w:rFonts w:ascii="Times New Roman" w:eastAsia="Times New Roman" w:hAnsi="Times New Roman" w:cs="Times New Roman"/>
          <w:sz w:val="20"/>
          <w:szCs w:val="20"/>
          <w:lang w:val="en-US"/>
        </w:rPr>
        <w:fldChar w:fldCharType="begin" w:fldLock="1"/>
      </w:r>
      <w:r w:rsidRPr="002D1F1A">
        <w:rPr>
          <w:rFonts w:ascii="Times New Roman" w:eastAsia="Times New Roman" w:hAnsi="Times New Roman" w:cs="Times New Roman"/>
          <w:sz w:val="20"/>
          <w:szCs w:val="20"/>
          <w:lang w:val="en-US"/>
        </w:rPr>
        <w:instrText>ADDIN CSL_CITATION {"citationItems":[{"id":"ITEM-1","itemData":{"DOI":"10.1016/j.ece.2021.01.008","ISSN":"17497728","abstract":"Teaching laboratories form an essential component of any engineering education. They enable students to participate in various stages of experiential learning including conceptualization and experimentation followed by reflection, analysis and interpretation of data. However, operating teaching laboratories with social distancing measures poses significant logistical and safety challenges, and alternative modes of delivery may be a realistic way forward in adapting engineering curricula to the post COVID-19 world. Best practices from spaces such as distance learning and virtual / remote laboratories can be leveraged to facilitate educators’ responses. This review is aimed at identifying evidence-based approaches for transforming hands-on labs into virtual or remote operation to achieve desired learning outcomes without compromising on soft skills and student self-efficacy. A critical review of the recent literature on delivering STEMM education laboratories in either a virtual or remote setting or a combination of both is presented here. Commonly emerging approaches are identified and strategies to implement remote or mixed-mode (a combination of remote and traditional lab components) delivery are highlighted. The value of these approaches to the educator is assessed based on claimed learning outcomes, availability of resources, technology, scheduling, and cost factors.","author":[{"dropping-particle":"","family":"Bhute","given":"Vijesh J.","non-dropping-particle":"","parse-names":false,"suffix":""},{"dropping-particle":"","family":"Inguva","given":"Pavan","non-dropping-particle":"","parse-names":false,"suffix":""},{"dropping-particle":"","family":"Shah","given":"Umang","non-dropping-particle":"","parse-names":false,"suffix":""},{"dropping-particle":"","family":"Brechtelsbauer","given":"Clemens","non-dropping-particle":"","parse-names":false,"suffix":""}],"container-title":"Education for Chemical Engineers","id":"ITEM-1","issued":{"date-parts":[["2021"]]},"page":"96-104","publisher":"Institution of Chemical Engineers","title":"Transforming traditional teaching laboratories for effective remote delivery-A review","type":"article-journal","volume":"35"},"uris":["http://www.mendeley.com/documents/?uuid=76385956-973a-4b0c-8550-2b7e2414ed80"]}],"mendeley":{"formattedCitation":"&lt;sup&gt;7&lt;/sup&gt;","plainTextFormattedCitation":"7","previouslyFormattedCitation":"&lt;sup&gt;7&lt;/sup&gt;"},"properties":{"noteIndex":0},"schema":"https://github.com/citation-style-language/schema/raw/master/csl-citation.json"}</w:instrText>
      </w:r>
      <w:r w:rsidRPr="002D1F1A">
        <w:rPr>
          <w:rFonts w:ascii="Times New Roman" w:eastAsia="Times New Roman" w:hAnsi="Times New Roman" w:cs="Times New Roman"/>
          <w:sz w:val="20"/>
          <w:szCs w:val="20"/>
          <w:lang w:val="en-US"/>
        </w:rPr>
        <w:fldChar w:fldCharType="separate"/>
      </w:r>
      <w:r w:rsidRPr="002D1F1A">
        <w:rPr>
          <w:rFonts w:ascii="Times New Roman" w:eastAsia="Times New Roman" w:hAnsi="Times New Roman" w:cs="Times New Roman"/>
          <w:noProof/>
          <w:sz w:val="20"/>
          <w:szCs w:val="20"/>
          <w:vertAlign w:val="superscript"/>
          <w:lang w:val="en-US"/>
        </w:rPr>
        <w:t>7</w:t>
      </w:r>
      <w:r w:rsidRPr="002D1F1A">
        <w:rPr>
          <w:rFonts w:ascii="Times New Roman" w:eastAsia="Times New Roman" w:hAnsi="Times New Roman" w:cs="Times New Roman"/>
          <w:sz w:val="20"/>
          <w:szCs w:val="20"/>
          <w:lang w:val="en-US"/>
        </w:rPr>
        <w:fldChar w:fldCharType="end"/>
      </w:r>
      <w:r w:rsidRPr="002D1F1A">
        <w:rPr>
          <w:rFonts w:ascii="Times New Roman" w:eastAsia="Times New Roman" w:hAnsi="Times New Roman" w:cs="Times New Roman"/>
          <w:sz w:val="20"/>
          <w:szCs w:val="20"/>
          <w:lang w:val="en-US"/>
        </w:rPr>
        <w:t xml:space="preserve">. </w:t>
      </w:r>
      <w:r w:rsidRPr="002D1F1A">
        <w:rPr>
          <w:rFonts w:ascii="Times New Roman" w:hAnsi="Times New Roman" w:cs="Times New Roman"/>
          <w:sz w:val="20"/>
          <w:szCs w:val="20"/>
          <w:lang w:val="en-US"/>
        </w:rPr>
        <w:t>Lecturers can also provide feedback on students' collaborative work</w:t>
      </w:r>
      <w:r>
        <w:rPr>
          <w:rFonts w:ascii="Times New Roman" w:hAnsi="Times New Roman" w:cs="Times New Roman"/>
          <w:sz w:val="20"/>
          <w:szCs w:val="20"/>
          <w:lang w:val="en-US"/>
        </w:rPr>
        <w:t xml:space="preserve">. </w:t>
      </w:r>
      <w:r w:rsidR="009908A6">
        <w:t xml:space="preserve">Other </w:t>
      </w:r>
      <w:r w:rsidR="00BF5056" w:rsidRPr="002D1F1A">
        <w:rPr>
          <w:rFonts w:ascii="Times New Roman" w:hAnsi="Times New Roman" w:cs="Times New Roman"/>
          <w:sz w:val="20"/>
          <w:szCs w:val="20"/>
          <w:lang w:val="en-US"/>
        </w:rPr>
        <w:t xml:space="preserve">advantages of cloud-based </w:t>
      </w:r>
      <w:r w:rsidR="009908A6">
        <w:rPr>
          <w:rFonts w:ascii="Times New Roman" w:hAnsi="Times New Roman" w:cs="Times New Roman"/>
          <w:sz w:val="20"/>
          <w:szCs w:val="20"/>
          <w:lang w:val="en-US"/>
        </w:rPr>
        <w:t>applications</w:t>
      </w:r>
      <w:r w:rsidR="00BF5056" w:rsidRPr="002D1F1A">
        <w:rPr>
          <w:rFonts w:ascii="Times New Roman" w:hAnsi="Times New Roman" w:cs="Times New Roman"/>
          <w:sz w:val="20"/>
          <w:szCs w:val="20"/>
          <w:lang w:val="en-US"/>
        </w:rPr>
        <w:t xml:space="preserve"> </w:t>
      </w:r>
      <w:r w:rsidR="009908A6">
        <w:rPr>
          <w:rFonts w:ascii="Times New Roman" w:hAnsi="Times New Roman" w:cs="Times New Roman"/>
          <w:sz w:val="20"/>
          <w:szCs w:val="20"/>
          <w:lang w:val="en-US"/>
        </w:rPr>
        <w:t>and</w:t>
      </w:r>
      <w:r w:rsidR="00BF5056" w:rsidRPr="002D1F1A">
        <w:rPr>
          <w:rFonts w:ascii="Times New Roman" w:hAnsi="Times New Roman" w:cs="Times New Roman"/>
          <w:sz w:val="20"/>
          <w:szCs w:val="20"/>
          <w:lang w:val="en-US"/>
        </w:rPr>
        <w:t xml:space="preserve"> services are mobility, ease of access, cost-effectiveness, better means of communication, wide usage, and time saving</w:t>
      </w:r>
      <w:r w:rsidR="00BF5056" w:rsidRPr="002D1F1A">
        <w:rPr>
          <w:rFonts w:ascii="Times New Roman" w:eastAsia="Times New Roman" w:hAnsi="Times New Roman" w:cs="Times New Roman"/>
          <w:sz w:val="20"/>
          <w:szCs w:val="20"/>
          <w:lang w:val="en-US"/>
        </w:rPr>
        <w:fldChar w:fldCharType="begin" w:fldLock="1"/>
      </w:r>
      <w:r w:rsidR="00BF5056" w:rsidRPr="002D1F1A">
        <w:rPr>
          <w:rFonts w:ascii="Times New Roman" w:eastAsia="Times New Roman" w:hAnsi="Times New Roman" w:cs="Times New Roman"/>
          <w:sz w:val="20"/>
          <w:szCs w:val="20"/>
          <w:lang w:val="en-US"/>
        </w:rPr>
        <w:instrText>ADDIN CSL_CITATION {"citationItems":[{"id":"ITEM-1","itemData":{"DOI":"10.1016/j.amsu.2021.01.051","ISSN":"20490801","abstract":"Students often feel overwhelmed by the volume and complexity of knowledge and skills required to learn. Along with this challange, educational technology has been gradually introduced in medical education to facilitate learning and improve outcomes. It became an essential part of communication, storing and transferring information, audio-visual media use and production, and knowledge sharing. Technology's role has been expanding from a mere tool of study and inquiry to an approach and integrated use in education. Its use in medical education is continuously evolving. However, the impact and optimal use of various technology applications are not clearly defined. There are multiple challenges facing educators to choose the right application for the specific educational purpose. Hence, studies and evaluation reviews are needed to inform the better-defined use of educational technology. This review aims to discuss and evaluate various educational technology applications in medical education, focusing on interactive learning during lectures. Lectures and other group learning sessions are common activities used by medical schools. Promoting interactive learning in large groups is known to be challenging. The advances in technology to facilitate communication and promote interaction is a promising adjunct for lectures interactivity.","author":[{"dropping-particle":"","family":"Tuma","given":"Faiz","non-dropping-particle":"","parse-names":false,"suffix":""}],"container-title":"Annals of Medicine and Surgery","id":"ITEM-1","issue":"January","issued":{"date-parts":[["2021"]]},"page":"231-235","publisher":"Elsevier Ltd","title":"The use of educational technology for interactive teaching in lectures","type":"article-journal","volume":"62"},"uris":["http://www.mendeley.com/documents/?uuid=15e021f2-9aca-4174-9edb-84b6692bc177"]}],"mendeley":{"formattedCitation":"&lt;sup&gt;4&lt;/sup&gt;","plainTextFormattedCitation":"4","previouslyFormattedCitation":"&lt;sup&gt;4&lt;/sup&gt;"},"properties":{"noteIndex":0},"schema":"https://github.com/citation-style-language/schema/raw/master/csl-citation.json"}</w:instrText>
      </w:r>
      <w:r w:rsidR="00BF5056" w:rsidRPr="002D1F1A">
        <w:rPr>
          <w:rFonts w:ascii="Times New Roman" w:eastAsia="Times New Roman" w:hAnsi="Times New Roman" w:cs="Times New Roman"/>
          <w:sz w:val="20"/>
          <w:szCs w:val="20"/>
          <w:lang w:val="en-US"/>
        </w:rPr>
        <w:fldChar w:fldCharType="separate"/>
      </w:r>
      <w:r w:rsidR="00BF5056" w:rsidRPr="002D1F1A">
        <w:rPr>
          <w:rFonts w:ascii="Times New Roman" w:eastAsia="Times New Roman" w:hAnsi="Times New Roman" w:cs="Times New Roman"/>
          <w:noProof/>
          <w:sz w:val="20"/>
          <w:szCs w:val="20"/>
          <w:vertAlign w:val="superscript"/>
          <w:lang w:val="en-US"/>
        </w:rPr>
        <w:t>4</w:t>
      </w:r>
      <w:r w:rsidR="00BF5056" w:rsidRPr="002D1F1A">
        <w:rPr>
          <w:rFonts w:ascii="Times New Roman" w:eastAsia="Times New Roman" w:hAnsi="Times New Roman" w:cs="Times New Roman"/>
          <w:sz w:val="20"/>
          <w:szCs w:val="20"/>
          <w:lang w:val="en-US"/>
        </w:rPr>
        <w:fldChar w:fldCharType="end"/>
      </w:r>
      <w:r w:rsidR="00BF5056" w:rsidRPr="002D1F1A">
        <w:rPr>
          <w:rFonts w:ascii="Times New Roman" w:eastAsia="Times New Roman" w:hAnsi="Times New Roman" w:cs="Times New Roman"/>
          <w:sz w:val="20"/>
          <w:szCs w:val="20"/>
          <w:lang w:val="en-US"/>
        </w:rPr>
        <w:t>.</w:t>
      </w:r>
      <w:r w:rsidR="00BF5056" w:rsidRPr="00BF5056">
        <w:rPr>
          <w:rFonts w:ascii="Times New Roman" w:eastAsia="Times New Roman" w:hAnsi="Times New Roman" w:cs="Times New Roman"/>
          <w:sz w:val="20"/>
          <w:szCs w:val="20"/>
          <w:lang w:val="en-US"/>
        </w:rPr>
        <w:t xml:space="preserve"> </w:t>
      </w:r>
    </w:p>
    <w:p w14:paraId="047A0730" w14:textId="719EC8D7" w:rsidR="00BF5056" w:rsidRPr="002D1F1A" w:rsidRDefault="00D6265C" w:rsidP="00D6265C">
      <w:pPr>
        <w:ind w:firstLine="284"/>
        <w:jc w:val="both"/>
        <w:rPr>
          <w:rFonts w:ascii="Times New Roman" w:hAnsi="Times New Roman" w:cs="Times New Roman"/>
          <w:sz w:val="20"/>
          <w:szCs w:val="20"/>
          <w:lang w:val="en-US"/>
        </w:rPr>
      </w:pPr>
      <w:r w:rsidRPr="00D6265C">
        <w:rPr>
          <w:rFonts w:ascii="Times New Roman" w:eastAsia="Times New Roman" w:hAnsi="Times New Roman" w:cs="Times New Roman"/>
          <w:sz w:val="20"/>
          <w:szCs w:val="20"/>
          <w:lang w:val="en-US"/>
        </w:rPr>
        <w:t xml:space="preserve">UNY has provided cloud-based productivity tools and applications for lecturers and students, namely Google Workspace and Microsoft 365. Despite these provisions, responses show that the use of these facilities still lacks, at 66% and 46%, respectively (see Figure 2). Adoption of Microsoft 365 is lower than Google Workspace </w:t>
      </w:r>
      <w:r w:rsidR="00A47F4A">
        <w:rPr>
          <w:rFonts w:ascii="Times New Roman" w:eastAsia="Times New Roman" w:hAnsi="Times New Roman" w:cs="Times New Roman"/>
          <w:sz w:val="20"/>
          <w:szCs w:val="20"/>
          <w:lang w:val="en-US"/>
        </w:rPr>
        <w:t xml:space="preserve">for respondents </w:t>
      </w:r>
      <w:r w:rsidRPr="00D6265C">
        <w:rPr>
          <w:rFonts w:ascii="Times New Roman" w:eastAsia="Times New Roman" w:hAnsi="Times New Roman" w:cs="Times New Roman"/>
          <w:sz w:val="20"/>
          <w:szCs w:val="20"/>
          <w:lang w:val="en-US"/>
        </w:rPr>
        <w:t>as the former's subscription came way after the latter. Moreover, Google Workspace is a cloud-native service integrated with the institution's email accounts and Single Sign-on (SSO) into the university's ICT portal. These do not necessarily show that many lecturers are adapt to cloud-based productivity tools. They may not be aware of the traits of cloud-based collaborative work.</w:t>
      </w:r>
      <w:r w:rsidR="00D33432">
        <w:rPr>
          <w:rFonts w:ascii="Times New Roman" w:eastAsia="Times New Roman" w:hAnsi="Times New Roman" w:cs="Times New Roman"/>
          <w:sz w:val="20"/>
          <w:szCs w:val="20"/>
          <w:lang w:val="en-US"/>
        </w:rPr>
        <w:t xml:space="preserve">   </w:t>
      </w:r>
    </w:p>
    <w:p w14:paraId="7C01361F" w14:textId="457B0B33" w:rsidR="00F0773F" w:rsidRPr="002D1F1A" w:rsidRDefault="00F0773F" w:rsidP="00F0773F">
      <w:pPr>
        <w:jc w:val="center"/>
        <w:rPr>
          <w:rFonts w:ascii="Times New Roman" w:eastAsia="Times New Roman" w:hAnsi="Times New Roman" w:cs="Times New Roman"/>
          <w:lang w:val="en-US"/>
        </w:rPr>
      </w:pPr>
      <w:r w:rsidRPr="002D1F1A">
        <w:rPr>
          <w:noProof/>
          <w:lang w:val="en-US"/>
        </w:rPr>
        <w:drawing>
          <wp:inline distT="0" distB="0" distL="0" distR="0" wp14:anchorId="1C696AF0" wp14:editId="07FE5A2B">
            <wp:extent cx="4572000" cy="1767385"/>
            <wp:effectExtent l="0" t="0" r="0" b="4445"/>
            <wp:docPr id="4" name="Chart 4">
              <a:extLst xmlns:a="http://schemas.openxmlformats.org/drawingml/2006/main">
                <a:ext uri="{FF2B5EF4-FFF2-40B4-BE49-F238E27FC236}">
                  <a16:creationId xmlns:a16="http://schemas.microsoft.com/office/drawing/2014/main" id="{4305E21D-942A-42A9-BD1D-004BBF3F0D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5E881B2" w14:textId="5C43FC8E" w:rsidR="004E4E65" w:rsidRPr="002D1F1A" w:rsidRDefault="004E4E65" w:rsidP="00734826">
      <w:pPr>
        <w:spacing w:before="120"/>
        <w:jc w:val="center"/>
        <w:rPr>
          <w:rFonts w:ascii="Times New Roman" w:eastAsia="Times New Roman" w:hAnsi="Times New Roman" w:cs="Times New Roman"/>
          <w:lang w:val="en-US"/>
        </w:rPr>
      </w:pPr>
      <w:r w:rsidRPr="002D1F1A">
        <w:rPr>
          <w:rFonts w:ascii="Times New Roman" w:eastAsia="Times New Roman" w:hAnsi="Times New Roman" w:cs="Times New Roman"/>
          <w:b/>
          <w:bCs/>
          <w:sz w:val="18"/>
          <w:szCs w:val="18"/>
          <w:lang w:val="en-US"/>
        </w:rPr>
        <w:t xml:space="preserve">FIGURE </w:t>
      </w:r>
      <w:r w:rsidR="000A176F" w:rsidRPr="002D1F1A">
        <w:rPr>
          <w:rFonts w:ascii="Times New Roman" w:eastAsia="Times New Roman" w:hAnsi="Times New Roman" w:cs="Times New Roman"/>
          <w:b/>
          <w:bCs/>
          <w:sz w:val="18"/>
          <w:szCs w:val="18"/>
          <w:lang w:val="en-US"/>
        </w:rPr>
        <w:t>2</w:t>
      </w:r>
      <w:r w:rsidRPr="002D1F1A">
        <w:rPr>
          <w:rFonts w:ascii="Times New Roman" w:eastAsia="Times New Roman" w:hAnsi="Times New Roman" w:cs="Times New Roman"/>
          <w:b/>
          <w:bCs/>
          <w:sz w:val="18"/>
          <w:szCs w:val="18"/>
          <w:lang w:val="en-US"/>
        </w:rPr>
        <w:t>.</w:t>
      </w:r>
      <w:r w:rsidRPr="002D1F1A">
        <w:rPr>
          <w:rFonts w:ascii="Times New Roman" w:eastAsia="Times New Roman" w:hAnsi="Times New Roman" w:cs="Times New Roman"/>
          <w:sz w:val="18"/>
          <w:szCs w:val="18"/>
          <w:lang w:val="en-US"/>
        </w:rPr>
        <w:t xml:space="preserve"> </w:t>
      </w:r>
      <w:r w:rsidR="009D2711">
        <w:rPr>
          <w:rFonts w:ascii="Times New Roman" w:eastAsia="Times New Roman" w:hAnsi="Times New Roman" w:cs="Times New Roman"/>
          <w:sz w:val="18"/>
          <w:szCs w:val="18"/>
          <w:lang w:val="en-US"/>
        </w:rPr>
        <w:t>Use of c</w:t>
      </w:r>
      <w:r w:rsidR="000A02CF" w:rsidRPr="002D1F1A">
        <w:rPr>
          <w:rFonts w:ascii="Times New Roman" w:eastAsia="Times New Roman" w:hAnsi="Times New Roman" w:cs="Times New Roman"/>
          <w:sz w:val="18"/>
          <w:szCs w:val="18"/>
          <w:lang w:val="en-US"/>
        </w:rPr>
        <w:t xml:space="preserve">loud-based </w:t>
      </w:r>
      <w:r w:rsidR="009D2711">
        <w:rPr>
          <w:rFonts w:ascii="Times New Roman" w:eastAsia="Times New Roman" w:hAnsi="Times New Roman" w:cs="Times New Roman"/>
          <w:sz w:val="18"/>
          <w:szCs w:val="18"/>
          <w:lang w:val="en-US"/>
        </w:rPr>
        <w:t>productivity tools</w:t>
      </w:r>
      <w:r w:rsidR="000A02CF" w:rsidRPr="002D1F1A">
        <w:rPr>
          <w:rFonts w:ascii="Times New Roman" w:eastAsia="Times New Roman" w:hAnsi="Times New Roman" w:cs="Times New Roman"/>
          <w:sz w:val="18"/>
          <w:szCs w:val="18"/>
          <w:lang w:val="en-US"/>
        </w:rPr>
        <w:t xml:space="preserve"> </w:t>
      </w:r>
      <w:r w:rsidR="009D2711">
        <w:rPr>
          <w:rFonts w:ascii="Times New Roman" w:eastAsia="Times New Roman" w:hAnsi="Times New Roman" w:cs="Times New Roman"/>
          <w:sz w:val="18"/>
          <w:szCs w:val="18"/>
          <w:lang w:val="en-US"/>
        </w:rPr>
        <w:t xml:space="preserve">and </w:t>
      </w:r>
      <w:r w:rsidR="000A02CF" w:rsidRPr="002D1F1A">
        <w:rPr>
          <w:rFonts w:ascii="Times New Roman" w:eastAsia="Times New Roman" w:hAnsi="Times New Roman" w:cs="Times New Roman"/>
          <w:sz w:val="18"/>
          <w:szCs w:val="18"/>
          <w:lang w:val="en-US"/>
        </w:rPr>
        <w:t>application</w:t>
      </w:r>
    </w:p>
    <w:p w14:paraId="10F31E55" w14:textId="77777777" w:rsidR="00A615FD" w:rsidRPr="002D1F1A" w:rsidRDefault="00A615FD" w:rsidP="00C142A9">
      <w:pPr>
        <w:jc w:val="center"/>
        <w:rPr>
          <w:rFonts w:ascii="Times New Roman" w:eastAsia="Times New Roman" w:hAnsi="Times New Roman" w:cs="Times New Roman"/>
          <w:lang w:val="en-US"/>
        </w:rPr>
      </w:pPr>
    </w:p>
    <w:p w14:paraId="137244A4" w14:textId="7693FBC1" w:rsidR="00FF6EE3" w:rsidRPr="002D1F1A" w:rsidRDefault="00B75C80" w:rsidP="00FF6EE3">
      <w:pPr>
        <w:ind w:firstLine="284"/>
        <w:jc w:val="both"/>
        <w:rPr>
          <w:rFonts w:ascii="Times New Roman" w:hAnsi="Times New Roman" w:cs="Times New Roman"/>
          <w:sz w:val="20"/>
          <w:szCs w:val="20"/>
          <w:lang w:val="en-US"/>
        </w:rPr>
      </w:pPr>
      <w:r w:rsidRPr="002D1F1A">
        <w:rPr>
          <w:rFonts w:ascii="Times New Roman" w:hAnsi="Times New Roman" w:cs="Times New Roman"/>
          <w:sz w:val="20"/>
          <w:szCs w:val="20"/>
          <w:lang w:val="en-US"/>
        </w:rPr>
        <w:t>As</w:t>
      </w:r>
      <w:r w:rsidR="00AD70AB">
        <w:rPr>
          <w:rFonts w:ascii="Times New Roman" w:hAnsi="Times New Roman" w:cs="Times New Roman"/>
          <w:sz w:val="20"/>
          <w:szCs w:val="20"/>
          <w:lang w:val="en-US"/>
        </w:rPr>
        <w:t xml:space="preserve"> a commitment to facilitate blended learning</w:t>
      </w:r>
      <w:r w:rsidRPr="002D1F1A">
        <w:rPr>
          <w:rFonts w:ascii="Times New Roman" w:hAnsi="Times New Roman" w:cs="Times New Roman"/>
          <w:sz w:val="20"/>
          <w:szCs w:val="20"/>
          <w:lang w:val="en-US"/>
        </w:rPr>
        <w:t xml:space="preserve">, UNY </w:t>
      </w:r>
      <w:r w:rsidR="00AD70AB">
        <w:rPr>
          <w:rFonts w:ascii="Times New Roman" w:hAnsi="Times New Roman" w:cs="Times New Roman"/>
          <w:sz w:val="20"/>
          <w:szCs w:val="20"/>
          <w:lang w:val="en-US"/>
        </w:rPr>
        <w:t xml:space="preserve">also </w:t>
      </w:r>
      <w:r w:rsidRPr="002D1F1A">
        <w:rPr>
          <w:rFonts w:ascii="Times New Roman" w:hAnsi="Times New Roman" w:cs="Times New Roman"/>
          <w:sz w:val="20"/>
          <w:szCs w:val="20"/>
          <w:lang w:val="en-US"/>
        </w:rPr>
        <w:t>provides applications for virtual synchronous meetings. These applications include Big Blue B</w:t>
      </w:r>
      <w:r w:rsidR="006727AD">
        <w:rPr>
          <w:rFonts w:ascii="Times New Roman" w:hAnsi="Times New Roman" w:cs="Times New Roman"/>
          <w:sz w:val="20"/>
          <w:szCs w:val="20"/>
          <w:lang w:val="en-US"/>
        </w:rPr>
        <w:t>u</w:t>
      </w:r>
      <w:r w:rsidRPr="002D1F1A">
        <w:rPr>
          <w:rFonts w:ascii="Times New Roman" w:hAnsi="Times New Roman" w:cs="Times New Roman"/>
          <w:sz w:val="20"/>
          <w:szCs w:val="20"/>
          <w:lang w:val="en-US"/>
        </w:rPr>
        <w:t xml:space="preserve">tton, which integrates into Moodle LMS, Google Meet integrated with Google Suite account, and Zoom Meeting </w:t>
      </w:r>
      <w:r w:rsidR="00537C98">
        <w:rPr>
          <w:rFonts w:ascii="Times New Roman" w:hAnsi="Times New Roman" w:cs="Times New Roman"/>
          <w:sz w:val="20"/>
          <w:szCs w:val="20"/>
          <w:lang w:val="en-US"/>
        </w:rPr>
        <w:t xml:space="preserve">with </w:t>
      </w:r>
      <w:r w:rsidRPr="002D1F1A">
        <w:rPr>
          <w:rFonts w:ascii="Times New Roman" w:hAnsi="Times New Roman" w:cs="Times New Roman"/>
          <w:sz w:val="20"/>
          <w:szCs w:val="20"/>
          <w:lang w:val="en-US"/>
        </w:rPr>
        <w:t>education</w:t>
      </w:r>
      <w:r w:rsidR="00537C98">
        <w:rPr>
          <w:rFonts w:ascii="Times New Roman" w:hAnsi="Times New Roman" w:cs="Times New Roman"/>
          <w:sz w:val="20"/>
          <w:szCs w:val="20"/>
          <w:lang w:val="en-US"/>
        </w:rPr>
        <w:t xml:space="preserve"> license</w:t>
      </w:r>
      <w:r w:rsidRPr="002D1F1A">
        <w:rPr>
          <w:rFonts w:ascii="Times New Roman" w:hAnsi="Times New Roman" w:cs="Times New Roman"/>
          <w:sz w:val="20"/>
          <w:szCs w:val="20"/>
          <w:lang w:val="en-US"/>
        </w:rPr>
        <w:t xml:space="preserve">. </w:t>
      </w:r>
      <w:r w:rsidR="00C769D6">
        <w:rPr>
          <w:rFonts w:ascii="Times New Roman" w:hAnsi="Times New Roman" w:cs="Times New Roman"/>
          <w:sz w:val="20"/>
          <w:szCs w:val="20"/>
          <w:lang w:val="en-US"/>
        </w:rPr>
        <w:t>Zoom is unarguably the most popular online meetings, with reported increase in participants of 300% over four months</w:t>
      </w:r>
      <w:r w:rsidR="008726A6">
        <w:rPr>
          <w:rFonts w:ascii="Times New Roman" w:hAnsi="Times New Roman" w:cs="Times New Roman"/>
          <w:sz w:val="20"/>
          <w:szCs w:val="20"/>
          <w:lang w:val="en-US"/>
        </w:rPr>
        <w:fldChar w:fldCharType="begin" w:fldLock="1"/>
      </w:r>
      <w:r w:rsidR="008726A6">
        <w:rPr>
          <w:rFonts w:ascii="Times New Roman" w:hAnsi="Times New Roman" w:cs="Times New Roman"/>
          <w:sz w:val="20"/>
          <w:szCs w:val="20"/>
          <w:lang w:val="en-US"/>
        </w:rPr>
        <w:instrText>ADDIN CSL_CITATION {"citationItems":[{"id":"ITEM-1","itemData":{"DOI":"10.1177/0306422020935792","ISSN":"03064220","author":[{"dropping-particle":"","family":"Aiken","given":"Adam","non-dropping-particle":"","parse-names":false,"suffix":""}],"container-title":"Index on Censorship","id":"ITEM-1","issue":"2","issued":{"date-parts":[["2020"]]},"page":"24-27","title":"Zooming in on privacy concerns","type":"article-journal","volume":"49"},"uris":["http://www.mendeley.com/documents/?uuid=892979be-17cf-404c-becc-b0b23d6c51eb"]}],"mendeley":{"formattedCitation":"&lt;sup&gt;11&lt;/sup&gt;","plainTextFormattedCitation":"11","previouslyFormattedCitation":"&lt;sup&gt;11&lt;/sup&gt;"},"properties":{"noteIndex":0},"schema":"https://github.com/citation-style-language/schema/raw/master/csl-citation.json"}</w:instrText>
      </w:r>
      <w:r w:rsidR="008726A6">
        <w:rPr>
          <w:rFonts w:ascii="Times New Roman" w:hAnsi="Times New Roman" w:cs="Times New Roman"/>
          <w:sz w:val="20"/>
          <w:szCs w:val="20"/>
          <w:lang w:val="en-US"/>
        </w:rPr>
        <w:fldChar w:fldCharType="separate"/>
      </w:r>
      <w:r w:rsidR="008726A6" w:rsidRPr="008726A6">
        <w:rPr>
          <w:rFonts w:ascii="Times New Roman" w:hAnsi="Times New Roman" w:cs="Times New Roman"/>
          <w:noProof/>
          <w:sz w:val="20"/>
          <w:szCs w:val="20"/>
          <w:vertAlign w:val="superscript"/>
          <w:lang w:val="en-US"/>
        </w:rPr>
        <w:t>11</w:t>
      </w:r>
      <w:r w:rsidR="008726A6">
        <w:rPr>
          <w:rFonts w:ascii="Times New Roman" w:hAnsi="Times New Roman" w:cs="Times New Roman"/>
          <w:sz w:val="20"/>
          <w:szCs w:val="20"/>
          <w:lang w:val="en-US"/>
        </w:rPr>
        <w:fldChar w:fldCharType="end"/>
      </w:r>
      <w:r w:rsidR="00C769D6">
        <w:rPr>
          <w:rFonts w:ascii="Times New Roman" w:hAnsi="Times New Roman" w:cs="Times New Roman"/>
          <w:sz w:val="20"/>
          <w:szCs w:val="20"/>
          <w:lang w:val="en-US"/>
        </w:rPr>
        <w:t xml:space="preserve">. </w:t>
      </w:r>
      <w:r w:rsidR="00C1020D" w:rsidRPr="00C1020D">
        <w:rPr>
          <w:rFonts w:ascii="Times New Roman" w:hAnsi="Times New Roman" w:cs="Times New Roman"/>
          <w:sz w:val="20"/>
          <w:szCs w:val="20"/>
          <w:lang w:val="en-US"/>
        </w:rPr>
        <w:t>Due to its ease of access and exclusive features, almost all lecturers use Zoom for virtual synchronous meetings over others. Video conference activities can be recorded and stored in a cloud-based Zoom account that anyone can access</w:t>
      </w:r>
      <w:r w:rsidR="007A06D9" w:rsidRPr="002D1F1A">
        <w:rPr>
          <w:rFonts w:ascii="Times New Roman" w:eastAsia="Times New Roman" w:hAnsi="Times New Roman" w:cs="Times New Roman"/>
          <w:sz w:val="20"/>
          <w:szCs w:val="20"/>
          <w:lang w:val="en-US"/>
        </w:rPr>
        <w:fldChar w:fldCharType="begin" w:fldLock="1"/>
      </w:r>
      <w:r w:rsidR="00367060" w:rsidRPr="002D1F1A">
        <w:rPr>
          <w:rFonts w:ascii="Times New Roman" w:eastAsia="Times New Roman" w:hAnsi="Times New Roman" w:cs="Times New Roman"/>
          <w:sz w:val="20"/>
          <w:szCs w:val="20"/>
          <w:lang w:val="en-US"/>
        </w:rPr>
        <w:instrText>ADDIN CSL_CITATION {"citationItems":[{"id":"ITEM-1","itemData":{"DOI":"10.1016/j.jsurg.2020.03.018","ISSN":"18787452","PMID":"32253133","abstract":"Background: The COVID-19 pandemic presents a unique challenge to surgical residency programs. Due to the restrictions recommended by the Centers for Disease Control and Prevention and other organizations, the educational landscape for surgical residents is rapidly changing. In addition, the time course of these changes is undefined. Methods: We attempt to define the scope of the problem of maintaining surgical resident education while maintaining the safety of residents, educators, and patients. Within the basic framework of limiting in-person gatherings, postponing or canceling elective operations in hospitals, and limiting rotations between sites, we propose innovative solutions to maintain rigorous education. Results: We propose several innovative solutions including the flipped classroom model, online practice questions, teleconferencing in place of in-person lectures, involving residents in telemedicine clinics, procedural simulation, and the facilitated use of surgical videos. Although there is no substitute for hands-on learning through operative experience and direct patient care, these may be ways to mitigate the loss of learning exposure during this time. Conclusions: These innovative solutions utilizing technology may help to bridge the educational gap for surgical residents during this unprecedented circumstance. The support of national organizations may be beneficial in maintaining rigorous surgical education.","author":[{"dropping-particle":"","family":"Chick","given":"Robert Connor","non-dropping-particle":"","parse-names":false,"suffix":""},{"dropping-particle":"","family":"Clifton","given":"Guy Travis","non-dropping-particle":"","parse-names":false,"suffix":""},{"dropping-particle":"","family":"Peace","given":"Kaitlin M.","non-dropping-particle":"","parse-names":false,"suffix":""},{"dropping-particle":"","family":"Propper","given":"Brandon W.","non-dropping-particle":"","parse-names":false,"suffix":""},{"dropping-particle":"","family":"Hale","given":"Diane F.","non-dropping-particle":"","parse-names":false,"suffix":""},{"dropping-particle":"","family":"Alseidi","given":"Adnan A.","non-dropping-particle":"","parse-names":false,"suffix":""},{"dropping-particle":"","family":"Vreeland","given":"Timothy J.","non-dropping-particle":"","parse-names":false,"suffix":""}],"container-title":"Journal of Surgical Education","id":"ITEM-1","issue":"4","issued":{"date-parts":[["2020"]]},"page":"729-732","publisher":"Elsevier Inc.","title":"Using Technology to Maintain the Education of Residents During the COVID-19 Pandemic","type":"article-journal","volume":"77"},"uris":["http://www.mendeley.com/documents/?uuid=62932e63-f2de-4e80-875c-70676bd9a351"]}],"mendeley":{"formattedCitation":"&lt;sup&gt;3&lt;/sup&gt;","plainTextFormattedCitation":"3","previouslyFormattedCitation":"&lt;sup&gt;3&lt;/sup&gt;"},"properties":{"noteIndex":0},"schema":"https://github.com/citation-style-language/schema/raw/master/csl-citation.json"}</w:instrText>
      </w:r>
      <w:r w:rsidR="007A06D9" w:rsidRPr="002D1F1A">
        <w:rPr>
          <w:rFonts w:ascii="Times New Roman" w:eastAsia="Times New Roman" w:hAnsi="Times New Roman" w:cs="Times New Roman"/>
          <w:sz w:val="20"/>
          <w:szCs w:val="20"/>
          <w:lang w:val="en-US"/>
        </w:rPr>
        <w:fldChar w:fldCharType="separate"/>
      </w:r>
      <w:r w:rsidR="007A06D9" w:rsidRPr="002D1F1A">
        <w:rPr>
          <w:rFonts w:ascii="Times New Roman" w:eastAsia="Times New Roman" w:hAnsi="Times New Roman" w:cs="Times New Roman"/>
          <w:noProof/>
          <w:sz w:val="20"/>
          <w:szCs w:val="20"/>
          <w:vertAlign w:val="superscript"/>
          <w:lang w:val="en-US"/>
        </w:rPr>
        <w:t>3</w:t>
      </w:r>
      <w:r w:rsidR="007A06D9" w:rsidRPr="002D1F1A">
        <w:rPr>
          <w:rFonts w:ascii="Times New Roman" w:eastAsia="Times New Roman" w:hAnsi="Times New Roman" w:cs="Times New Roman"/>
          <w:sz w:val="20"/>
          <w:szCs w:val="20"/>
          <w:lang w:val="en-US"/>
        </w:rPr>
        <w:fldChar w:fldCharType="end"/>
      </w:r>
      <w:r w:rsidR="007A06D9" w:rsidRPr="002D1F1A">
        <w:rPr>
          <w:rFonts w:ascii="Times New Roman" w:eastAsia="Times New Roman" w:hAnsi="Times New Roman" w:cs="Times New Roman"/>
          <w:sz w:val="20"/>
          <w:szCs w:val="20"/>
          <w:lang w:val="en-US"/>
        </w:rPr>
        <w:t xml:space="preserve">. </w:t>
      </w:r>
      <w:r w:rsidR="00C1020D" w:rsidRPr="00C1020D">
        <w:rPr>
          <w:rFonts w:ascii="Times New Roman" w:hAnsi="Times New Roman" w:cs="Times New Roman"/>
          <w:sz w:val="20"/>
          <w:szCs w:val="20"/>
          <w:lang w:val="en-US"/>
        </w:rPr>
        <w:t xml:space="preserve">Zoom has the highest adoption among cloud-based applications provided by UNY, with 86% of respondents activated the unlimited Zoom Meeting educational license (see Figure 2). Despite this, some lecturers, </w:t>
      </w:r>
      <w:r w:rsidR="008726A6" w:rsidRPr="00C1020D">
        <w:rPr>
          <w:rFonts w:ascii="Times New Roman" w:hAnsi="Times New Roman" w:cs="Times New Roman"/>
          <w:sz w:val="20"/>
          <w:szCs w:val="20"/>
          <w:lang w:val="en-US"/>
        </w:rPr>
        <w:t>who</w:t>
      </w:r>
      <w:r w:rsidR="00C1020D" w:rsidRPr="00C1020D">
        <w:rPr>
          <w:rFonts w:ascii="Times New Roman" w:hAnsi="Times New Roman" w:cs="Times New Roman"/>
          <w:sz w:val="20"/>
          <w:szCs w:val="20"/>
          <w:lang w:val="en-US"/>
        </w:rPr>
        <w:t xml:space="preserve"> could be seniors, still need technical assistance to set up virtual meeting schedules using Zoom. They may unknowingly use an unlicensed Zoom account and might need help from the administrative staff to set it properly. Alternatively, their students would set the virtual synchronous activities for their lecturers by using their Zoom account as part of the institution's educational account. </w:t>
      </w:r>
      <w:r w:rsidR="00C1020D" w:rsidRPr="00C1020D">
        <w:rPr>
          <w:rFonts w:ascii="Times New Roman" w:hAnsi="Times New Roman" w:cs="Times New Roman"/>
          <w:sz w:val="20"/>
          <w:szCs w:val="20"/>
          <w:lang w:val="en-US"/>
        </w:rPr>
        <w:lastRenderedPageBreak/>
        <w:t>The somewhat low utilization of cloud-based software and applications among respondents shows that they have not used the full potential of facilities provided by the institution for optimal blended learning implementation</w:t>
      </w:r>
      <w:r w:rsidR="00FF6EE3" w:rsidRPr="002D1F1A">
        <w:rPr>
          <w:rFonts w:ascii="Times New Roman" w:hAnsi="Times New Roman" w:cs="Times New Roman"/>
          <w:sz w:val="20"/>
          <w:szCs w:val="20"/>
          <w:lang w:val="en-US"/>
        </w:rPr>
        <w:t>.</w:t>
      </w:r>
    </w:p>
    <w:p w14:paraId="293123ED" w14:textId="07798BEF" w:rsidR="00FF6EE3" w:rsidRPr="002D1F1A" w:rsidRDefault="00FF6EE3" w:rsidP="00FF6EE3">
      <w:pPr>
        <w:pStyle w:val="Heading3"/>
        <w:keepLines/>
        <w:numPr>
          <w:ilvl w:val="0"/>
          <w:numId w:val="0"/>
        </w:numPr>
        <w:spacing w:after="240"/>
        <w:ind w:left="720" w:hanging="720"/>
        <w:jc w:val="center"/>
        <w:rPr>
          <w:rFonts w:ascii="Times New Roman" w:eastAsia="Times New Roman" w:hAnsi="Times New Roman" w:cs="Times New Roman"/>
          <w:bCs w:val="0"/>
          <w:iCs/>
          <w:sz w:val="24"/>
          <w:szCs w:val="24"/>
          <w:lang w:val="en-US"/>
        </w:rPr>
      </w:pPr>
      <w:r w:rsidRPr="002D1F1A">
        <w:rPr>
          <w:rFonts w:ascii="Times New Roman" w:eastAsia="Times New Roman" w:hAnsi="Times New Roman" w:cs="Times New Roman"/>
          <w:bCs w:val="0"/>
          <w:iCs/>
          <w:sz w:val="24"/>
          <w:szCs w:val="24"/>
          <w:lang w:val="en-US"/>
        </w:rPr>
        <w:t>ICT Equipment for Blended Learning</w:t>
      </w:r>
    </w:p>
    <w:p w14:paraId="677A6F4E" w14:textId="0E735075" w:rsidR="00FF6EE3" w:rsidRPr="002D1F1A" w:rsidRDefault="00552AEB" w:rsidP="00336A30">
      <w:pPr>
        <w:ind w:firstLine="284"/>
        <w:jc w:val="both"/>
        <w:rPr>
          <w:rFonts w:ascii="Times New Roman" w:hAnsi="Times New Roman" w:cs="Times New Roman"/>
          <w:sz w:val="20"/>
          <w:szCs w:val="20"/>
          <w:lang w:val="en-US"/>
        </w:rPr>
      </w:pPr>
      <w:r w:rsidRPr="00552AEB">
        <w:rPr>
          <w:rFonts w:ascii="Times New Roman" w:hAnsi="Times New Roman" w:cs="Times New Roman"/>
          <w:sz w:val="20"/>
          <w:szCs w:val="20"/>
          <w:lang w:val="en-US"/>
        </w:rPr>
        <w:t>ICT equipment is needed to support an excellent blended learning delivery, so easy access to these tools is essential. Figure 3 shows the lecturers' polls response on the ownership of various equipment, software, and applications that support blended learning. Headsets are owned by 96% of respondents. A headset is essential for video conferencing as it can reduce nuisances to people around, caused by the sound volume from the computer speaker. Even a low level of background noise can interrupt the concentration of the meeting</w:t>
      </w:r>
      <w:r w:rsidR="008726A6">
        <w:rPr>
          <w:rFonts w:ascii="Times New Roman" w:hAnsi="Times New Roman" w:cs="Times New Roman"/>
          <w:sz w:val="20"/>
          <w:szCs w:val="20"/>
          <w:lang w:val="en-US"/>
        </w:rPr>
        <w:fldChar w:fldCharType="begin" w:fldLock="1"/>
      </w:r>
      <w:r w:rsidR="008726A6">
        <w:rPr>
          <w:rFonts w:ascii="Times New Roman" w:hAnsi="Times New Roman" w:cs="Times New Roman"/>
          <w:sz w:val="20"/>
          <w:szCs w:val="20"/>
          <w:lang w:val="en-US"/>
        </w:rPr>
        <w:instrText>ADDIN CSL_CITATION {"citationItems":[{"id":"ITEM-1","itemData":{"DOI":"10.1016/j.bjoms.2020.04.046","ISSN":"15321940","PMID":"32417017","abstract":"During the current coronavirus pandemic, social distancing and restrictions on travel have resulted in a dramatic rise in the use of technology (including video conferencing) for remote meetings. From local multidisciplinary team (MDT) meetings to national and international committees, this form of communication has been vital to ensure patient-related and other business can continue, albeit in a sometimes unfamiliar environment. In this article we consider some of the human factors elements of remote meetings and provide suggestions to enhance the experience of team and committee members during this unsettling time. It is possible that this form of communication will continue to flourish after the pandemic is over.","author":[{"dropping-particle":"","family":"Oeppen","given":"R. S.","non-dropping-particle":"","parse-names":false,"suffix":""},{"dropping-particle":"","family":"Shaw","given":"G.","non-dropping-particle":"","parse-names":false,"suffix":""},{"dropping-particle":"","family":"Brennan","given":"P. A.","non-dropping-particle":"","parse-names":false,"suffix":""}],"container-title":"British Journal of Oral and Maxillofacial Surgery","id":"ITEM-1","issue":"6","issued":{"date-parts":[["2020"]]},"page":"643-646","publisher":"British Association of Oral and Maxillofacial Surgeons","title":"Human factors recognition at virtual meetings and video conferencing: how to get the best performance from yourself and others","type":"article-journal","volume":"58"},"uris":["http://www.mendeley.com/documents/?uuid=9cd09fb4-d19a-4d94-ae2d-0e66a403558f"]}],"mendeley":{"formattedCitation":"&lt;sup&gt;12&lt;/sup&gt;","plainTextFormattedCitation":"12","previouslyFormattedCitation":"&lt;sup&gt;12&lt;/sup&gt;"},"properties":{"noteIndex":0},"schema":"https://github.com/citation-style-language/schema/raw/master/csl-citation.json"}</w:instrText>
      </w:r>
      <w:r w:rsidR="008726A6">
        <w:rPr>
          <w:rFonts w:ascii="Times New Roman" w:hAnsi="Times New Roman" w:cs="Times New Roman"/>
          <w:sz w:val="20"/>
          <w:szCs w:val="20"/>
          <w:lang w:val="en-US"/>
        </w:rPr>
        <w:fldChar w:fldCharType="separate"/>
      </w:r>
      <w:r w:rsidR="008726A6" w:rsidRPr="008726A6">
        <w:rPr>
          <w:rFonts w:ascii="Times New Roman" w:hAnsi="Times New Roman" w:cs="Times New Roman"/>
          <w:noProof/>
          <w:sz w:val="20"/>
          <w:szCs w:val="20"/>
          <w:vertAlign w:val="superscript"/>
          <w:lang w:val="en-US"/>
        </w:rPr>
        <w:t>12</w:t>
      </w:r>
      <w:r w:rsidR="008726A6">
        <w:rPr>
          <w:rFonts w:ascii="Times New Roman" w:hAnsi="Times New Roman" w:cs="Times New Roman"/>
          <w:sz w:val="20"/>
          <w:szCs w:val="20"/>
          <w:lang w:val="en-US"/>
        </w:rPr>
        <w:fldChar w:fldCharType="end"/>
      </w:r>
      <w:r w:rsidRPr="00552AEB">
        <w:rPr>
          <w:rFonts w:ascii="Times New Roman" w:hAnsi="Times New Roman" w:cs="Times New Roman"/>
          <w:sz w:val="20"/>
          <w:szCs w:val="20"/>
          <w:lang w:val="en-US"/>
        </w:rPr>
        <w:t>. In the aviation industry, a headset is second nature and is proved to increase the pilot's performance</w:t>
      </w:r>
      <w:r w:rsidR="008726A6">
        <w:rPr>
          <w:rFonts w:ascii="Times New Roman" w:hAnsi="Times New Roman" w:cs="Times New Roman"/>
          <w:sz w:val="20"/>
          <w:szCs w:val="20"/>
          <w:lang w:val="en-US"/>
        </w:rPr>
        <w:fldChar w:fldCharType="begin" w:fldLock="1"/>
      </w:r>
      <w:r w:rsidR="00FC5D67">
        <w:rPr>
          <w:rFonts w:ascii="Times New Roman" w:hAnsi="Times New Roman" w:cs="Times New Roman"/>
          <w:sz w:val="20"/>
          <w:szCs w:val="20"/>
          <w:lang w:val="en-US"/>
        </w:rPr>
        <w:instrText>ADDIN CSL_CITATION {"citationItems":[{"id":"ITEM-1","itemData":{"DOI":"10.1016/j.bjoms.2020.04.046","ISSN":"15321940","PMID":"32417017","abstract":"During the current coronavirus pandemic, social distancing and restrictions on travel have resulted in a dramatic rise in the use of technology (including video conferencing) for remote meetings. From local multidisciplinary team (MDT) meetings to national and international committees, this form of communication has been vital to ensure patient-related and other business can continue, albeit in a sometimes unfamiliar environment. In this article we consider some of the human factors elements of remote meetings and provide suggestions to enhance the experience of team and committee members during this unsettling time. It is possible that this form of communication will continue to flourish after the pandemic is over.","author":[{"dropping-particle":"","family":"Oeppen","given":"R. S.","non-dropping-particle":"","parse-names":false,"suffix":""},{"dropping-particle":"","family":"Shaw","given":"G.","non-dropping-particle":"","parse-names":false,"suffix":""},{"dropping-particle":"","family":"Brennan","given":"P. A.","non-dropping-particle":"","parse-names":false,"suffix":""}],"container-title":"British Journal of Oral and Maxillofacial Surgery","id":"ITEM-1","issue":"6","issued":{"date-parts":[["2020"]]},"page":"643-646","publisher":"British Association of Oral and Maxillofacial Surgeons","title":"Human factors recognition at virtual meetings and video conferencing: how to get the best performance from yourself and others","type":"article-journal","volume":"58"},"uris":["http://www.mendeley.com/documents/?uuid=9cd09fb4-d19a-4d94-ae2d-0e66a403558f"]}],"mendeley":{"formattedCitation":"&lt;sup&gt;12&lt;/sup&gt;","plainTextFormattedCitation":"12","previouslyFormattedCitation":"&lt;sup&gt;12&lt;/sup&gt;"},"properties":{"noteIndex":0},"schema":"https://github.com/citation-style-language/schema/raw/master/csl-citation.json"}</w:instrText>
      </w:r>
      <w:r w:rsidR="008726A6">
        <w:rPr>
          <w:rFonts w:ascii="Times New Roman" w:hAnsi="Times New Roman" w:cs="Times New Roman"/>
          <w:sz w:val="20"/>
          <w:szCs w:val="20"/>
          <w:lang w:val="en-US"/>
        </w:rPr>
        <w:fldChar w:fldCharType="separate"/>
      </w:r>
      <w:r w:rsidR="008726A6" w:rsidRPr="008726A6">
        <w:rPr>
          <w:rFonts w:ascii="Times New Roman" w:hAnsi="Times New Roman" w:cs="Times New Roman"/>
          <w:noProof/>
          <w:sz w:val="20"/>
          <w:szCs w:val="20"/>
          <w:vertAlign w:val="superscript"/>
          <w:lang w:val="en-US"/>
        </w:rPr>
        <w:t>12</w:t>
      </w:r>
      <w:r w:rsidR="008726A6">
        <w:rPr>
          <w:rFonts w:ascii="Times New Roman" w:hAnsi="Times New Roman" w:cs="Times New Roman"/>
          <w:sz w:val="20"/>
          <w:szCs w:val="20"/>
          <w:lang w:val="en-US"/>
        </w:rPr>
        <w:fldChar w:fldCharType="end"/>
      </w:r>
      <w:r w:rsidR="008726A6">
        <w:rPr>
          <w:rFonts w:ascii="Times New Roman" w:hAnsi="Times New Roman" w:cs="Times New Roman"/>
          <w:sz w:val="20"/>
          <w:szCs w:val="20"/>
          <w:lang w:val="en-US"/>
        </w:rPr>
        <w:t>.</w:t>
      </w:r>
      <w:r w:rsidRPr="00552AEB">
        <w:rPr>
          <w:rFonts w:ascii="Times New Roman" w:hAnsi="Times New Roman" w:cs="Times New Roman"/>
          <w:sz w:val="20"/>
          <w:szCs w:val="20"/>
          <w:lang w:val="en-US"/>
        </w:rPr>
        <w:t xml:space="preserve"> In addition, the microphone quality of the headset is usually more reliable than the integrated laptop microphone.</w:t>
      </w:r>
    </w:p>
    <w:p w14:paraId="61730802" w14:textId="15C892D6" w:rsidR="002B3C81" w:rsidRPr="002D1F1A" w:rsidRDefault="007C75A9" w:rsidP="007C75A9">
      <w:pPr>
        <w:jc w:val="center"/>
        <w:rPr>
          <w:lang w:val="en-US"/>
        </w:rPr>
      </w:pPr>
      <w:r w:rsidRPr="002D1F1A">
        <w:rPr>
          <w:noProof/>
          <w:lang w:val="en-US"/>
        </w:rPr>
        <w:drawing>
          <wp:inline distT="0" distB="0" distL="0" distR="0" wp14:anchorId="4AB5CF71" wp14:editId="2F9F5F20">
            <wp:extent cx="5438140" cy="3261815"/>
            <wp:effectExtent l="0" t="0" r="0" b="0"/>
            <wp:docPr id="5" name="Chart 5">
              <a:extLst xmlns:a="http://schemas.openxmlformats.org/drawingml/2006/main">
                <a:ext uri="{FF2B5EF4-FFF2-40B4-BE49-F238E27FC236}">
                  <a16:creationId xmlns:a16="http://schemas.microsoft.com/office/drawing/2014/main" id="{540A24D3-D058-4EA9-9CFD-633EEB2B22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AB28341" w14:textId="64ACBF1B" w:rsidR="002B3C81" w:rsidRPr="002D1F1A" w:rsidRDefault="003C60D5" w:rsidP="00734826">
      <w:pPr>
        <w:spacing w:before="120"/>
        <w:jc w:val="center"/>
        <w:rPr>
          <w:rFonts w:ascii="Times New Roman" w:hAnsi="Times New Roman" w:cs="Times New Roman"/>
          <w:sz w:val="18"/>
          <w:szCs w:val="18"/>
          <w:lang w:val="en-US"/>
        </w:rPr>
      </w:pPr>
      <w:r w:rsidRPr="002D1F1A">
        <w:rPr>
          <w:rFonts w:ascii="Times New Roman" w:eastAsia="Times New Roman" w:hAnsi="Times New Roman" w:cs="Times New Roman"/>
          <w:b/>
          <w:bCs/>
          <w:sz w:val="18"/>
          <w:szCs w:val="18"/>
          <w:lang w:val="en-US"/>
        </w:rPr>
        <w:t>FIGURE</w:t>
      </w:r>
      <w:r w:rsidR="002B3C81" w:rsidRPr="002D1F1A">
        <w:rPr>
          <w:rFonts w:ascii="Times New Roman" w:hAnsi="Times New Roman" w:cs="Times New Roman"/>
          <w:b/>
          <w:bCs/>
          <w:sz w:val="18"/>
          <w:szCs w:val="18"/>
          <w:lang w:val="en-US"/>
        </w:rPr>
        <w:t xml:space="preserve"> </w:t>
      </w:r>
      <w:r w:rsidR="0039338A" w:rsidRPr="002D1F1A">
        <w:rPr>
          <w:rFonts w:ascii="Times New Roman" w:hAnsi="Times New Roman" w:cs="Times New Roman"/>
          <w:b/>
          <w:bCs/>
          <w:sz w:val="18"/>
          <w:szCs w:val="18"/>
          <w:lang w:val="en-US"/>
        </w:rPr>
        <w:t>3</w:t>
      </w:r>
      <w:r w:rsidR="002B3C81" w:rsidRPr="002D1F1A">
        <w:rPr>
          <w:rFonts w:ascii="Times New Roman" w:hAnsi="Times New Roman" w:cs="Times New Roman"/>
          <w:b/>
          <w:bCs/>
          <w:sz w:val="18"/>
          <w:szCs w:val="18"/>
          <w:lang w:val="en-US"/>
        </w:rPr>
        <w:t>.</w:t>
      </w:r>
      <w:r w:rsidR="002B3C81" w:rsidRPr="002D1F1A">
        <w:rPr>
          <w:rFonts w:ascii="Times New Roman" w:hAnsi="Times New Roman" w:cs="Times New Roman"/>
          <w:sz w:val="18"/>
          <w:szCs w:val="18"/>
          <w:lang w:val="en-US"/>
        </w:rPr>
        <w:t xml:space="preserve"> </w:t>
      </w:r>
      <w:r w:rsidR="00FF6EE3" w:rsidRPr="002D1F1A">
        <w:rPr>
          <w:rFonts w:ascii="Times New Roman" w:hAnsi="Times New Roman" w:cs="Times New Roman"/>
          <w:sz w:val="18"/>
          <w:szCs w:val="18"/>
          <w:lang w:val="en-US"/>
        </w:rPr>
        <w:t>Access to supporting equipment, software, and application</w:t>
      </w:r>
    </w:p>
    <w:p w14:paraId="6444A199" w14:textId="37F84BC4" w:rsidR="00336A30" w:rsidRPr="002D1F1A" w:rsidRDefault="00336A30" w:rsidP="002B3C81">
      <w:pPr>
        <w:jc w:val="center"/>
        <w:rPr>
          <w:rFonts w:ascii="Times New Roman" w:hAnsi="Times New Roman" w:cs="Times New Roman"/>
          <w:sz w:val="18"/>
          <w:szCs w:val="18"/>
          <w:lang w:val="en-US"/>
        </w:rPr>
      </w:pPr>
    </w:p>
    <w:p w14:paraId="7EC7B848" w14:textId="43304903" w:rsidR="002517C9" w:rsidRPr="002D1F1A" w:rsidRDefault="004B5F87" w:rsidP="002517C9">
      <w:pPr>
        <w:ind w:firstLine="284"/>
        <w:jc w:val="both"/>
        <w:rPr>
          <w:rFonts w:ascii="Times New Roman" w:hAnsi="Times New Roman" w:cs="Times New Roman"/>
          <w:sz w:val="20"/>
          <w:szCs w:val="20"/>
          <w:lang w:val="en-US"/>
        </w:rPr>
      </w:pPr>
      <w:r w:rsidRPr="004B5F87">
        <w:rPr>
          <w:rFonts w:ascii="Times New Roman" w:hAnsi="Times New Roman" w:cs="Times New Roman"/>
          <w:sz w:val="20"/>
          <w:szCs w:val="20"/>
          <w:lang w:val="en-US"/>
        </w:rPr>
        <w:t>Human voice production using a microphone is greatly influenced by the selection of the type of transducer (dynamic, condenser, and the like), the distance from the microphone to the sound source, and the polar pattern</w:t>
      </w:r>
      <w:r w:rsidR="00B869EF" w:rsidRPr="002D1F1A">
        <w:rPr>
          <w:rFonts w:ascii="Times New Roman" w:hAnsi="Times New Roman" w:cs="Times New Roman"/>
          <w:sz w:val="20"/>
          <w:szCs w:val="20"/>
          <w:lang w:val="en-US"/>
        </w:rPr>
        <w:fldChar w:fldCharType="begin" w:fldLock="1"/>
      </w:r>
      <w:r w:rsidR="008726A6">
        <w:rPr>
          <w:rFonts w:ascii="Times New Roman" w:hAnsi="Times New Roman" w:cs="Times New Roman"/>
          <w:sz w:val="20"/>
          <w:szCs w:val="20"/>
          <w:lang w:val="en-US"/>
        </w:rPr>
        <w:instrText>ADDIN CSL_CITATION {"citationItems":[{"id":"ITEM-1","itemData":{"DOI":"10.1044/1058-0360(2010/09-0091)","ISSN":"15589110","abstract":"Purpose: This tutorial addresses fundamental characteristics of microphones (frequency response, frequency range, dynamic range, and directionality), which are important for accurate measurements of voice and speech. Method: Technical and voice literature was reviewed and analyzed. The following recommendations on desirable microphone characteristics were formulated: The frequency response of microphones should be flat (i.e., variation of less than 2 dB) within the frequency range between the lowest expected fundamental frequency of voice and the highest spectral component of interest. The equivalent noise level of the microphones is recommended to be at least 15 dB lower than the sound level of the softest phonations. The upper limit of the dynamic range of the microphone should be above the sound level of the loudest phonations. Directional microphones should be placed at the distance that corresponds to their maximally flat frequency response, to avoid the proximity effect; otherwise, they will be unsuitable for spectral and level measurements. Numerical values for these recommendations were derived for the microphone distances of 30 cm and 5 cm. Conclusions: The recommendations, while preliminary and in need of further numerical justification, should provide the basis for better accuracy and repeatability of studies on voice and speech production in the future. © American Speech-Language-Hearing Association.","author":[{"dropping-particle":"","family":"Švec","given":"Jan G.","non-dropping-particle":"","parse-names":false,"suffix":""},{"dropping-particle":"","family":"Granqvist","given":"Svante","non-dropping-particle":"","parse-names":false,"suffix":""}],"container-title":"American Journal of Speech-Language Pathology","id":"ITEM-1","issue":"4","issued":{"date-parts":[["2010"]]},"page":"356-368","title":"Guidelines for selecting microphones for human voice production research","type":"article-journal","volume":"19"},"uris":["http://www.mendeley.com/documents/?uuid=053de64b-35bf-435d-a23f-ca4c3f9016aa"]}],"mendeley":{"formattedCitation":"&lt;sup&gt;13&lt;/sup&gt;","plainTextFormattedCitation":"13","previouslyFormattedCitation":"&lt;sup&gt;13&lt;/sup&gt;"},"properties":{"noteIndex":0},"schema":"https://github.com/citation-style-language/schema/raw/master/csl-citation.json"}</w:instrText>
      </w:r>
      <w:r w:rsidR="00B869EF" w:rsidRPr="002D1F1A">
        <w:rPr>
          <w:rFonts w:ascii="Times New Roman" w:hAnsi="Times New Roman" w:cs="Times New Roman"/>
          <w:sz w:val="20"/>
          <w:szCs w:val="20"/>
          <w:lang w:val="en-US"/>
        </w:rPr>
        <w:fldChar w:fldCharType="separate"/>
      </w:r>
      <w:r w:rsidR="008726A6" w:rsidRPr="008726A6">
        <w:rPr>
          <w:rFonts w:ascii="Times New Roman" w:hAnsi="Times New Roman" w:cs="Times New Roman"/>
          <w:noProof/>
          <w:sz w:val="20"/>
          <w:szCs w:val="20"/>
          <w:vertAlign w:val="superscript"/>
          <w:lang w:val="en-US"/>
        </w:rPr>
        <w:t>13</w:t>
      </w:r>
      <w:r w:rsidR="00B869EF" w:rsidRPr="002D1F1A">
        <w:rPr>
          <w:rFonts w:ascii="Times New Roman" w:hAnsi="Times New Roman" w:cs="Times New Roman"/>
          <w:sz w:val="20"/>
          <w:szCs w:val="20"/>
          <w:lang w:val="en-US"/>
        </w:rPr>
        <w:fldChar w:fldCharType="end"/>
      </w:r>
      <w:r w:rsidR="002517C9" w:rsidRPr="002D1F1A">
        <w:rPr>
          <w:rFonts w:ascii="Times New Roman" w:hAnsi="Times New Roman" w:cs="Times New Roman"/>
          <w:sz w:val="20"/>
          <w:szCs w:val="20"/>
          <w:lang w:val="en-US"/>
        </w:rPr>
        <w:t xml:space="preserve">. </w:t>
      </w:r>
      <w:r w:rsidRPr="004B5F87">
        <w:rPr>
          <w:rFonts w:ascii="Times New Roman" w:hAnsi="Times New Roman" w:cs="Times New Roman"/>
          <w:sz w:val="20"/>
          <w:szCs w:val="20"/>
          <w:lang w:val="en-US"/>
        </w:rPr>
        <w:t>Integrated microphones in laptops generally capture sound at a distance that is not ideal. Small size laptops and headsets microphones have an omnidirectional polar pattern that picks up sound from all directions. The ideal microphone for excellent human voice production is a condenser with a cardioid polar pattern that attenuates noise from the surroundings</w:t>
      </w:r>
      <w:r w:rsidR="00182E18" w:rsidRPr="002D1F1A">
        <w:rPr>
          <w:rFonts w:ascii="Times New Roman" w:hAnsi="Times New Roman" w:cs="Times New Roman"/>
          <w:sz w:val="20"/>
          <w:szCs w:val="20"/>
          <w:lang w:val="en-US"/>
        </w:rPr>
        <w:fldChar w:fldCharType="begin" w:fldLock="1"/>
      </w:r>
      <w:r w:rsidR="008726A6">
        <w:rPr>
          <w:rFonts w:ascii="Times New Roman" w:hAnsi="Times New Roman" w:cs="Times New Roman"/>
          <w:sz w:val="20"/>
          <w:szCs w:val="20"/>
          <w:lang w:val="en-US"/>
        </w:rPr>
        <w:instrText>ADDIN CSL_CITATION {"citationItems":[{"id":"ITEM-1","itemData":{"DOI":"10.1044/1058-0360(2010/09-0091)","ISSN":"15589110","abstract":"Purpose: This tutorial addresses fundamental characteristics of microphones (frequency response, frequency range, dynamic range, and directionality), which are important for accurate measurements of voice and speech. Method: Technical and voice literature was reviewed and analyzed. The following recommendations on desirable microphone characteristics were formulated: The frequency response of microphones should be flat (i.e., variation of less than 2 dB) within the frequency range between the lowest expected fundamental frequency of voice and the highest spectral component of interest. The equivalent noise level of the microphones is recommended to be at least 15 dB lower than the sound level of the softest phonations. The upper limit of the dynamic range of the microphone should be above the sound level of the loudest phonations. Directional microphones should be placed at the distance that corresponds to their maximally flat frequency response, to avoid the proximity effect; otherwise, they will be unsuitable for spectral and level measurements. Numerical values for these recommendations were derived for the microphone distances of 30 cm and 5 cm. Conclusions: The recommendations, while preliminary and in need of further numerical justification, should provide the basis for better accuracy and repeatability of studies on voice and speech production in the future. © American Speech-Language-Hearing Association.","author":[{"dropping-particle":"","family":"Švec","given":"Jan G.","non-dropping-particle":"","parse-names":false,"suffix":""},{"dropping-particle":"","family":"Granqvist","given":"Svante","non-dropping-particle":"","parse-names":false,"suffix":""}],"container-title":"American Journal of Speech-Language Pathology","id":"ITEM-1","issue":"4","issued":{"date-parts":[["2010"]]},"page":"356-368","title":"Guidelines for selecting microphones for human voice production research","type":"article-journal","volume":"19"},"uris":["http://www.mendeley.com/documents/?uuid=053de64b-35bf-435d-a23f-ca4c3f9016aa"]}],"mendeley":{"formattedCitation":"&lt;sup&gt;13&lt;/sup&gt;","plainTextFormattedCitation":"13","previouslyFormattedCitation":"&lt;sup&gt;13&lt;/sup&gt;"},"properties":{"noteIndex":0},"schema":"https://github.com/citation-style-language/schema/raw/master/csl-citation.json"}</w:instrText>
      </w:r>
      <w:r w:rsidR="00182E18" w:rsidRPr="002D1F1A">
        <w:rPr>
          <w:rFonts w:ascii="Times New Roman" w:hAnsi="Times New Roman" w:cs="Times New Roman"/>
          <w:sz w:val="20"/>
          <w:szCs w:val="20"/>
          <w:lang w:val="en-US"/>
        </w:rPr>
        <w:fldChar w:fldCharType="separate"/>
      </w:r>
      <w:r w:rsidR="008726A6" w:rsidRPr="008726A6">
        <w:rPr>
          <w:rFonts w:ascii="Times New Roman" w:hAnsi="Times New Roman" w:cs="Times New Roman"/>
          <w:noProof/>
          <w:sz w:val="20"/>
          <w:szCs w:val="20"/>
          <w:vertAlign w:val="superscript"/>
          <w:lang w:val="en-US"/>
        </w:rPr>
        <w:t>13</w:t>
      </w:r>
      <w:r w:rsidR="00182E18" w:rsidRPr="002D1F1A">
        <w:rPr>
          <w:rFonts w:ascii="Times New Roman" w:hAnsi="Times New Roman" w:cs="Times New Roman"/>
          <w:sz w:val="20"/>
          <w:szCs w:val="20"/>
          <w:lang w:val="en-US"/>
        </w:rPr>
        <w:fldChar w:fldCharType="end"/>
      </w:r>
      <w:r w:rsidR="00BE6AA5" w:rsidRPr="002D1F1A">
        <w:rPr>
          <w:rFonts w:ascii="Times New Roman" w:hAnsi="Times New Roman" w:cs="Times New Roman"/>
          <w:sz w:val="20"/>
          <w:szCs w:val="20"/>
          <w:lang w:val="en-US"/>
        </w:rPr>
        <w:t>.</w:t>
      </w:r>
      <w:r w:rsidR="00BE6AA5" w:rsidRPr="002D1F1A">
        <w:rPr>
          <w:rFonts w:ascii="Times New Roman" w:eastAsia="Times New Roman" w:hAnsi="Times New Roman" w:cs="Times New Roman"/>
          <w:sz w:val="24"/>
          <w:szCs w:val="24"/>
          <w:lang w:val="en-US" w:eastAsia="id-ID"/>
        </w:rPr>
        <w:t xml:space="preserve"> </w:t>
      </w:r>
      <w:r w:rsidRPr="004B5F87">
        <w:rPr>
          <w:rFonts w:ascii="Times New Roman" w:hAnsi="Times New Roman" w:cs="Times New Roman"/>
          <w:sz w:val="20"/>
          <w:szCs w:val="20"/>
          <w:lang w:val="en-US"/>
        </w:rPr>
        <w:t>Condenser microphones are generally used to produce audio recordings or podcasts, make simple video presentations with Microsoft PowerPoint, or record videos with screen recording techniques. For virtual synchronous meetings, the use of a condenser microphone will also produce stable and noise-free sound. While the clip-on microphone is usually used for video recording using a video camera or cell phone. Several types of clip-on microphones are also equipped with noise-canceling facilities. Although condenser microphones and clip-on microphones are essential to produce good quality audio, it turns out that these facilities are only owned by 59% of respondents</w:t>
      </w:r>
      <w:r w:rsidR="002517C9" w:rsidRPr="002D1F1A">
        <w:rPr>
          <w:rFonts w:ascii="Times New Roman" w:hAnsi="Times New Roman" w:cs="Times New Roman"/>
          <w:sz w:val="20"/>
          <w:szCs w:val="20"/>
          <w:lang w:val="en-US"/>
        </w:rPr>
        <w:t xml:space="preserve">. </w:t>
      </w:r>
    </w:p>
    <w:p w14:paraId="102BE4BF" w14:textId="14ED08E5" w:rsidR="002517C9" w:rsidRPr="002D1F1A" w:rsidRDefault="004B5F87" w:rsidP="002517C9">
      <w:pPr>
        <w:ind w:firstLine="284"/>
        <w:jc w:val="both"/>
        <w:rPr>
          <w:rFonts w:ascii="Times New Roman" w:hAnsi="Times New Roman" w:cs="Times New Roman"/>
          <w:sz w:val="20"/>
          <w:szCs w:val="20"/>
          <w:lang w:val="en-US"/>
        </w:rPr>
      </w:pPr>
      <w:r w:rsidRPr="004B5F87">
        <w:rPr>
          <w:rFonts w:ascii="Times New Roman" w:hAnsi="Times New Roman" w:cs="Times New Roman"/>
          <w:sz w:val="20"/>
          <w:szCs w:val="20"/>
          <w:lang w:val="en-US"/>
        </w:rPr>
        <w:t xml:space="preserve">Nearly 57% of lecturer respondents have lighting equipment at their disposal. The choice of lighting in the home environment can be from simple ones, such as table lamps, ring lights, or LED video lights. The use of lighting in video conference activities is helpful to see the lecturer's face more clearly. Sometimes the lecturer also video-shared an item during a video conference that requires sufficient lighting. Lighting also helps when recording video with a webcam. An external webcam with HD quality should be used to produce good images, video conferencing, and </w:t>
      </w:r>
      <w:r w:rsidRPr="004B5F87">
        <w:rPr>
          <w:rFonts w:ascii="Times New Roman" w:hAnsi="Times New Roman" w:cs="Times New Roman"/>
          <w:sz w:val="20"/>
          <w:szCs w:val="20"/>
          <w:lang w:val="en-US"/>
        </w:rPr>
        <w:lastRenderedPageBreak/>
        <w:t>video recording. An external webcam will offer flexibility if the lecturer wants to show an item or tool not positioned in front of the laptop. An HD quality of 720p will produce video recordings with good visual quality, which generation Z students like. Although an external webcam has its merit, this tool is only owned by 25% of the respondents. Most of the respondents still rely on the laptop's built-in webcam or convert their cell phones into cameras with the help of applications</w:t>
      </w:r>
      <w:r w:rsidR="002517C9" w:rsidRPr="002D1F1A">
        <w:rPr>
          <w:rFonts w:ascii="Times New Roman" w:hAnsi="Times New Roman" w:cs="Times New Roman"/>
          <w:sz w:val="20"/>
          <w:szCs w:val="20"/>
          <w:lang w:val="en-US"/>
        </w:rPr>
        <w:t>.</w:t>
      </w:r>
    </w:p>
    <w:p w14:paraId="6A8BDF55" w14:textId="63B163C5" w:rsidR="00BE3085" w:rsidRPr="002D1F1A" w:rsidRDefault="00BE3085" w:rsidP="00BE3085">
      <w:pPr>
        <w:ind w:firstLine="284"/>
        <w:jc w:val="both"/>
        <w:rPr>
          <w:rFonts w:ascii="Times New Roman" w:hAnsi="Times New Roman" w:cs="Times New Roman"/>
          <w:sz w:val="20"/>
          <w:szCs w:val="20"/>
          <w:lang w:val="en-US"/>
        </w:rPr>
      </w:pPr>
      <w:r w:rsidRPr="002D1F1A">
        <w:rPr>
          <w:rFonts w:ascii="Times New Roman" w:hAnsi="Times New Roman" w:cs="Times New Roman"/>
          <w:sz w:val="20"/>
          <w:szCs w:val="20"/>
          <w:lang w:val="en-US"/>
        </w:rPr>
        <w:t>A second monitor for extended desktop is owned by only 16% of respondents. The use of an extended desktop can increase work effectiveness. An extended desktop is needed if the lecturer wants to open several applications on top</w:t>
      </w:r>
      <w:r w:rsidR="00971DBE" w:rsidRPr="002D1F1A">
        <w:rPr>
          <w:rFonts w:ascii="Times New Roman" w:hAnsi="Times New Roman" w:cs="Times New Roman"/>
          <w:sz w:val="20"/>
          <w:szCs w:val="20"/>
          <w:lang w:val="en-US"/>
        </w:rPr>
        <w:fldChar w:fldCharType="begin" w:fldLock="1"/>
      </w:r>
      <w:r w:rsidR="008726A6">
        <w:rPr>
          <w:rFonts w:ascii="Times New Roman" w:hAnsi="Times New Roman" w:cs="Times New Roman"/>
          <w:sz w:val="20"/>
          <w:szCs w:val="20"/>
          <w:lang w:val="en-US"/>
        </w:rPr>
        <w:instrText>ADDIN CSL_CITATION {"citationItems":[{"id":"ITEM-1","itemData":{"ISBN":"9780965450669","abstract":"For a majority of users, a computer workstation conjures an image of a person seated on an office chair with a monitor, and data input devices such as keyboard or mouse. In some instances, due to the nature of the task being performed or due to user’s preference, it is quite likely to see two monitors connected to a single Central Processing Unit (CPU) being used at the same time. Various guidelines and recommendations exist for workstation setups that involve the use of a single monitor. However, guidelines for practical setup and use of workstations involving dual monitors are not abundantly available. Thus, it becomes necessary for ergonomists conducting workstation evaluations to have knowledge of criteria for situations that involve use of dual monitors in the workstation and its practical application. This paper aims to provide practical recommendations that could be used by practitioners while evaluating workstations with dual monitors.","author":[{"dropping-particle":"","family":"Kumar","given":"Anil R","non-dropping-particle":"","parse-names":false,"suffix":""},{"dropping-particle":"","family":"Ware","given":"Brandy F","non-dropping-particle":"","parse-names":false,"suffix":""},{"dropping-particle":"","family":"Subramanian","given":"Anand","non-dropping-particle":"","parse-names":false,"suffix":""},{"dropping-particle":"","family":"McClellan","given":"Samantha","non-dropping-particle":"","parse-names":false,"suffix":""},{"dropping-particle":"","family":"Noriega","given":"Eric","non-dropping-particle":"","parse-names":false,"suffix":""},{"dropping-particle":"","family":"Fernandez","given":"Jeffrey","non-dropping-particle":"","parse-names":false,"suffix":""}],"container-title":"Proceedings of the 13th Annual International Conference on Industrial Engineering","id":"ITEM-1","issued":{"date-parts":[["2008"]]},"page":"351-355","publisher-place":"Las Vegas, Nevada","title":"Applications and ergonomic guidelines for dual monitors","type":"paper-conference","volume":"2008"},"uris":["http://www.mendeley.com/documents/?uuid=5f9f3506-0d1c-4822-9809-6345add14d88"]}],"mendeley":{"formattedCitation":"&lt;sup&gt;14&lt;/sup&gt;","plainTextFormattedCitation":"14","previouslyFormattedCitation":"&lt;sup&gt;14&lt;/sup&gt;"},"properties":{"noteIndex":0},"schema":"https://github.com/citation-style-language/schema/raw/master/csl-citation.json"}</w:instrText>
      </w:r>
      <w:r w:rsidR="00971DBE" w:rsidRPr="002D1F1A">
        <w:rPr>
          <w:rFonts w:ascii="Times New Roman" w:hAnsi="Times New Roman" w:cs="Times New Roman"/>
          <w:sz w:val="20"/>
          <w:szCs w:val="20"/>
          <w:lang w:val="en-US"/>
        </w:rPr>
        <w:fldChar w:fldCharType="separate"/>
      </w:r>
      <w:r w:rsidR="008726A6" w:rsidRPr="008726A6">
        <w:rPr>
          <w:rFonts w:ascii="Times New Roman" w:hAnsi="Times New Roman" w:cs="Times New Roman"/>
          <w:noProof/>
          <w:sz w:val="20"/>
          <w:szCs w:val="20"/>
          <w:vertAlign w:val="superscript"/>
          <w:lang w:val="en-US"/>
        </w:rPr>
        <w:t>14</w:t>
      </w:r>
      <w:r w:rsidR="00971DBE" w:rsidRPr="002D1F1A">
        <w:rPr>
          <w:rFonts w:ascii="Times New Roman" w:hAnsi="Times New Roman" w:cs="Times New Roman"/>
          <w:sz w:val="20"/>
          <w:szCs w:val="20"/>
          <w:lang w:val="en-US"/>
        </w:rPr>
        <w:fldChar w:fldCharType="end"/>
      </w:r>
      <w:r w:rsidR="00971DBE" w:rsidRPr="002D1F1A">
        <w:rPr>
          <w:rFonts w:ascii="Times New Roman" w:hAnsi="Times New Roman" w:cs="Times New Roman"/>
          <w:sz w:val="20"/>
          <w:szCs w:val="20"/>
          <w:lang w:val="en-US"/>
        </w:rPr>
        <w:t xml:space="preserve">. </w:t>
      </w:r>
      <w:r w:rsidR="00190A61" w:rsidRPr="002D1F1A">
        <w:rPr>
          <w:rFonts w:ascii="Times New Roman" w:hAnsi="Times New Roman" w:cs="Times New Roman"/>
          <w:sz w:val="20"/>
          <w:szCs w:val="20"/>
          <w:lang w:val="en-US"/>
        </w:rPr>
        <w:t>Teaching using</w:t>
      </w:r>
      <w:r w:rsidRPr="002D1F1A">
        <w:rPr>
          <w:rFonts w:ascii="Times New Roman" w:hAnsi="Times New Roman" w:cs="Times New Roman"/>
          <w:sz w:val="20"/>
          <w:szCs w:val="20"/>
          <w:lang w:val="en-US"/>
        </w:rPr>
        <w:t xml:space="preserve"> video conference</w:t>
      </w:r>
      <w:r w:rsidR="00190A61" w:rsidRPr="002D1F1A">
        <w:rPr>
          <w:rFonts w:ascii="Times New Roman" w:hAnsi="Times New Roman" w:cs="Times New Roman"/>
          <w:sz w:val="20"/>
          <w:szCs w:val="20"/>
          <w:lang w:val="en-US"/>
        </w:rPr>
        <w:t xml:space="preserve"> technology</w:t>
      </w:r>
      <w:r w:rsidRPr="002D1F1A">
        <w:rPr>
          <w:rFonts w:ascii="Times New Roman" w:hAnsi="Times New Roman" w:cs="Times New Roman"/>
          <w:sz w:val="20"/>
          <w:szCs w:val="20"/>
          <w:lang w:val="en-US"/>
        </w:rPr>
        <w:t xml:space="preserve"> usually require</w:t>
      </w:r>
      <w:r w:rsidR="00190A61" w:rsidRPr="002D1F1A">
        <w:rPr>
          <w:rFonts w:ascii="Times New Roman" w:hAnsi="Times New Roman" w:cs="Times New Roman"/>
          <w:sz w:val="20"/>
          <w:szCs w:val="20"/>
          <w:lang w:val="en-US"/>
        </w:rPr>
        <w:t>s several applications at once, such as</w:t>
      </w:r>
      <w:r w:rsidRPr="002D1F1A">
        <w:rPr>
          <w:rFonts w:ascii="Times New Roman" w:hAnsi="Times New Roman" w:cs="Times New Roman"/>
          <w:sz w:val="20"/>
          <w:szCs w:val="20"/>
          <w:lang w:val="en-US"/>
        </w:rPr>
        <w:t xml:space="preserve"> Microsoft PowerPoint, video conferencing software, internet browsers, and others.</w:t>
      </w:r>
    </w:p>
    <w:p w14:paraId="26E5DDD2" w14:textId="61F1ED33" w:rsidR="00BE3085" w:rsidRPr="002D1F1A" w:rsidRDefault="00BE3085" w:rsidP="009033B2">
      <w:pPr>
        <w:ind w:firstLine="284"/>
        <w:jc w:val="both"/>
        <w:rPr>
          <w:rFonts w:ascii="Times New Roman" w:hAnsi="Times New Roman" w:cs="Times New Roman"/>
          <w:sz w:val="20"/>
          <w:szCs w:val="20"/>
          <w:lang w:val="en-US"/>
        </w:rPr>
      </w:pPr>
      <w:r w:rsidRPr="002D1F1A">
        <w:rPr>
          <w:rFonts w:ascii="Times New Roman" w:hAnsi="Times New Roman" w:cs="Times New Roman"/>
          <w:sz w:val="20"/>
          <w:szCs w:val="20"/>
          <w:lang w:val="en-US"/>
        </w:rPr>
        <w:t>Whether in a classroom or a virtual setting, synchronous meetings should not be dominated b</w:t>
      </w:r>
      <w:r w:rsidR="00D728BD">
        <w:rPr>
          <w:rFonts w:ascii="Times New Roman" w:hAnsi="Times New Roman" w:cs="Times New Roman"/>
          <w:sz w:val="20"/>
          <w:szCs w:val="20"/>
          <w:lang w:val="en-US"/>
        </w:rPr>
        <w:t xml:space="preserve">y </w:t>
      </w:r>
      <w:r w:rsidRPr="002D1F1A">
        <w:rPr>
          <w:rFonts w:ascii="Times New Roman" w:hAnsi="Times New Roman" w:cs="Times New Roman"/>
          <w:sz w:val="20"/>
          <w:szCs w:val="20"/>
          <w:lang w:val="en-US"/>
        </w:rPr>
        <w:t xml:space="preserve">lectures. Synchronous </w:t>
      </w:r>
      <w:r w:rsidR="00190A61" w:rsidRPr="002D1F1A">
        <w:rPr>
          <w:rFonts w:ascii="Times New Roman" w:hAnsi="Times New Roman" w:cs="Times New Roman"/>
          <w:sz w:val="20"/>
          <w:szCs w:val="20"/>
          <w:lang w:val="en-US"/>
        </w:rPr>
        <w:t xml:space="preserve">and virtual </w:t>
      </w:r>
      <w:r w:rsidR="00776C89" w:rsidRPr="002D1F1A">
        <w:rPr>
          <w:rFonts w:ascii="Times New Roman" w:hAnsi="Times New Roman" w:cs="Times New Roman"/>
          <w:sz w:val="20"/>
          <w:szCs w:val="20"/>
          <w:lang w:val="en-US"/>
        </w:rPr>
        <w:t>synchronous meetings provide responsive feedback from the lecturer</w:t>
      </w:r>
      <w:r w:rsidRPr="002D1F1A">
        <w:rPr>
          <w:rFonts w:ascii="Times New Roman" w:hAnsi="Times New Roman" w:cs="Times New Roman"/>
          <w:sz w:val="20"/>
          <w:szCs w:val="20"/>
          <w:lang w:val="en-US"/>
        </w:rPr>
        <w:t xml:space="preserve"> for discussion activities, student presentations, simulations, and demonstrations. If all participants turn their microphone</w:t>
      </w:r>
      <w:r w:rsidR="00AB1E35" w:rsidRPr="002D1F1A">
        <w:rPr>
          <w:rFonts w:ascii="Times New Roman" w:hAnsi="Times New Roman" w:cs="Times New Roman"/>
          <w:sz w:val="20"/>
          <w:szCs w:val="20"/>
          <w:lang w:val="en-US"/>
        </w:rPr>
        <w:t>s</w:t>
      </w:r>
      <w:r w:rsidRPr="002D1F1A">
        <w:rPr>
          <w:rFonts w:ascii="Times New Roman" w:hAnsi="Times New Roman" w:cs="Times New Roman"/>
          <w:sz w:val="20"/>
          <w:szCs w:val="20"/>
          <w:lang w:val="en-US"/>
        </w:rPr>
        <w:t xml:space="preserve"> on to express their opinion, a noisy atmosphere will disturb </w:t>
      </w:r>
      <w:r w:rsidR="00AB1E35" w:rsidRPr="002D1F1A">
        <w:rPr>
          <w:rFonts w:ascii="Times New Roman" w:hAnsi="Times New Roman" w:cs="Times New Roman"/>
          <w:sz w:val="20"/>
          <w:szCs w:val="20"/>
          <w:lang w:val="en-US"/>
        </w:rPr>
        <w:t>student's</w:t>
      </w:r>
      <w:r w:rsidRPr="002D1F1A">
        <w:rPr>
          <w:rFonts w:ascii="Times New Roman" w:hAnsi="Times New Roman" w:cs="Times New Roman"/>
          <w:sz w:val="20"/>
          <w:szCs w:val="20"/>
          <w:lang w:val="en-US"/>
        </w:rPr>
        <w:t xml:space="preserve"> </w:t>
      </w:r>
      <w:r w:rsidR="00A142DE" w:rsidRPr="002D1F1A">
        <w:rPr>
          <w:rFonts w:ascii="Times New Roman" w:hAnsi="Times New Roman" w:cs="Times New Roman"/>
          <w:sz w:val="20"/>
          <w:szCs w:val="20"/>
          <w:lang w:val="en-US"/>
        </w:rPr>
        <w:t>concentration</w:t>
      </w:r>
      <w:r w:rsidR="00FC5D67">
        <w:rPr>
          <w:rFonts w:ascii="Times New Roman" w:hAnsi="Times New Roman" w:cs="Times New Roman"/>
          <w:sz w:val="20"/>
          <w:szCs w:val="20"/>
          <w:lang w:val="en-US"/>
        </w:rPr>
        <w:fldChar w:fldCharType="begin" w:fldLock="1"/>
      </w:r>
      <w:r w:rsidR="00FC5D67">
        <w:rPr>
          <w:rFonts w:ascii="Times New Roman" w:hAnsi="Times New Roman" w:cs="Times New Roman"/>
          <w:sz w:val="20"/>
          <w:szCs w:val="20"/>
          <w:lang w:val="en-US"/>
        </w:rPr>
        <w:instrText>ADDIN CSL_CITATION {"citationItems":[{"id":"ITEM-1","itemData":{"DOI":"10.1016/j.bjoms.2020.04.046","ISSN":"15321940","PMID":"32417017","abstract":"During the current coronavirus pandemic, social distancing and restrictions on travel have resulted in a dramatic rise in the use of technology (including video conferencing) for remote meetings. From local multidisciplinary team (MDT) meetings to national and international committees, this form of communication has been vital to ensure patient-related and other business can continue, albeit in a sometimes unfamiliar environment. In this article we consider some of the human factors elements of remote meetings and provide suggestions to enhance the experience of team and committee members during this unsettling time. It is possible that this form of communication will continue to flourish after the pandemic is over.","author":[{"dropping-particle":"","family":"Oeppen","given":"R. S.","non-dropping-particle":"","parse-names":false,"suffix":""},{"dropping-particle":"","family":"Shaw","given":"G.","non-dropping-particle":"","parse-names":false,"suffix":""},{"dropping-particle":"","family":"Brennan","given":"P. A.","non-dropping-particle":"","parse-names":false,"suffix":""}],"container-title":"British Journal of Oral and Maxillofacial Surgery","id":"ITEM-1","issue":"6","issued":{"date-parts":[["2020"]]},"page":"643-646","publisher":"British Association of Oral and Maxillofacial Surgeons","title":"Human factors recognition at virtual meetings and video conferencing: how to get the best performance from yourself and others","type":"article-journal","volume":"58"},"uris":["http://www.mendeley.com/documents/?uuid=9cd09fb4-d19a-4d94-ae2d-0e66a403558f"]}],"mendeley":{"formattedCitation":"&lt;sup&gt;12&lt;/sup&gt;","plainTextFormattedCitation":"12","previouslyFormattedCitation":"&lt;sup&gt;12&lt;/sup&gt;"},"properties":{"noteIndex":0},"schema":"https://github.com/citation-style-language/schema/raw/master/csl-citation.json"}</w:instrText>
      </w:r>
      <w:r w:rsidR="00FC5D67">
        <w:rPr>
          <w:rFonts w:ascii="Times New Roman" w:hAnsi="Times New Roman" w:cs="Times New Roman"/>
          <w:sz w:val="20"/>
          <w:szCs w:val="20"/>
          <w:lang w:val="en-US"/>
        </w:rPr>
        <w:fldChar w:fldCharType="separate"/>
      </w:r>
      <w:r w:rsidR="00FC5D67" w:rsidRPr="00FC5D67">
        <w:rPr>
          <w:rFonts w:ascii="Times New Roman" w:hAnsi="Times New Roman" w:cs="Times New Roman"/>
          <w:noProof/>
          <w:sz w:val="20"/>
          <w:szCs w:val="20"/>
          <w:vertAlign w:val="superscript"/>
          <w:lang w:val="en-US"/>
        </w:rPr>
        <w:t>12</w:t>
      </w:r>
      <w:r w:rsidR="00FC5D67">
        <w:rPr>
          <w:rFonts w:ascii="Times New Roman" w:hAnsi="Times New Roman" w:cs="Times New Roman"/>
          <w:sz w:val="20"/>
          <w:szCs w:val="20"/>
          <w:lang w:val="en-US"/>
        </w:rPr>
        <w:fldChar w:fldCharType="end"/>
      </w:r>
      <w:r w:rsidRPr="002D1F1A">
        <w:rPr>
          <w:rFonts w:ascii="Times New Roman" w:hAnsi="Times New Roman" w:cs="Times New Roman"/>
          <w:sz w:val="20"/>
          <w:szCs w:val="20"/>
          <w:lang w:val="en-US"/>
        </w:rPr>
        <w:t>. Talking in the video conference room must be done in turns. When discussion activities are carried out in virtual synchronous meetings, a strategy is needed so that it is not only one person turning on the microphone, which can reduce other students</w:t>
      </w:r>
      <w:r w:rsidR="00AB1E35" w:rsidRPr="002D1F1A">
        <w:rPr>
          <w:rFonts w:ascii="Times New Roman" w:hAnsi="Times New Roman" w:cs="Times New Roman"/>
          <w:sz w:val="20"/>
          <w:szCs w:val="20"/>
          <w:lang w:val="en-US"/>
        </w:rPr>
        <w:t>' enggagement</w:t>
      </w:r>
      <w:r w:rsidR="00367060" w:rsidRPr="002D1F1A">
        <w:rPr>
          <w:rFonts w:ascii="Times New Roman" w:hAnsi="Times New Roman" w:cs="Times New Roman"/>
          <w:sz w:val="20"/>
          <w:szCs w:val="20"/>
          <w:lang w:val="en-US"/>
        </w:rPr>
        <w:fldChar w:fldCharType="begin" w:fldLock="1"/>
      </w:r>
      <w:r w:rsidR="000A78A1" w:rsidRPr="002D1F1A">
        <w:rPr>
          <w:rFonts w:ascii="Times New Roman" w:hAnsi="Times New Roman" w:cs="Times New Roman"/>
          <w:sz w:val="20"/>
          <w:szCs w:val="20"/>
          <w:lang w:val="en-US"/>
        </w:rPr>
        <w:instrText>ADDIN CSL_CITATION {"citationItems":[{"id":"ITEM-1","itemData":{"DOI":"10.1016/j.jsurg.2020.03.018","ISSN":"18787452","PMID":"32253133","abstract":"Background: The COVID-19 pandemic presents a unique challenge to surgical residency programs. Due to the restrictions recommended by the Centers for Disease Control and Prevention and other organizations, the educational landscape for surgical residents is rapidly changing. In addition, the time course of these changes is undefined. Methods: We attempt to define the scope of the problem of maintaining surgical resident education while maintaining the safety of residents, educators, and patients. Within the basic framework of limiting in-person gatherings, postponing or canceling elective operations in hospitals, and limiting rotations between sites, we propose innovative solutions to maintain rigorous education. Results: We propose several innovative solutions including the flipped classroom model, online practice questions, teleconferencing in place of in-person lectures, involving residents in telemedicine clinics, procedural simulation, and the facilitated use of surgical videos. Although there is no substitute for hands-on learning through operative experience and direct patient care, these may be ways to mitigate the loss of learning exposure during this time. Conclusions: These innovative solutions utilizing technology may help to bridge the educational gap for surgical residents during this unprecedented circumstance. The support of national organizations may be beneficial in maintaining rigorous surgical education.","author":[{"dropping-particle":"","family":"Chick","given":"Robert Connor","non-dropping-particle":"","parse-names":false,"suffix":""},{"dropping-particle":"","family":"Clifton","given":"Guy Travis","non-dropping-particle":"","parse-names":false,"suffix":""},{"dropping-particle":"","family":"Peace","given":"Kaitlin M.","non-dropping-particle":"","parse-names":false,"suffix":""},{"dropping-particle":"","family":"Propper","given":"Brandon W.","non-dropping-particle":"","parse-names":false,"suffix":""},{"dropping-particle":"","family":"Hale","given":"Diane F.","non-dropping-particle":"","parse-names":false,"suffix":""},{"dropping-particle":"","family":"Alseidi","given":"Adnan A.","non-dropping-particle":"","parse-names":false,"suffix":""},{"dropping-particle":"","family":"Vreeland","given":"Timothy J.","non-dropping-particle":"","parse-names":false,"suffix":""}],"container-title":"Journal of Surgical Education","id":"ITEM-1","issue":"4","issued":{"date-parts":[["2020"]]},"page":"729-732","publisher":"Elsevier Inc.","title":"Using Technology to Maintain the Education of Residents During the COVID-19 Pandemic","type":"article-journal","volume":"77"},"uris":["http://www.mendeley.com/documents/?uuid=62932e63-f2de-4e80-875c-70676bd9a351"]}],"mendeley":{"formattedCitation":"&lt;sup&gt;3&lt;/sup&gt;","plainTextFormattedCitation":"3","previouslyFormattedCitation":"&lt;sup&gt;3&lt;/sup&gt;"},"properties":{"noteIndex":0},"schema":"https://github.com/citation-style-language/schema/raw/master/csl-citation.json"}</w:instrText>
      </w:r>
      <w:r w:rsidR="00367060" w:rsidRPr="002D1F1A">
        <w:rPr>
          <w:rFonts w:ascii="Times New Roman" w:hAnsi="Times New Roman" w:cs="Times New Roman"/>
          <w:sz w:val="20"/>
          <w:szCs w:val="20"/>
          <w:lang w:val="en-US"/>
        </w:rPr>
        <w:fldChar w:fldCharType="separate"/>
      </w:r>
      <w:r w:rsidR="00367060" w:rsidRPr="002D1F1A">
        <w:rPr>
          <w:rFonts w:ascii="Times New Roman" w:hAnsi="Times New Roman" w:cs="Times New Roman"/>
          <w:noProof/>
          <w:sz w:val="20"/>
          <w:szCs w:val="20"/>
          <w:vertAlign w:val="superscript"/>
          <w:lang w:val="en-US"/>
        </w:rPr>
        <w:t>3</w:t>
      </w:r>
      <w:r w:rsidR="00367060" w:rsidRPr="002D1F1A">
        <w:rPr>
          <w:rFonts w:ascii="Times New Roman" w:hAnsi="Times New Roman" w:cs="Times New Roman"/>
          <w:sz w:val="20"/>
          <w:szCs w:val="20"/>
          <w:lang w:val="en-US"/>
        </w:rPr>
        <w:fldChar w:fldCharType="end"/>
      </w:r>
      <w:r w:rsidR="009033B2" w:rsidRPr="002D1F1A">
        <w:rPr>
          <w:rFonts w:ascii="Times New Roman" w:hAnsi="Times New Roman" w:cs="Times New Roman"/>
          <w:sz w:val="20"/>
          <w:szCs w:val="20"/>
          <w:lang w:val="en-US"/>
        </w:rPr>
        <w:t>.</w:t>
      </w:r>
      <w:r w:rsidR="000A78A1" w:rsidRPr="002D1F1A">
        <w:rPr>
          <w:rFonts w:ascii="Times New Roman" w:hAnsi="Times New Roman" w:cs="Times New Roman"/>
          <w:sz w:val="20"/>
          <w:szCs w:val="20"/>
          <w:lang w:val="en-US"/>
        </w:rPr>
        <w:t xml:space="preserve"> </w:t>
      </w:r>
      <w:r w:rsidRPr="002D1F1A">
        <w:rPr>
          <w:rFonts w:ascii="Times New Roman" w:hAnsi="Times New Roman" w:cs="Times New Roman"/>
          <w:sz w:val="20"/>
          <w:szCs w:val="20"/>
          <w:lang w:val="en-US"/>
        </w:rPr>
        <w:t xml:space="preserve">Therefore, lecturers need to master the skills to use interactive </w:t>
      </w:r>
      <w:r w:rsidR="00AB1E35" w:rsidRPr="002D1F1A">
        <w:rPr>
          <w:rFonts w:ascii="Times New Roman" w:hAnsi="Times New Roman" w:cs="Times New Roman"/>
          <w:sz w:val="20"/>
          <w:szCs w:val="20"/>
          <w:lang w:val="en-US"/>
        </w:rPr>
        <w:t>applications</w:t>
      </w:r>
      <w:r w:rsidRPr="002D1F1A">
        <w:rPr>
          <w:rFonts w:ascii="Times New Roman" w:hAnsi="Times New Roman" w:cs="Times New Roman"/>
          <w:sz w:val="20"/>
          <w:szCs w:val="20"/>
          <w:lang w:val="en-US"/>
        </w:rPr>
        <w:t xml:space="preserve"> when hosting video conferences. Currently, there are many applications for collaborative and online discussions using digital whiteboards such as Padlet, Miro, Explain Everything, and others</w:t>
      </w:r>
      <w:r w:rsidR="000A78A1" w:rsidRPr="002D1F1A">
        <w:rPr>
          <w:rFonts w:ascii="Times New Roman" w:hAnsi="Times New Roman" w:cs="Times New Roman"/>
          <w:sz w:val="20"/>
          <w:szCs w:val="20"/>
          <w:lang w:val="en-US"/>
        </w:rPr>
        <w:fldChar w:fldCharType="begin" w:fldLock="1"/>
      </w:r>
      <w:r w:rsidR="000A78A1" w:rsidRPr="002D1F1A">
        <w:rPr>
          <w:rFonts w:ascii="Times New Roman" w:hAnsi="Times New Roman" w:cs="Times New Roman"/>
          <w:sz w:val="20"/>
          <w:szCs w:val="20"/>
          <w:lang w:val="en-US"/>
        </w:rPr>
        <w:instrText>ADDIN CSL_CITATION {"citationItems":[{"id":"ITEM-1","itemData":{"DOI":"10.1016/j.teln.2018.03.008","ISSN":"15573087","abstract":"Generation Z, a unique and truly digital native generation, is now entering college and the workplace. This article identifies generational influences and distinctive characteristics of this group, which may challenge nurse educators and require changes in teaching–learning design strategies and approaches. Specific educational suggestions and ways to support members of Generation Z in higher education and the workplace are offered.","author":[{"dropping-particle":"","family":"Chicca","given":"Jennifer","non-dropping-particle":"","parse-names":false,"suffix":""},{"dropping-particle":"","family":"Shellenbarger","given":"Teresa","non-dropping-particle":"","parse-names":false,"suffix":""}],"container-title":"Teaching and Learning in Nursing","id":"ITEM-1","issue":"3","issued":{"date-parts":[["2018"]]},"page":"180-184","publisher":"Organization for Associate Degree Nursing.","title":"Connecting with Generation Z: Approaches in Nursing Education","type":"article-journal","volume":"13"},"uris":["http://www.mendeley.com/documents/?uuid=14eeda11-08f6-4488-9fbf-240b60a538a0"]}],"mendeley":{"formattedCitation":"&lt;sup&gt;2&lt;/sup&gt;","plainTextFormattedCitation":"2","previouslyFormattedCitation":"&lt;sup&gt;2&lt;/sup&gt;"},"properties":{"noteIndex":0},"schema":"https://github.com/citation-style-language/schema/raw/master/csl-citation.json"}</w:instrText>
      </w:r>
      <w:r w:rsidR="000A78A1" w:rsidRPr="002D1F1A">
        <w:rPr>
          <w:rFonts w:ascii="Times New Roman" w:hAnsi="Times New Roman" w:cs="Times New Roman"/>
          <w:sz w:val="20"/>
          <w:szCs w:val="20"/>
          <w:lang w:val="en-US"/>
        </w:rPr>
        <w:fldChar w:fldCharType="separate"/>
      </w:r>
      <w:r w:rsidR="000A78A1" w:rsidRPr="002D1F1A">
        <w:rPr>
          <w:rFonts w:ascii="Times New Roman" w:hAnsi="Times New Roman" w:cs="Times New Roman"/>
          <w:noProof/>
          <w:sz w:val="20"/>
          <w:szCs w:val="20"/>
          <w:vertAlign w:val="superscript"/>
          <w:lang w:val="en-US"/>
        </w:rPr>
        <w:t>2</w:t>
      </w:r>
      <w:r w:rsidR="000A78A1" w:rsidRPr="002D1F1A">
        <w:rPr>
          <w:rFonts w:ascii="Times New Roman" w:hAnsi="Times New Roman" w:cs="Times New Roman"/>
          <w:sz w:val="20"/>
          <w:szCs w:val="20"/>
          <w:lang w:val="en-US"/>
        </w:rPr>
        <w:fldChar w:fldCharType="end"/>
      </w:r>
      <w:r w:rsidR="009033B2" w:rsidRPr="002D1F1A">
        <w:rPr>
          <w:rFonts w:ascii="Times New Roman" w:hAnsi="Times New Roman" w:cs="Times New Roman"/>
          <w:sz w:val="20"/>
          <w:szCs w:val="20"/>
          <w:lang w:val="en-US"/>
        </w:rPr>
        <w:t xml:space="preserve">. </w:t>
      </w:r>
      <w:r w:rsidRPr="002D1F1A">
        <w:rPr>
          <w:rFonts w:ascii="Times New Roman" w:hAnsi="Times New Roman" w:cs="Times New Roman"/>
          <w:sz w:val="20"/>
          <w:szCs w:val="20"/>
          <w:lang w:val="en-US"/>
        </w:rPr>
        <w:t>There are stand-alone poll applications such as Mentimeter, Slido, and Poll Everywhere, or integrated into the video conferencing software</w:t>
      </w:r>
      <w:r w:rsidR="000A78A1" w:rsidRPr="002D1F1A">
        <w:rPr>
          <w:rFonts w:ascii="Times New Roman" w:hAnsi="Times New Roman" w:cs="Times New Roman"/>
          <w:sz w:val="20"/>
          <w:szCs w:val="20"/>
          <w:lang w:val="en-US"/>
        </w:rPr>
        <w:fldChar w:fldCharType="begin" w:fldLock="1"/>
      </w:r>
      <w:r w:rsidR="00A2018E" w:rsidRPr="002D1F1A">
        <w:rPr>
          <w:rFonts w:ascii="Times New Roman" w:hAnsi="Times New Roman" w:cs="Times New Roman"/>
          <w:sz w:val="20"/>
          <w:szCs w:val="20"/>
          <w:lang w:val="en-US"/>
        </w:rPr>
        <w:instrText>ADDIN CSL_CITATION {"citationItems":[{"id":"ITEM-1","itemData":{"DOI":"10.1016/j.teln.2018.03.008","ISSN":"15573087","abstract":"Generation Z, a unique and truly digital native generation, is now entering college and the workplace. This article identifies generational influences and distinctive characteristics of this group, which may challenge nurse educators and require changes in teaching–learning design strategies and approaches. Specific educational suggestions and ways to support members of Generation Z in higher education and the workplace are offered.","author":[{"dropping-particle":"","family":"Chicca","given":"Jennifer","non-dropping-particle":"","parse-names":false,"suffix":""},{"dropping-particle":"","family":"Shellenbarger","given":"Teresa","non-dropping-particle":"","parse-names":false,"suffix":""}],"container-title":"Teaching and Learning in Nursing","id":"ITEM-1","issue":"3","issued":{"date-parts":[["2018"]]},"page":"180-184","publisher":"Organization for Associate Degree Nursing.","title":"Connecting with Generation Z: Approaches in Nursing Education","type":"article-journal","volume":"13"},"uris":["http://www.mendeley.com/documents/?uuid=14eeda11-08f6-4488-9fbf-240b60a538a0"]},{"id":"ITEM-2","itemData":{"DOI":"10.1016/j.amsu.2021.01.051","ISSN":"20490801","abstract":"Students often feel overwhelmed by the volume and complexity of knowledge and skills required to learn. Along with this challange, educational technology has been gradually introduced in medical education to facilitate learning and improve outcomes. It became an essential part of communication, storing and transferring information, audio-visual media use and production, and knowledge sharing. Technology's role has been expanding from a mere tool of study and inquiry to an approach and integrated use in education. Its use in medical education is continuously evolving. However, the impact and optimal use of various technology applications are not clearly defined. There are multiple challenges facing educators to choose the right application for the specific educational purpose. Hence, studies and evaluation reviews are needed to inform the better-defined use of educational technology. This review aims to discuss and evaluate various educational technology applications in medical education, focusing on interactive learning during lectures. Lectures and other group learning sessions are common activities used by medical schools. Promoting interactive learning in large groups is known to be challenging. The advances in technology to facilitate communication and promote interaction is a promising adjunct for lectures interactivity.","author":[{"dropping-particle":"","family":"Tuma","given":"Faiz","non-dropping-particle":"","parse-names":false,"suffix":""}],"container-title":"Annals of Medicine and Surgery","id":"ITEM-2","issue":"January","issued":{"date-parts":[["2021"]]},"page":"231-235","publisher":"Elsevier Ltd","title":"The use of educational technology for interactive teaching in lectures","type":"article-journal","volume":"62"},"uris":["http://www.mendeley.com/documents/?uuid=15e021f2-9aca-4174-9edb-84b6692bc177"]}],"mendeley":{"formattedCitation":"&lt;sup&gt;2,4&lt;/sup&gt;","plainTextFormattedCitation":"2,4","previouslyFormattedCitation":"&lt;sup&gt;2,4&lt;/sup&gt;"},"properties":{"noteIndex":0},"schema":"https://github.com/citation-style-language/schema/raw/master/csl-citation.json"}</w:instrText>
      </w:r>
      <w:r w:rsidR="000A78A1" w:rsidRPr="002D1F1A">
        <w:rPr>
          <w:rFonts w:ascii="Times New Roman" w:hAnsi="Times New Roman" w:cs="Times New Roman"/>
          <w:sz w:val="20"/>
          <w:szCs w:val="20"/>
          <w:lang w:val="en-US"/>
        </w:rPr>
        <w:fldChar w:fldCharType="separate"/>
      </w:r>
      <w:r w:rsidR="009913A4" w:rsidRPr="002D1F1A">
        <w:rPr>
          <w:rFonts w:ascii="Times New Roman" w:hAnsi="Times New Roman" w:cs="Times New Roman"/>
          <w:noProof/>
          <w:sz w:val="20"/>
          <w:szCs w:val="20"/>
          <w:vertAlign w:val="superscript"/>
          <w:lang w:val="en-US"/>
        </w:rPr>
        <w:t>2,4</w:t>
      </w:r>
      <w:r w:rsidR="000A78A1" w:rsidRPr="002D1F1A">
        <w:rPr>
          <w:rFonts w:ascii="Times New Roman" w:hAnsi="Times New Roman" w:cs="Times New Roman"/>
          <w:sz w:val="20"/>
          <w:szCs w:val="20"/>
          <w:lang w:val="en-US"/>
        </w:rPr>
        <w:fldChar w:fldCharType="end"/>
      </w:r>
      <w:r w:rsidR="009033B2" w:rsidRPr="002D1F1A">
        <w:rPr>
          <w:rFonts w:ascii="Times New Roman" w:hAnsi="Times New Roman" w:cs="Times New Roman"/>
          <w:sz w:val="20"/>
          <w:szCs w:val="20"/>
          <w:lang w:val="en-US"/>
        </w:rPr>
        <w:t xml:space="preserve">. </w:t>
      </w:r>
      <w:r w:rsidRPr="002D1F1A">
        <w:rPr>
          <w:rFonts w:ascii="Times New Roman" w:hAnsi="Times New Roman" w:cs="Times New Roman"/>
          <w:sz w:val="20"/>
          <w:szCs w:val="20"/>
          <w:lang w:val="en-US"/>
        </w:rPr>
        <w:t>Assessment activities that promote exciting competition can be facilitated with Kahoot, Quizziz, and others</w:t>
      </w:r>
      <w:r w:rsidR="009913A4" w:rsidRPr="002D1F1A">
        <w:rPr>
          <w:rFonts w:ascii="Times New Roman" w:hAnsi="Times New Roman" w:cs="Times New Roman"/>
          <w:sz w:val="20"/>
          <w:szCs w:val="20"/>
          <w:lang w:val="en-US"/>
        </w:rPr>
        <w:fldChar w:fldCharType="begin" w:fldLock="1"/>
      </w:r>
      <w:r w:rsidR="009913A4" w:rsidRPr="002D1F1A">
        <w:rPr>
          <w:rFonts w:ascii="Times New Roman" w:hAnsi="Times New Roman" w:cs="Times New Roman"/>
          <w:sz w:val="20"/>
          <w:szCs w:val="20"/>
          <w:lang w:val="en-US"/>
        </w:rPr>
        <w:instrText>ADDIN CSL_CITATION {"citationItems":[{"id":"ITEM-1","itemData":{"DOI":"10.1016/j.teln.2018.03.008","ISSN":"15573087","abstract":"Generation Z, a unique and truly digital native generation, is now entering college and the workplace. This article identifies generational influences and distinctive characteristics of this group, which may challenge nurse educators and require changes in teaching–learning design strategies and approaches. Specific educational suggestions and ways to support members of Generation Z in higher education and the workplace are offered.","author":[{"dropping-particle":"","family":"Chicca","given":"Jennifer","non-dropping-particle":"","parse-names":false,"suffix":""},{"dropping-particle":"","family":"Shellenbarger","given":"Teresa","non-dropping-particle":"","parse-names":false,"suffix":""}],"container-title":"Teaching and Learning in Nursing","id":"ITEM-1","issue":"3","issued":{"date-parts":[["2018"]]},"page":"180-184","publisher":"Organization for Associate Degree Nursing.","title":"Connecting with Generation Z: Approaches in Nursing Education","type":"article-journal","volume":"13"},"uris":["http://www.mendeley.com/documents/?uuid=14eeda11-08f6-4488-9fbf-240b60a538a0"]},{"id":"ITEM-2","itemData":{"DOI":"10.1016/j.amsu.2021.01.051","ISSN":"20490801","abstract":"Students often feel overwhelmed by the volume and complexity of knowledge and skills required to learn. Along with this challange, educational technology has been gradually introduced in medical education to facilitate learning and improve outcomes. It became an essential part of communication, storing and transferring information, audio-visual media use and production, and knowledge sharing. Technology's role has been expanding from a mere tool of study and inquiry to an approach and integrated use in education. Its use in medical education is continuously evolving. However, the impact and optimal use of various technology applications are not clearly defined. There are multiple challenges facing educators to choose the right application for the specific educational purpose. Hence, studies and evaluation reviews are needed to inform the better-defined use of educational technology. This review aims to discuss and evaluate various educational technology applications in medical education, focusing on interactive learning during lectures. Lectures and other group learning sessions are common activities used by medical schools. Promoting interactive learning in large groups is known to be challenging. The advances in technology to facilitate communication and promote interaction is a promising adjunct for lectures interactivity.","author":[{"dropping-particle":"","family":"Tuma","given":"Faiz","non-dropping-particle":"","parse-names":false,"suffix":""}],"container-title":"Annals of Medicine and Surgery","id":"ITEM-2","issue":"January","issued":{"date-parts":[["2021"]]},"page":"231-235","publisher":"Elsevier Ltd","title":"The use of educational technology for interactive teaching in lectures","type":"article-journal","volume":"62"},"uris":["http://www.mendeley.com/documents/?uuid=15e021f2-9aca-4174-9edb-84b6692bc177"]}],"mendeley":{"formattedCitation":"&lt;sup&gt;2,4&lt;/sup&gt;","plainTextFormattedCitation":"2,4","previouslyFormattedCitation":"&lt;sup&gt;2,4&lt;/sup&gt;"},"properties":{"noteIndex":0},"schema":"https://github.com/citation-style-language/schema/raw/master/csl-citation.json"}</w:instrText>
      </w:r>
      <w:r w:rsidR="009913A4" w:rsidRPr="002D1F1A">
        <w:rPr>
          <w:rFonts w:ascii="Times New Roman" w:hAnsi="Times New Roman" w:cs="Times New Roman"/>
          <w:sz w:val="20"/>
          <w:szCs w:val="20"/>
          <w:lang w:val="en-US"/>
        </w:rPr>
        <w:fldChar w:fldCharType="separate"/>
      </w:r>
      <w:r w:rsidR="009913A4" w:rsidRPr="002D1F1A">
        <w:rPr>
          <w:rFonts w:ascii="Times New Roman" w:hAnsi="Times New Roman" w:cs="Times New Roman"/>
          <w:noProof/>
          <w:sz w:val="20"/>
          <w:szCs w:val="20"/>
          <w:vertAlign w:val="superscript"/>
          <w:lang w:val="en-US"/>
        </w:rPr>
        <w:t>2,4</w:t>
      </w:r>
      <w:r w:rsidR="009913A4" w:rsidRPr="002D1F1A">
        <w:rPr>
          <w:rFonts w:ascii="Times New Roman" w:hAnsi="Times New Roman" w:cs="Times New Roman"/>
          <w:sz w:val="20"/>
          <w:szCs w:val="20"/>
          <w:lang w:val="en-US"/>
        </w:rPr>
        <w:fldChar w:fldCharType="end"/>
      </w:r>
      <w:r w:rsidR="009033B2" w:rsidRPr="002D1F1A">
        <w:rPr>
          <w:rFonts w:ascii="Times New Roman" w:hAnsi="Times New Roman" w:cs="Times New Roman"/>
          <w:sz w:val="20"/>
          <w:szCs w:val="20"/>
          <w:lang w:val="en-US"/>
        </w:rPr>
        <w:t xml:space="preserve">. </w:t>
      </w:r>
      <w:r w:rsidRPr="002D1F1A">
        <w:rPr>
          <w:rFonts w:ascii="Times New Roman" w:hAnsi="Times New Roman" w:cs="Times New Roman"/>
          <w:sz w:val="20"/>
          <w:szCs w:val="20"/>
          <w:lang w:val="en-US"/>
        </w:rPr>
        <w:t>Lecturers can choose one or several of these features according to the needs of the learning strategy. In this study, 18% of respondents have used those applications. It shows that video conferencing activities are still dominated by speaking activities involv</w:t>
      </w:r>
      <w:r w:rsidR="005435EE">
        <w:rPr>
          <w:rFonts w:ascii="Times New Roman" w:hAnsi="Times New Roman" w:cs="Times New Roman"/>
          <w:sz w:val="20"/>
          <w:szCs w:val="20"/>
          <w:lang w:val="en-US"/>
        </w:rPr>
        <w:t>ing</w:t>
      </w:r>
      <w:r w:rsidRPr="002D1F1A">
        <w:rPr>
          <w:rFonts w:ascii="Times New Roman" w:hAnsi="Times New Roman" w:cs="Times New Roman"/>
          <w:sz w:val="20"/>
          <w:szCs w:val="20"/>
          <w:lang w:val="en-US"/>
        </w:rPr>
        <w:t xml:space="preserve"> only a few participants.</w:t>
      </w:r>
    </w:p>
    <w:p w14:paraId="4E07FF61" w14:textId="1B6904D2" w:rsidR="0016753E" w:rsidRPr="002D1F1A" w:rsidRDefault="0016753E" w:rsidP="0016753E">
      <w:pPr>
        <w:ind w:firstLine="284"/>
        <w:jc w:val="both"/>
        <w:rPr>
          <w:rFonts w:ascii="Times New Roman" w:hAnsi="Times New Roman" w:cs="Times New Roman"/>
          <w:sz w:val="20"/>
          <w:szCs w:val="20"/>
          <w:lang w:val="en-US"/>
        </w:rPr>
      </w:pPr>
      <w:r w:rsidRPr="002D1F1A">
        <w:rPr>
          <w:rFonts w:ascii="Times New Roman" w:hAnsi="Times New Roman" w:cs="Times New Roman"/>
          <w:sz w:val="20"/>
          <w:szCs w:val="20"/>
          <w:lang w:val="en-US"/>
        </w:rPr>
        <w:t>For student-centered learning methods, project-based learning can be used. The project can be an individual or group assignment. Lecturers can provide feedback and monitor the progress of student projects through project management applications such as Trello, Zoho Projects, and others</w:t>
      </w:r>
      <w:r w:rsidR="00850AD7" w:rsidRPr="002D1F1A">
        <w:rPr>
          <w:rFonts w:ascii="Times New Roman" w:hAnsi="Times New Roman" w:cs="Times New Roman"/>
          <w:sz w:val="20"/>
          <w:szCs w:val="20"/>
          <w:lang w:val="en-US"/>
        </w:rPr>
        <w:fldChar w:fldCharType="begin" w:fldLock="1"/>
      </w:r>
      <w:r w:rsidR="008726A6">
        <w:rPr>
          <w:rFonts w:ascii="Times New Roman" w:hAnsi="Times New Roman" w:cs="Times New Roman"/>
          <w:sz w:val="20"/>
          <w:szCs w:val="20"/>
          <w:lang w:val="en-US"/>
        </w:rPr>
        <w:instrText>ADDIN CSL_CITATION {"citationItems":[{"id":"ITEM-1","itemData":{"DOI":"10.1016/j.procs.2015.08.498","ISSN":"18770509","abstract":"Mobile devices and applications are changing the way individuals gather, process and share information. A development which also applies to project management. This paper reports an explorative study on the functionality of 50 project management apps. The apps were analyzed on the variables: type of functionality, project management processes supported, methodology/standard supported, topics covered, website support, languages supported, project roles supported, number of team members supported and number of projects supported. Our analysis showed that the professionalism, functional and technical support of the apps differ hugely, with some being developed as entrepreneurial experiments and others as professional products. From the summary of our findings we concluded that the functionality of project management apps today is mainly focused on two application areas: (A) Supporting the role of the project manager individually in the planning/organizing processes of the project and (B) Supporting team communication and team collaboration. Lacking in functionality seems to be the communication/collaboration with project sponsor and other stakeholders. Based on our study we recommend project managers to be selective when starting to use project management apps. The most professional apps that appeared in our study were developed as additions to web based project management tools or collaboration platforms.","author":[{"dropping-particle":"","family":"Silvius","given":"A. J.Gilbert","non-dropping-particle":"","parse-names":false,"suffix":""},{"dropping-particle":"","family":"Silvius","given":"Céline M.","non-dropping-particle":"","parse-names":false,"suffix":""}],"container-title":"Procedia Computer Science","id":"ITEM-1","issued":{"date-parts":[["2015"]]},"page":"343-351","publisher":"Elsevier Masson SAS","title":"Exploring Functionality of Mobile Applications for Project Management","type":"article-journal","volume":"64"},"uris":["http://www.mendeley.com/documents/?uuid=2648197a-ee34-4126-9116-72a3092392f2"]}],"mendeley":{"formattedCitation":"&lt;sup&gt;15&lt;/sup&gt;","plainTextFormattedCitation":"15","previouslyFormattedCitation":"&lt;sup&gt;15&lt;/sup&gt;"},"properties":{"noteIndex":0},"schema":"https://github.com/citation-style-language/schema/raw/master/csl-citation.json"}</w:instrText>
      </w:r>
      <w:r w:rsidR="00850AD7" w:rsidRPr="002D1F1A">
        <w:rPr>
          <w:rFonts w:ascii="Times New Roman" w:hAnsi="Times New Roman" w:cs="Times New Roman"/>
          <w:sz w:val="20"/>
          <w:szCs w:val="20"/>
          <w:lang w:val="en-US"/>
        </w:rPr>
        <w:fldChar w:fldCharType="separate"/>
      </w:r>
      <w:r w:rsidR="008726A6" w:rsidRPr="008726A6">
        <w:rPr>
          <w:rFonts w:ascii="Times New Roman" w:hAnsi="Times New Roman" w:cs="Times New Roman"/>
          <w:noProof/>
          <w:sz w:val="20"/>
          <w:szCs w:val="20"/>
          <w:vertAlign w:val="superscript"/>
          <w:lang w:val="en-US"/>
        </w:rPr>
        <w:t>15</w:t>
      </w:r>
      <w:r w:rsidR="00850AD7" w:rsidRPr="002D1F1A">
        <w:rPr>
          <w:rFonts w:ascii="Times New Roman" w:hAnsi="Times New Roman" w:cs="Times New Roman"/>
          <w:sz w:val="20"/>
          <w:szCs w:val="20"/>
          <w:lang w:val="en-US"/>
        </w:rPr>
        <w:fldChar w:fldCharType="end"/>
      </w:r>
      <w:r w:rsidR="009033B2" w:rsidRPr="002D1F1A">
        <w:rPr>
          <w:rFonts w:ascii="Times New Roman" w:hAnsi="Times New Roman" w:cs="Times New Roman"/>
          <w:sz w:val="20"/>
          <w:szCs w:val="20"/>
          <w:lang w:val="en-US"/>
        </w:rPr>
        <w:t xml:space="preserve">. </w:t>
      </w:r>
      <w:r w:rsidR="00A142DE" w:rsidRPr="00A142DE">
        <w:rPr>
          <w:rFonts w:ascii="Times New Roman" w:hAnsi="Times New Roman" w:cs="Times New Roman"/>
          <w:sz w:val="20"/>
          <w:szCs w:val="20"/>
          <w:lang w:val="en-US"/>
        </w:rPr>
        <w:t>The use of project management software correlates with project performance</w:t>
      </w:r>
      <w:r w:rsidR="00850AD7" w:rsidRPr="002D1F1A">
        <w:rPr>
          <w:rFonts w:ascii="Times New Roman" w:hAnsi="Times New Roman" w:cs="Times New Roman"/>
          <w:sz w:val="20"/>
          <w:szCs w:val="20"/>
          <w:lang w:val="en-US"/>
        </w:rPr>
        <w:fldChar w:fldCharType="begin" w:fldLock="1"/>
      </w:r>
      <w:r w:rsidR="008726A6">
        <w:rPr>
          <w:rFonts w:ascii="Times New Roman" w:hAnsi="Times New Roman" w:cs="Times New Roman"/>
          <w:sz w:val="20"/>
          <w:szCs w:val="20"/>
          <w:lang w:val="en-US"/>
        </w:rPr>
        <w:instrText>ADDIN CSL_CITATION {"citationItems":[{"id":"ITEM-1","itemData":{"DOI":"10.1016/j.protcy.2013.12.095","ISSN":"22120173","abstract":"The impacts of IT/IS on organizations gave rise to a great deal of interest from the researchers during the last decades. However, studies on the impacts of IT/IS on the performance of engineering projects are less numerous. Moreover, the impacts from IT/IS on engineering projects are rarely based on real data of projects. The objective of this study is to investigate, from real project data, the level of utilization of a project management software package, developed by an engineering construction firm recognized internationally, and its link with project performance. Results stemming from non-parametric tests and correlation analyses show that the level of use of the software, and some of its subsystems, appears to be linked to project performance.","author":[{"dropping-particle":"","family":"Pellerin","given":"Robert","non-dropping-particle":"","parse-names":false,"suffix":""},{"dropping-particle":"","family":"Perrier","given":"Nathalie","non-dropping-particle":"","parse-names":false,"suffix":""},{"dropping-particle":"","family":"Guillot","given":"Xavier","non-dropping-particle":"","parse-names":false,"suffix":""},{"dropping-particle":"","family":"Léger","given":"Pierre-Majorique","non-dropping-particle":"","parse-names":false,"suffix":""}],"container-title":"Procedia Technology","id":"ITEM-1","issued":{"date-parts":[["2013"]]},"page":"857-866","publisher":"Elsevier B.V.","title":"Project Management Software Utilization and Project Performance","type":"article-journal","volume":"9"},"uris":["http://www.mendeley.com/documents/?uuid=1253b79d-5e65-43a2-aab9-2399857cab22"]}],"mendeley":{"formattedCitation":"&lt;sup&gt;16&lt;/sup&gt;","plainTextFormattedCitation":"16","previouslyFormattedCitation":"&lt;sup&gt;16&lt;/sup&gt;"},"properties":{"noteIndex":0},"schema":"https://github.com/citation-style-language/schema/raw/master/csl-citation.json"}</w:instrText>
      </w:r>
      <w:r w:rsidR="00850AD7" w:rsidRPr="002D1F1A">
        <w:rPr>
          <w:rFonts w:ascii="Times New Roman" w:hAnsi="Times New Roman" w:cs="Times New Roman"/>
          <w:sz w:val="20"/>
          <w:szCs w:val="20"/>
          <w:lang w:val="en-US"/>
        </w:rPr>
        <w:fldChar w:fldCharType="separate"/>
      </w:r>
      <w:r w:rsidR="008726A6" w:rsidRPr="008726A6">
        <w:rPr>
          <w:rFonts w:ascii="Times New Roman" w:hAnsi="Times New Roman" w:cs="Times New Roman"/>
          <w:noProof/>
          <w:sz w:val="20"/>
          <w:szCs w:val="20"/>
          <w:vertAlign w:val="superscript"/>
          <w:lang w:val="en-US"/>
        </w:rPr>
        <w:t>16</w:t>
      </w:r>
      <w:r w:rsidR="00850AD7" w:rsidRPr="002D1F1A">
        <w:rPr>
          <w:rFonts w:ascii="Times New Roman" w:hAnsi="Times New Roman" w:cs="Times New Roman"/>
          <w:sz w:val="20"/>
          <w:szCs w:val="20"/>
          <w:lang w:val="en-US"/>
        </w:rPr>
        <w:fldChar w:fldCharType="end"/>
      </w:r>
      <w:r w:rsidR="00850AD7" w:rsidRPr="002D1F1A">
        <w:rPr>
          <w:rFonts w:ascii="Times New Roman" w:hAnsi="Times New Roman" w:cs="Times New Roman"/>
          <w:sz w:val="20"/>
          <w:szCs w:val="20"/>
          <w:lang w:val="en-US"/>
        </w:rPr>
        <w:t xml:space="preserve">. </w:t>
      </w:r>
      <w:r w:rsidR="00A142DE" w:rsidRPr="00A142DE">
        <w:rPr>
          <w:rFonts w:ascii="Times New Roman" w:hAnsi="Times New Roman" w:cs="Times New Roman"/>
          <w:sz w:val="20"/>
          <w:szCs w:val="20"/>
          <w:lang w:val="en-US"/>
        </w:rPr>
        <w:t>However, only 20% of respondents use these types of applications. It shows that lecturers have not facilitated ICT-assisted student projects much.</w:t>
      </w:r>
    </w:p>
    <w:p w14:paraId="5C209BB4" w14:textId="51153B6D" w:rsidR="007A2C66" w:rsidRPr="002D1F1A" w:rsidRDefault="00DA00DF" w:rsidP="005F56E3">
      <w:pPr>
        <w:ind w:firstLine="284"/>
        <w:jc w:val="both"/>
        <w:rPr>
          <w:rFonts w:ascii="Times New Roman" w:hAnsi="Times New Roman" w:cs="Times New Roman"/>
          <w:sz w:val="20"/>
          <w:szCs w:val="20"/>
          <w:lang w:val="en-US"/>
        </w:rPr>
      </w:pPr>
      <w:r w:rsidRPr="00DA00DF">
        <w:rPr>
          <w:rFonts w:ascii="Times New Roman" w:hAnsi="Times New Roman" w:cs="Times New Roman"/>
          <w:sz w:val="20"/>
          <w:szCs w:val="20"/>
          <w:lang w:val="en-US"/>
        </w:rPr>
        <w:t>Asynchronous meetings can promote more individualized learning. One of the activities that students can perform is to watch videos, either in the form of lecturing videos, animation videos, or demonstration videos. Lecturers are required to be able to make recordings of material explanations independently. However, only 27% of respondents use screen recording software, and 45% use video editing software. Video editing combines video recordings, captions, images, animations, audio, and back sound</w:t>
      </w:r>
      <w:r w:rsidR="00FC5D67">
        <w:rPr>
          <w:rFonts w:ascii="Times New Roman" w:hAnsi="Times New Roman" w:cs="Times New Roman"/>
          <w:sz w:val="20"/>
          <w:szCs w:val="20"/>
          <w:lang w:val="en-US"/>
        </w:rPr>
        <w:fldChar w:fldCharType="begin" w:fldLock="1"/>
      </w:r>
      <w:r w:rsidR="00FC5D67">
        <w:rPr>
          <w:rFonts w:ascii="Times New Roman" w:hAnsi="Times New Roman" w:cs="Times New Roman"/>
          <w:sz w:val="20"/>
          <w:szCs w:val="20"/>
          <w:lang w:val="en-US"/>
        </w:rPr>
        <w:instrText>ADDIN CSL_CITATION {"citationItems":[{"id":"ITEM-1","itemData":{"DOI":"10.1088/1742-6596/1810/1/012043","abstract":"The research aims at developing a learning video to make shredded chicken and testing its feasibility. This video demonstrates the steps of product making. This research can be categorized as research and development (R&amp;D) with a 4D model (Define, Design, Develop, and Disseminate). The video was taken with multiple camera angles and completed with text annotation, picture, animation, music, and voice lay-over. The were collected through interviews and questionnaires for feasibility testing. The data were analyzed using quantitative descriptive analysis. The stage of define was a needs analysis, while the design stage consisted of testing recipes, scriptwriting, selection of presenters, talents, dubber, and the video team and preparing tools and materials. The develop stage covered the process of shooting, recording, editing, and feasibility test by two material experts and a media expert. Meanwhile, the disseminate stage referred to the feasibility test among 30 students of State Vocational High School 1 Cangkringan, and the video dissemination was done through the YouTube channel. The feasibility test result based on the material experts was 90.96%, based on the media expert was 98.96%, and from the students was 85.35%, respectively. It means that this video is declared very suitable to be used as a learning medium.","author":[{"dropping-particle":"","family":"Rinawati","given":"Wika","non-dropping-particle":"","parse-names":false,"suffix":""},{"dropping-particle":"","family":"Ghassani","given":"P M","non-dropping-particle":"","parse-names":false,"suffix":""},{"dropping-particle":"","family":"Anggraeni","given":"A A","non-dropping-particle":"","parse-names":false,"suffix":""}],"container-title":"Journal of Physics: Conference Series","id":"ITEM-1","issued":{"date-parts":[["2021"]]},"page":"012043","publisher":"IOP Publishing","title":"The development of an engaging demonstration video for making shredded chicken","type":"paper-conference","volume":"1810"},"uris":["http://www.mendeley.com/documents/?uuid=b8bfee90-2d62-4b4b-aa38-592a4d4b5224"]}],"mendeley":{"formattedCitation":"&lt;sup&gt;6&lt;/sup&gt;","plainTextFormattedCitation":"6"},"properties":{"noteIndex":0},"schema":"https://github.com/citation-style-language/schema/raw/master/csl-citation.json"}</w:instrText>
      </w:r>
      <w:r w:rsidR="00FC5D67">
        <w:rPr>
          <w:rFonts w:ascii="Times New Roman" w:hAnsi="Times New Roman" w:cs="Times New Roman"/>
          <w:sz w:val="20"/>
          <w:szCs w:val="20"/>
          <w:lang w:val="en-US"/>
        </w:rPr>
        <w:fldChar w:fldCharType="separate"/>
      </w:r>
      <w:r w:rsidR="00FC5D67" w:rsidRPr="00FC5D67">
        <w:rPr>
          <w:rFonts w:ascii="Times New Roman" w:hAnsi="Times New Roman" w:cs="Times New Roman"/>
          <w:noProof/>
          <w:sz w:val="20"/>
          <w:szCs w:val="20"/>
          <w:vertAlign w:val="superscript"/>
          <w:lang w:val="en-US"/>
        </w:rPr>
        <w:t>6</w:t>
      </w:r>
      <w:r w:rsidR="00FC5D67">
        <w:rPr>
          <w:rFonts w:ascii="Times New Roman" w:hAnsi="Times New Roman" w:cs="Times New Roman"/>
          <w:sz w:val="20"/>
          <w:szCs w:val="20"/>
          <w:lang w:val="en-US"/>
        </w:rPr>
        <w:fldChar w:fldCharType="end"/>
      </w:r>
      <w:r w:rsidRPr="00DA00DF">
        <w:rPr>
          <w:rFonts w:ascii="Times New Roman" w:hAnsi="Times New Roman" w:cs="Times New Roman"/>
          <w:sz w:val="20"/>
          <w:szCs w:val="20"/>
          <w:lang w:val="en-US"/>
        </w:rPr>
        <w:t>. The addition of captions, pictures, animations, and back sounds is appreciated by generation Z</w:t>
      </w:r>
      <w:r w:rsidR="007A2C66" w:rsidRPr="002D1F1A">
        <w:rPr>
          <w:rFonts w:ascii="Times New Roman" w:hAnsi="Times New Roman" w:cs="Times New Roman"/>
          <w:sz w:val="20"/>
          <w:szCs w:val="20"/>
          <w:lang w:val="en-US"/>
        </w:rPr>
        <w:fldChar w:fldCharType="begin" w:fldLock="1"/>
      </w:r>
      <w:r w:rsidR="003D16EA" w:rsidRPr="002D1F1A">
        <w:rPr>
          <w:rFonts w:ascii="Times New Roman" w:hAnsi="Times New Roman" w:cs="Times New Roman"/>
          <w:sz w:val="20"/>
          <w:szCs w:val="20"/>
          <w:lang w:val="en-US"/>
        </w:rPr>
        <w:instrText>ADDIN CSL_CITATION {"citationItems":[{"id":"ITEM-1","itemData":{"DOI":"10.1088/1742-6596/1737/1/012037","abstract":"The student of vocational high school nowadays are classified as generation Z. They are common to use information and communication technology. They prefer audio-visual learning media rather than podcast recording or text media. This study aimed to develop a video on making dry banana for the Agriculture Product Processing course and assessing the video's feasibility. This study was a research &amp; development (R&amp;D) study using the 4D (define, design, develop, and disseminate) approach. Analysis of content, curriculum, and student needs was carried out in the define stage. The scriptwriting and production team selection was conducted in the design stage. Video recording, editing, and feasibility test from experts were performed in the development stage. The video was evaluated by two content experts and one media expert. In the disseminate stage, thirty students as prospective consumers evaluated the video feasibility. The data were analyzed descriptively. The video was in the mp4 format and had a duration of 13 minuter and 13 seconds. The video has been provided with high-definition images, captions, pictures, 2D animations, transitions, and effects. The experts and the students rated this video to be very feasible to be used as instructional media.","author":[{"dropping-particle":"","family":"Anggraeni","given":"Andian Ari","non-dropping-particle":"","parse-names":false,"suffix":""},{"dropping-particle":"","family":"Surya","given":"Rizka Audina","non-dropping-particle":"","parse-names":false,"suffix":""}],"container-title":"Journal of Physics: Conference Series","id":"ITEM-1","issued":{"date-parts":[["2021"]]},"page":"012037","publisher":"IOP Publishing","title":"Developing a Demonstration Video on Making Dry Banana Preferred by Generation Z","type":"paper-conference","volume":"1737"},"uris":["http://www.mendeley.com/documents/?uuid=d19854d3-a117-43a6-93a1-74df9b67eb73"]}],"mendeley":{"formattedCitation":"&lt;sup&gt;5&lt;/sup&gt;","plainTextFormattedCitation":"5","previouslyFormattedCitation":"&lt;sup&gt;5&lt;/sup&gt;"},"properties":{"noteIndex":0},"schema":"https://github.com/citation-style-language/schema/raw/master/csl-citation.json"}</w:instrText>
      </w:r>
      <w:r w:rsidR="007A2C66" w:rsidRPr="002D1F1A">
        <w:rPr>
          <w:rFonts w:ascii="Times New Roman" w:hAnsi="Times New Roman" w:cs="Times New Roman"/>
          <w:sz w:val="20"/>
          <w:szCs w:val="20"/>
          <w:lang w:val="en-US"/>
        </w:rPr>
        <w:fldChar w:fldCharType="separate"/>
      </w:r>
      <w:r w:rsidR="007A2C66" w:rsidRPr="002D1F1A">
        <w:rPr>
          <w:rFonts w:ascii="Times New Roman" w:hAnsi="Times New Roman" w:cs="Times New Roman"/>
          <w:noProof/>
          <w:sz w:val="20"/>
          <w:szCs w:val="20"/>
          <w:vertAlign w:val="superscript"/>
          <w:lang w:val="en-US"/>
        </w:rPr>
        <w:t>5</w:t>
      </w:r>
      <w:r w:rsidR="007A2C66" w:rsidRPr="002D1F1A">
        <w:rPr>
          <w:rFonts w:ascii="Times New Roman" w:hAnsi="Times New Roman" w:cs="Times New Roman"/>
          <w:sz w:val="20"/>
          <w:szCs w:val="20"/>
          <w:lang w:val="en-US"/>
        </w:rPr>
        <w:fldChar w:fldCharType="end"/>
      </w:r>
      <w:r w:rsidR="007A2C66" w:rsidRPr="002D1F1A">
        <w:rPr>
          <w:rFonts w:ascii="Times New Roman" w:hAnsi="Times New Roman" w:cs="Times New Roman"/>
          <w:sz w:val="20"/>
          <w:szCs w:val="20"/>
          <w:lang w:val="en-US"/>
        </w:rPr>
        <w:t xml:space="preserve">. </w:t>
      </w:r>
      <w:r w:rsidRPr="00DA00DF">
        <w:rPr>
          <w:rFonts w:ascii="Times New Roman" w:hAnsi="Times New Roman" w:cs="Times New Roman"/>
          <w:sz w:val="20"/>
          <w:szCs w:val="20"/>
          <w:lang w:val="en-US"/>
        </w:rPr>
        <w:t xml:space="preserve">One of the recommended learning videos to explain material in the STEM field is the </w:t>
      </w:r>
      <w:r w:rsidR="009C526A">
        <w:rPr>
          <w:rFonts w:ascii="Times New Roman" w:hAnsi="Times New Roman" w:cs="Times New Roman"/>
          <w:sz w:val="20"/>
          <w:szCs w:val="20"/>
          <w:lang w:val="en-US"/>
        </w:rPr>
        <w:t xml:space="preserve">style used by the </w:t>
      </w:r>
      <w:r w:rsidRPr="00DA00DF">
        <w:rPr>
          <w:rFonts w:ascii="Times New Roman" w:hAnsi="Times New Roman" w:cs="Times New Roman"/>
          <w:sz w:val="20"/>
          <w:szCs w:val="20"/>
          <w:lang w:val="en-US"/>
        </w:rPr>
        <w:t>Khan</w:t>
      </w:r>
      <w:r>
        <w:rPr>
          <w:rFonts w:ascii="Times New Roman" w:hAnsi="Times New Roman" w:cs="Times New Roman"/>
          <w:sz w:val="20"/>
          <w:szCs w:val="20"/>
          <w:lang w:val="en-US"/>
        </w:rPr>
        <w:t xml:space="preserve"> </w:t>
      </w:r>
      <w:r w:rsidR="005F56E3" w:rsidRPr="002D1F1A">
        <w:rPr>
          <w:rFonts w:ascii="Times New Roman" w:hAnsi="Times New Roman" w:cs="Times New Roman"/>
          <w:sz w:val="20"/>
          <w:szCs w:val="20"/>
          <w:lang w:val="en-US"/>
        </w:rPr>
        <w:t>Academy</w:t>
      </w:r>
      <w:r w:rsidR="00FC5D67">
        <w:rPr>
          <w:rFonts w:ascii="Times New Roman" w:hAnsi="Times New Roman" w:cs="Times New Roman"/>
          <w:sz w:val="20"/>
          <w:szCs w:val="20"/>
          <w:lang w:val="en-US"/>
        </w:rPr>
        <w:t xml:space="preserve"> video channel</w:t>
      </w:r>
      <w:r w:rsidR="000A78A1" w:rsidRPr="002D1F1A">
        <w:rPr>
          <w:rFonts w:ascii="Times New Roman" w:hAnsi="Times New Roman" w:cs="Times New Roman"/>
          <w:sz w:val="20"/>
          <w:szCs w:val="20"/>
          <w:lang w:val="en-US"/>
        </w:rPr>
        <w:fldChar w:fldCharType="begin" w:fldLock="1"/>
      </w:r>
      <w:r w:rsidR="0060718B" w:rsidRPr="002D1F1A">
        <w:rPr>
          <w:rFonts w:ascii="Times New Roman" w:hAnsi="Times New Roman" w:cs="Times New Roman"/>
          <w:sz w:val="20"/>
          <w:szCs w:val="20"/>
          <w:lang w:val="en-US"/>
        </w:rPr>
        <w:instrText>ADDIN CSL_CITATION {"citationItems":[{"id":"ITEM-1","itemData":{"DOI":"10.1016/j.teln.2018.03.008","ISSN":"15573087","abstract":"Generation Z, a unique and truly digital native generation, is now entering college and the workplace. This article identifies generational influences and distinctive characteristics of this group, which may challenge nurse educators and require changes in teaching–learning design strategies and approaches. Specific educational suggestions and ways to support members of Generation Z in higher education and the workplace are offered.","author":[{"dropping-particle":"","family":"Chicca","given":"Jennifer","non-dropping-particle":"","parse-names":false,"suffix":""},{"dropping-particle":"","family":"Shellenbarger","given":"Teresa","non-dropping-particle":"","parse-names":false,"suffix":""}],"container-title":"Teaching and Learning in Nursing","id":"ITEM-1","issue":"3","issued":{"date-parts":[["2018"]]},"page":"180-184","publisher":"Organization for Associate Degree Nursing.","title":"Connecting with Generation Z: Approaches in Nursing Education","type":"article-journal","volume":"13"},"uris":["http://www.mendeley.com/documents/?uuid=14eeda11-08f6-4488-9fbf-240b60a538a0"]}],"mendeley":{"formattedCitation":"&lt;sup&gt;2&lt;/sup&gt;","plainTextFormattedCitation":"2","previouslyFormattedCitation":"&lt;sup&gt;2&lt;/sup&gt;"},"properties":{"noteIndex":0},"schema":"https://github.com/citation-style-language/schema/raw/master/csl-citation.json"}</w:instrText>
      </w:r>
      <w:r w:rsidR="000A78A1" w:rsidRPr="002D1F1A">
        <w:rPr>
          <w:rFonts w:ascii="Times New Roman" w:hAnsi="Times New Roman" w:cs="Times New Roman"/>
          <w:sz w:val="20"/>
          <w:szCs w:val="20"/>
          <w:lang w:val="en-US"/>
        </w:rPr>
        <w:fldChar w:fldCharType="separate"/>
      </w:r>
      <w:r w:rsidR="000A78A1" w:rsidRPr="002D1F1A">
        <w:rPr>
          <w:rFonts w:ascii="Times New Roman" w:hAnsi="Times New Roman" w:cs="Times New Roman"/>
          <w:noProof/>
          <w:sz w:val="20"/>
          <w:szCs w:val="20"/>
          <w:vertAlign w:val="superscript"/>
          <w:lang w:val="en-US"/>
        </w:rPr>
        <w:t>2</w:t>
      </w:r>
      <w:r w:rsidR="000A78A1" w:rsidRPr="002D1F1A">
        <w:rPr>
          <w:rFonts w:ascii="Times New Roman" w:hAnsi="Times New Roman" w:cs="Times New Roman"/>
          <w:sz w:val="20"/>
          <w:szCs w:val="20"/>
          <w:lang w:val="en-US"/>
        </w:rPr>
        <w:fldChar w:fldCharType="end"/>
      </w:r>
      <w:r w:rsidR="00B27B1A" w:rsidRPr="002D1F1A">
        <w:rPr>
          <w:rFonts w:ascii="Times New Roman" w:hAnsi="Times New Roman" w:cs="Times New Roman"/>
          <w:sz w:val="20"/>
          <w:szCs w:val="20"/>
          <w:lang w:val="en-US"/>
        </w:rPr>
        <w:t xml:space="preserve"> (see Figure 4)</w:t>
      </w:r>
      <w:r w:rsidR="000A78A1" w:rsidRPr="002D1F1A">
        <w:rPr>
          <w:rFonts w:ascii="Times New Roman" w:hAnsi="Times New Roman" w:cs="Times New Roman"/>
          <w:sz w:val="20"/>
          <w:szCs w:val="20"/>
          <w:lang w:val="en-US"/>
        </w:rPr>
        <w:t xml:space="preserve">. </w:t>
      </w:r>
      <w:r w:rsidRPr="00DA00DF">
        <w:rPr>
          <w:rFonts w:ascii="Times New Roman" w:hAnsi="Times New Roman" w:cs="Times New Roman"/>
          <w:sz w:val="20"/>
          <w:szCs w:val="20"/>
          <w:lang w:val="en-US"/>
        </w:rPr>
        <w:t xml:space="preserve">This hand-drawn video can mimic a natural activity that involves doodling with pencil and paper. Students liked the new experience when learning with digital scribble videos, and the experience can also reduce cognitive </w:t>
      </w:r>
      <w:r w:rsidR="005F56E3" w:rsidRPr="002D1F1A">
        <w:rPr>
          <w:rFonts w:ascii="Times New Roman" w:hAnsi="Times New Roman" w:cs="Times New Roman"/>
          <w:sz w:val="20"/>
          <w:szCs w:val="20"/>
          <w:lang w:val="en-US"/>
        </w:rPr>
        <w:t>load</w:t>
      </w:r>
      <w:r w:rsidR="007A44AC" w:rsidRPr="002D1F1A">
        <w:rPr>
          <w:rFonts w:ascii="Times New Roman" w:hAnsi="Times New Roman" w:cs="Times New Roman"/>
          <w:sz w:val="20"/>
          <w:szCs w:val="20"/>
          <w:lang w:val="en-US"/>
        </w:rPr>
        <w:fldChar w:fldCharType="begin" w:fldLock="1"/>
      </w:r>
      <w:r w:rsidR="008726A6">
        <w:rPr>
          <w:rFonts w:ascii="Times New Roman" w:hAnsi="Times New Roman" w:cs="Times New Roman"/>
          <w:sz w:val="20"/>
          <w:szCs w:val="20"/>
          <w:lang w:val="en-US"/>
        </w:rPr>
        <w:instrText>ADDIN CSL_CITATION {"citationItems":[{"id":"ITEM-1","itemData":{"DOI":"10.3115/1599600.1599708","ISBN":"9780615154374","ISSN":"15734552","abstract":"Mathematics students almost exclusively use pencil and paper - that is, they learn without computational support. In this research, 16 high school students varying in ability from low to high participated in a comparative assessment of geometry problem solving using: (1) pencil and paper, (2) an Anoto-based digital stylus and paper interface, (3) a pen tablet interface, and (4) a graphical tablet interface. Cognitive Load Theory correctly predicted that as interfaces departed more from familiar work practice, students experienced greater cognitive load and corresponding reductions in their expressive fluency and planning. The results of this study indicate that students' communication patterns and meta-cognitive control can be enhanced by pen-based interfaces during math problem solving activities. In addition, low-performing students do not automatically reap the same advantage as high performers when new interface tools are introduced, which means intervention may be required to avoid expanding the achievement gap between groups unless intervention is undertaken.","author":[{"dropping-particle":"","family":"Oviatt","given":"Sharon","non-dropping-particle":"","parse-names":false,"suffix":""},{"dropping-particle":"","family":"Arthur","given":"Alex","non-dropping-particle":"","parse-names":false,"suffix":""},{"dropping-particle":"","family":"Brock","given":"Yaro","non-dropping-particle":"","parse-names":false,"suffix":""},{"dropping-particle":"","family":"Cohen","given":"Julia","non-dropping-particle":"","parse-names":false,"suffix":""}],"container-title":"Computer-Supported Collaborative Learning Conference","id":"ITEM-1","issue":"PART 2","issued":{"date-parts":[["2007"]]},"page":"569-578","title":"Expressive pen-based interfaces for math education","type":"article-journal","volume":"8"},"uris":["http://www.mendeley.com/documents/?uuid=23bda9c2-3b34-4cfd-b608-ea008cbcde37"]}],"mendeley":{"formattedCitation":"&lt;sup&gt;17&lt;/sup&gt;","plainTextFormattedCitation":"17","previouslyFormattedCitation":"&lt;sup&gt;17&lt;/sup&gt;"},"properties":{"noteIndex":0},"schema":"https://github.com/citation-style-language/schema/raw/master/csl-citation.json"}</w:instrText>
      </w:r>
      <w:r w:rsidR="007A44AC" w:rsidRPr="002D1F1A">
        <w:rPr>
          <w:rFonts w:ascii="Times New Roman" w:hAnsi="Times New Roman" w:cs="Times New Roman"/>
          <w:sz w:val="20"/>
          <w:szCs w:val="20"/>
          <w:lang w:val="en-US"/>
        </w:rPr>
        <w:fldChar w:fldCharType="separate"/>
      </w:r>
      <w:r w:rsidR="008726A6" w:rsidRPr="008726A6">
        <w:rPr>
          <w:rFonts w:ascii="Times New Roman" w:hAnsi="Times New Roman" w:cs="Times New Roman"/>
          <w:noProof/>
          <w:sz w:val="20"/>
          <w:szCs w:val="20"/>
          <w:vertAlign w:val="superscript"/>
          <w:lang w:val="en-US"/>
        </w:rPr>
        <w:t>17</w:t>
      </w:r>
      <w:r w:rsidR="007A44AC" w:rsidRPr="002D1F1A">
        <w:rPr>
          <w:rFonts w:ascii="Times New Roman" w:hAnsi="Times New Roman" w:cs="Times New Roman"/>
          <w:sz w:val="20"/>
          <w:szCs w:val="20"/>
          <w:lang w:val="en-US"/>
        </w:rPr>
        <w:fldChar w:fldCharType="end"/>
      </w:r>
      <w:r w:rsidR="007A44AC" w:rsidRPr="002D1F1A">
        <w:rPr>
          <w:rFonts w:ascii="Times New Roman" w:hAnsi="Times New Roman" w:cs="Times New Roman"/>
          <w:sz w:val="20"/>
          <w:szCs w:val="20"/>
          <w:lang w:val="en-US"/>
        </w:rPr>
        <w:t xml:space="preserve">. </w:t>
      </w:r>
      <w:r w:rsidRPr="00DA00DF">
        <w:rPr>
          <w:rFonts w:ascii="Times New Roman" w:hAnsi="Times New Roman" w:cs="Times New Roman"/>
          <w:sz w:val="20"/>
          <w:szCs w:val="20"/>
          <w:lang w:val="en-US"/>
        </w:rPr>
        <w:t>The development of Khan Academy video</w:t>
      </w:r>
      <w:r w:rsidR="00B93363">
        <w:rPr>
          <w:rFonts w:ascii="Times New Roman" w:hAnsi="Times New Roman" w:cs="Times New Roman"/>
          <w:sz w:val="20"/>
          <w:szCs w:val="20"/>
          <w:lang w:val="en-US"/>
        </w:rPr>
        <w:t xml:space="preserve"> type</w:t>
      </w:r>
      <w:r w:rsidRPr="00DA00DF">
        <w:rPr>
          <w:rFonts w:ascii="Times New Roman" w:hAnsi="Times New Roman" w:cs="Times New Roman"/>
          <w:sz w:val="20"/>
          <w:szCs w:val="20"/>
          <w:lang w:val="en-US"/>
        </w:rPr>
        <w:t xml:space="preserve"> requires software to read digital scribbles. Making digital scribbles videos can be done conveniently if the lecturer has a graphic pad or tablet. However, this infrastructure is only owned by 25% of the respondents.</w:t>
      </w:r>
    </w:p>
    <w:p w14:paraId="4C5E6AEC" w14:textId="77777777" w:rsidR="00612CF7" w:rsidRPr="002D1F1A" w:rsidRDefault="00612CF7" w:rsidP="00B20473">
      <w:pPr>
        <w:ind w:firstLine="284"/>
        <w:jc w:val="both"/>
        <w:rPr>
          <w:rFonts w:ascii="Times New Roman" w:hAnsi="Times New Roman" w:cs="Times New Roman"/>
          <w:sz w:val="20"/>
          <w:szCs w:val="20"/>
          <w:lang w:val="en-US"/>
        </w:rPr>
      </w:pPr>
    </w:p>
    <w:p w14:paraId="57EFE54A" w14:textId="77777777" w:rsidR="00E8206A" w:rsidRPr="002D1F1A" w:rsidRDefault="00E8206A" w:rsidP="00E8206A">
      <w:pPr>
        <w:ind w:firstLine="284"/>
        <w:jc w:val="center"/>
        <w:rPr>
          <w:rFonts w:ascii="Times New Roman" w:hAnsi="Times New Roman" w:cs="Times New Roman"/>
          <w:sz w:val="20"/>
          <w:szCs w:val="20"/>
          <w:lang w:val="en-US"/>
        </w:rPr>
      </w:pPr>
      <w:r w:rsidRPr="002D1F1A">
        <w:rPr>
          <w:rFonts w:ascii="Times New Roman" w:hAnsi="Times New Roman" w:cs="Times New Roman"/>
          <w:noProof/>
          <w:sz w:val="20"/>
          <w:szCs w:val="20"/>
          <w:lang w:val="en-US"/>
        </w:rPr>
        <w:drawing>
          <wp:inline distT="0" distB="0" distL="0" distR="0" wp14:anchorId="5B04B5B9" wp14:editId="58DB2DCA">
            <wp:extent cx="2626392" cy="1501254"/>
            <wp:effectExtent l="0" t="0" r="2540" b="3810"/>
            <wp:docPr id="12" name="Picture 11" descr="Text&#10;&#10;Description automatically generated">
              <a:hlinkClick xmlns:a="http://schemas.openxmlformats.org/drawingml/2006/main" r:id="rId13"/>
              <a:extLst xmlns:a="http://schemas.openxmlformats.org/drawingml/2006/main">
                <a:ext uri="{FF2B5EF4-FFF2-40B4-BE49-F238E27FC236}">
                  <a16:creationId xmlns:a16="http://schemas.microsoft.com/office/drawing/2014/main" id="{5E367213-6AAD-4FFB-968C-C0A09075A5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Text&#10;&#10;Description automatically generated">
                      <a:hlinkClick r:id="rId13"/>
                      <a:extLst>
                        <a:ext uri="{FF2B5EF4-FFF2-40B4-BE49-F238E27FC236}">
                          <a16:creationId xmlns:a16="http://schemas.microsoft.com/office/drawing/2014/main" id="{5E367213-6AAD-4FFB-968C-C0A09075A58A}"/>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55267" cy="1517759"/>
                    </a:xfrm>
                    <a:prstGeom prst="rect">
                      <a:avLst/>
                    </a:prstGeom>
                  </pic:spPr>
                </pic:pic>
              </a:graphicData>
            </a:graphic>
          </wp:inline>
        </w:drawing>
      </w:r>
    </w:p>
    <w:p w14:paraId="293C235F" w14:textId="77777777" w:rsidR="00E8206A" w:rsidRPr="002D1F1A" w:rsidRDefault="00E8206A" w:rsidP="00E8206A">
      <w:pPr>
        <w:jc w:val="center"/>
        <w:rPr>
          <w:rFonts w:ascii="Times New Roman" w:eastAsia="Times New Roman" w:hAnsi="Times New Roman" w:cs="Times New Roman"/>
          <w:b/>
          <w:bCs/>
          <w:sz w:val="18"/>
          <w:szCs w:val="18"/>
          <w:lang w:val="en-US"/>
        </w:rPr>
      </w:pPr>
    </w:p>
    <w:p w14:paraId="0325C50A" w14:textId="40EB2E99" w:rsidR="00E8206A" w:rsidRPr="002D1F1A" w:rsidRDefault="00E8206A" w:rsidP="00E8206A">
      <w:pPr>
        <w:jc w:val="center"/>
        <w:rPr>
          <w:rFonts w:ascii="Times New Roman" w:hAnsi="Times New Roman" w:cs="Times New Roman"/>
          <w:sz w:val="18"/>
          <w:szCs w:val="18"/>
          <w:lang w:val="en-US"/>
        </w:rPr>
      </w:pPr>
      <w:r w:rsidRPr="002D1F1A">
        <w:rPr>
          <w:rFonts w:ascii="Times New Roman" w:eastAsia="Times New Roman" w:hAnsi="Times New Roman" w:cs="Times New Roman"/>
          <w:b/>
          <w:bCs/>
          <w:sz w:val="18"/>
          <w:szCs w:val="18"/>
          <w:lang w:val="en-US"/>
        </w:rPr>
        <w:t>FIGURE</w:t>
      </w:r>
      <w:r w:rsidRPr="002D1F1A">
        <w:rPr>
          <w:rFonts w:ascii="Times New Roman" w:hAnsi="Times New Roman" w:cs="Times New Roman"/>
          <w:b/>
          <w:bCs/>
          <w:sz w:val="18"/>
          <w:szCs w:val="18"/>
          <w:lang w:val="en-US"/>
        </w:rPr>
        <w:t xml:space="preserve"> 4.</w:t>
      </w:r>
      <w:r w:rsidRPr="002D1F1A">
        <w:rPr>
          <w:rFonts w:ascii="Times New Roman" w:hAnsi="Times New Roman" w:cs="Times New Roman"/>
          <w:sz w:val="18"/>
          <w:szCs w:val="18"/>
          <w:lang w:val="en-US"/>
        </w:rPr>
        <w:t xml:space="preserve"> Video </w:t>
      </w:r>
      <w:r w:rsidR="00DA00DF">
        <w:rPr>
          <w:rFonts w:ascii="Times New Roman" w:hAnsi="Times New Roman" w:cs="Times New Roman"/>
          <w:sz w:val="18"/>
          <w:szCs w:val="18"/>
          <w:lang w:val="en-US"/>
        </w:rPr>
        <w:t xml:space="preserve">that refers to </w:t>
      </w:r>
      <w:r w:rsidRPr="002D1F1A">
        <w:rPr>
          <w:rFonts w:ascii="Times New Roman" w:hAnsi="Times New Roman" w:cs="Times New Roman"/>
          <w:sz w:val="18"/>
          <w:szCs w:val="18"/>
          <w:lang w:val="en-US"/>
        </w:rPr>
        <w:t>Khan Academy</w:t>
      </w:r>
      <w:r w:rsidR="00DA00DF">
        <w:rPr>
          <w:rFonts w:ascii="Times New Roman" w:hAnsi="Times New Roman" w:cs="Times New Roman"/>
          <w:sz w:val="18"/>
          <w:szCs w:val="18"/>
          <w:lang w:val="en-US"/>
        </w:rPr>
        <w:t xml:space="preserve"> </w:t>
      </w:r>
      <w:r w:rsidR="00DA00DF" w:rsidRPr="002D1F1A">
        <w:rPr>
          <w:rFonts w:ascii="Times New Roman" w:hAnsi="Times New Roman" w:cs="Times New Roman"/>
          <w:sz w:val="18"/>
          <w:szCs w:val="18"/>
          <w:lang w:val="en-US"/>
        </w:rPr>
        <w:t>best practice</w:t>
      </w:r>
      <w:r w:rsidRPr="002D1F1A">
        <w:rPr>
          <w:rFonts w:ascii="Times New Roman" w:hAnsi="Times New Roman" w:cs="Times New Roman"/>
          <w:sz w:val="18"/>
          <w:szCs w:val="18"/>
          <w:lang w:val="en-US"/>
        </w:rPr>
        <w:t>.</w:t>
      </w:r>
    </w:p>
    <w:p w14:paraId="59A3C363" w14:textId="77777777" w:rsidR="00E8206A" w:rsidRPr="002D1F1A" w:rsidRDefault="00E8206A" w:rsidP="00B20473">
      <w:pPr>
        <w:ind w:firstLine="284"/>
        <w:jc w:val="both"/>
        <w:rPr>
          <w:rFonts w:ascii="Times New Roman" w:hAnsi="Times New Roman" w:cs="Times New Roman"/>
          <w:sz w:val="20"/>
          <w:szCs w:val="20"/>
          <w:lang w:val="en-US"/>
        </w:rPr>
      </w:pPr>
    </w:p>
    <w:p w14:paraId="0D190862" w14:textId="349AE259" w:rsidR="000A78A1" w:rsidRPr="002D1F1A" w:rsidRDefault="00886FAF" w:rsidP="00B20473">
      <w:pPr>
        <w:ind w:firstLine="284"/>
        <w:jc w:val="both"/>
        <w:rPr>
          <w:rFonts w:ascii="Times New Roman" w:hAnsi="Times New Roman" w:cs="Times New Roman"/>
          <w:sz w:val="20"/>
          <w:szCs w:val="20"/>
          <w:lang w:val="en-US"/>
        </w:rPr>
      </w:pPr>
      <w:r w:rsidRPr="00886FAF">
        <w:rPr>
          <w:rFonts w:ascii="Times New Roman" w:hAnsi="Times New Roman" w:cs="Times New Roman"/>
          <w:sz w:val="20"/>
          <w:szCs w:val="20"/>
          <w:lang w:val="en-US"/>
        </w:rPr>
        <w:lastRenderedPageBreak/>
        <w:t>This fact shows that most lecturers have not produced their original work of learning multimedia. Whereas, according to Wagiran et al., one of the teachers' competencies is using ICT to create learning media</w:t>
      </w:r>
      <w:r w:rsidR="000A78A1" w:rsidRPr="002D1F1A">
        <w:rPr>
          <w:rFonts w:ascii="Times New Roman" w:hAnsi="Times New Roman" w:cs="Times New Roman"/>
          <w:sz w:val="20"/>
          <w:szCs w:val="20"/>
          <w:lang w:val="en-US"/>
        </w:rPr>
        <w:fldChar w:fldCharType="begin" w:fldLock="1"/>
      </w:r>
      <w:r w:rsidR="000A78A1" w:rsidRPr="002D1F1A">
        <w:rPr>
          <w:rFonts w:ascii="Times New Roman" w:hAnsi="Times New Roman" w:cs="Times New Roman"/>
          <w:sz w:val="20"/>
          <w:szCs w:val="20"/>
          <w:lang w:val="en-US"/>
        </w:rPr>
        <w:instrText>ADDIN CSL_CITATION {"citationItems":[{"id":"ITEM-1","itemData":{"DOI":"10.21831/cp.v38i2.25393","ISSN":"24428620","abstract":"Workforce in the 21st century has been marked by the acceleration of disruptive moves as the Industrial Revolution 4.0 and Society 5.0. This era requires human resources with new competencies that may be far different from current competencies. To present vocational education that is able to facilitate future human resource to learn compentencies that meet the need of future changes, vocational teachers should master new competencies comprehensively. This study aims to formulate the core vocational teacher competencies, hard skills and soft skills, which are in line with the various demands of the future. This qualitative research involved active vocational teachers and vocational education experts in several Focus Group Discussions and questionnaire completion. Research questions are focused on reflection of current teacher competencies and perceptions of teacher competencies in the future. The results lead to a conclusion that for future teachers, the core competencies are the pedagogic, content, and ICT competencies. These competences are relevant to hard skills aspects categorised as curriculum and content. In the aspect of soft skills, category living in the world is dominant. The three aspects considered very important for future vocational teachers are able to be exemplary, honest, and discipline. As a consequence, this research suggests to teacher educational institutes that produce vocational teachers to develop the teacher education curricula that integrates these key competencies in their vocational education teacher standards.","author":[{"dropping-particle":"","family":"Wagiran","given":"","non-dropping-particle":"","parse-names":false,"suffix":""},{"dropping-particle":"","family":"Pardjono","given":"","non-dropping-particle":"","parse-names":false,"suffix":""},{"dropping-particle":"","family":"Suyanto","given":"Wardan","non-dropping-particle":"","parse-names":false,"suffix":""},{"dropping-particle":"","family":"Sofyan","given":"Herminarto","non-dropping-particle":"","parse-names":false,"suffix":""},{"dropping-particle":"","family":"Soenarto","given":"Sunaryo","non-dropping-particle":"","parse-names":false,"suffix":""},{"dropping-particle":"","family":"Yudantoko","given":"Afri","non-dropping-particle":"","parse-names":false,"suffix":""}],"container-title":"Cakrawala Pendidikan","id":"ITEM-1","issue":"2","issued":{"date-parts":[["2019"]]},"page":"387-397","title":"Competencies of future vocational teachers: Perspective of in-service teachers and educational experts","type":"article-journal","volume":"38"},"uris":["http://www.mendeley.com/documents/?uuid=71fafead-de7d-451c-b3fd-f6fcc34e94ed"]}],"mendeley":{"formattedCitation":"&lt;sup&gt;8&lt;/sup&gt;","plainTextFormattedCitation":"8","previouslyFormattedCitation":"&lt;sup&gt;8&lt;/sup&gt;"},"properties":{"noteIndex":0},"schema":"https://github.com/citation-style-language/schema/raw/master/csl-citation.json"}</w:instrText>
      </w:r>
      <w:r w:rsidR="000A78A1" w:rsidRPr="002D1F1A">
        <w:rPr>
          <w:rFonts w:ascii="Times New Roman" w:hAnsi="Times New Roman" w:cs="Times New Roman"/>
          <w:sz w:val="20"/>
          <w:szCs w:val="20"/>
          <w:lang w:val="en-US"/>
        </w:rPr>
        <w:fldChar w:fldCharType="separate"/>
      </w:r>
      <w:r w:rsidR="000A78A1" w:rsidRPr="002D1F1A">
        <w:rPr>
          <w:rFonts w:ascii="Times New Roman" w:hAnsi="Times New Roman" w:cs="Times New Roman"/>
          <w:noProof/>
          <w:sz w:val="20"/>
          <w:szCs w:val="20"/>
          <w:vertAlign w:val="superscript"/>
          <w:lang w:val="en-US"/>
        </w:rPr>
        <w:t>8</w:t>
      </w:r>
      <w:r w:rsidR="000A78A1" w:rsidRPr="002D1F1A">
        <w:rPr>
          <w:rFonts w:ascii="Times New Roman" w:hAnsi="Times New Roman" w:cs="Times New Roman"/>
          <w:sz w:val="20"/>
          <w:szCs w:val="20"/>
          <w:lang w:val="en-US"/>
        </w:rPr>
        <w:fldChar w:fldCharType="end"/>
      </w:r>
      <w:r w:rsidR="000A78A1" w:rsidRPr="002D1F1A">
        <w:rPr>
          <w:rFonts w:ascii="Times New Roman" w:hAnsi="Times New Roman" w:cs="Times New Roman"/>
          <w:sz w:val="20"/>
          <w:szCs w:val="20"/>
          <w:lang w:val="en-US"/>
        </w:rPr>
        <w:t>.</w:t>
      </w:r>
      <w:r w:rsidR="004F20BF" w:rsidRPr="002D1F1A">
        <w:rPr>
          <w:rFonts w:ascii="Times New Roman" w:hAnsi="Times New Roman" w:cs="Times New Roman"/>
          <w:sz w:val="20"/>
          <w:szCs w:val="20"/>
          <w:lang w:val="en-US"/>
        </w:rPr>
        <w:t xml:space="preserve"> </w:t>
      </w:r>
      <w:r w:rsidR="004255FD" w:rsidRPr="002D1F1A">
        <w:rPr>
          <w:rFonts w:ascii="Times New Roman" w:hAnsi="Times New Roman" w:cs="Times New Roman"/>
          <w:sz w:val="20"/>
          <w:szCs w:val="20"/>
          <w:lang w:val="en-US"/>
        </w:rPr>
        <w:t>Barriers to the use of multimedia in teaching and learning are 1) fixed mindset and negative attitudes towards the use of ICT in education, 2) lack of confidence in using technology, 3) lack of basic knowledge and ICT skills in using multimedia, 4) lack of access to hardware and software, 5) lack of technical, administrative and financial support</w:t>
      </w:r>
      <w:r w:rsidR="002875B4" w:rsidRPr="002D1F1A">
        <w:rPr>
          <w:rFonts w:ascii="Times New Roman" w:hAnsi="Times New Roman" w:cs="Times New Roman"/>
          <w:sz w:val="20"/>
          <w:szCs w:val="20"/>
          <w:lang w:val="en-US"/>
        </w:rPr>
        <w:t xml:space="preserve"> </w:t>
      </w:r>
      <w:r w:rsidR="004255FD" w:rsidRPr="002D1F1A">
        <w:rPr>
          <w:rFonts w:ascii="Times New Roman" w:hAnsi="Times New Roman" w:cs="Times New Roman"/>
          <w:sz w:val="20"/>
          <w:szCs w:val="20"/>
          <w:lang w:val="en-US"/>
        </w:rPr>
        <w:t>and 6) lack of environmental support and time to study new technology</w:t>
      </w:r>
      <w:r w:rsidR="003D16EA" w:rsidRPr="002D1F1A">
        <w:rPr>
          <w:rFonts w:ascii="Times New Roman" w:hAnsi="Times New Roman" w:cs="Times New Roman"/>
          <w:sz w:val="20"/>
          <w:szCs w:val="20"/>
          <w:lang w:val="en-US"/>
        </w:rPr>
        <w:fldChar w:fldCharType="begin" w:fldLock="1"/>
      </w:r>
      <w:r w:rsidR="008726A6">
        <w:rPr>
          <w:rFonts w:ascii="Times New Roman" w:hAnsi="Times New Roman" w:cs="Times New Roman"/>
          <w:sz w:val="20"/>
          <w:szCs w:val="20"/>
          <w:lang w:val="en-US"/>
        </w:rPr>
        <w:instrText>ADDIN CSL_CITATION {"citationItems":[{"id":"ITEM-1","itemData":{"DOI":"10.1016/j.heliyon.2020.e05312","ISSN":"24058440","abstract":"Access to quality education is still a major bottleneck in developing countries. Efforts at opening the access to a large majority of citizens in developing nations have explored different strategies including the use of multimedia technology. This paper provides a systematic review of different multimedia tools in the teaching and learning processes with a view to examining how multimedia technologies have proven to be a veritable strategy for bridging the gap in the provision of unrestricted access to quality education and improved learners' performance. The review process includes conducting an extensive search of relevant scientific literature, selection of relevant studies using a pre-determined inclusion criteria, literature analysis, and synthesis of the findings of the various studies that have investigated how multimedia have been used for learning and teaching processes. The review examines various case study reports of multimedia tools, their success and limiting factors, application areas, evaluation methodologies, technology components, and age groups targeted by the tools. Future research directions are also provided. Apart from text and images, existing tools were found to have multimedia components such as audio, video, animation and 3-D. The study concluded that the majority of the multimedia solutions deployed for teaching and learning target the solution to the pedagogical content of the subject of interest and the user audience of the solution while the success of the different multimedia tools that have been used on the various target groups and subjects can be attributed to the technologies and components embedded in their development.","author":[{"dropping-particle":"","family":"Abdulrahaman","given":"M. D.","non-dropping-particle":"","parse-names":false,"suffix":""},{"dropping-particle":"","family":"Faruk","given":"N.","non-dropping-particle":"","parse-names":false,"suffix":""},{"dropping-particle":"","family":"Oloyede","given":"A. A.","non-dropping-particle":"","parse-names":false,"suffix":""},{"dropping-particle":"","family":"Surajudeen-Bakinde","given":"N. T.","non-dropping-particle":"","parse-names":false,"suffix":""},{"dropping-particle":"","family":"Olawoyin","given":"L. A.","non-dropping-particle":"","parse-names":false,"suffix":""},{"dropping-particle":"V.","family":"Mejabi","given":"O.","non-dropping-particle":"","parse-names":false,"suffix":""},{"dropping-particle":"","family":"Imam-Fulani","given":"Y. O.","non-dropping-particle":"","parse-names":false,"suffix":""},{"dropping-particle":"","family":"Fahm","given":"A. O.","non-dropping-particle":"","parse-names":false,"suffix":""},{"dropping-particle":"","family":"Azeez","given":"A. L.","non-dropping-particle":"","parse-names":false,"suffix":""}],"container-title":"Heliyon","id":"ITEM-1","issue":"11","issued":{"date-parts":[["2020"]]},"page":"e05312","publisher":"Elsevier Ltd","title":"Multimedia tools in the teaching and learning processes: A systematic review","type":"article-journal","volume":"6"},"uris":["http://www.mendeley.com/documents/?uuid=258b49b0-e2a2-4525-9d62-57bee1e2ca38"]}],"mendeley":{"formattedCitation":"&lt;sup&gt;18&lt;/sup&gt;","plainTextFormattedCitation":"18","previouslyFormattedCitation":"&lt;sup&gt;18&lt;/sup&gt;"},"properties":{"noteIndex":0},"schema":"https://github.com/citation-style-language/schema/raw/master/csl-citation.json"}</w:instrText>
      </w:r>
      <w:r w:rsidR="003D16EA" w:rsidRPr="002D1F1A">
        <w:rPr>
          <w:rFonts w:ascii="Times New Roman" w:hAnsi="Times New Roman" w:cs="Times New Roman"/>
          <w:sz w:val="20"/>
          <w:szCs w:val="20"/>
          <w:lang w:val="en-US"/>
        </w:rPr>
        <w:fldChar w:fldCharType="separate"/>
      </w:r>
      <w:r w:rsidR="008726A6" w:rsidRPr="008726A6">
        <w:rPr>
          <w:rFonts w:ascii="Times New Roman" w:hAnsi="Times New Roman" w:cs="Times New Roman"/>
          <w:noProof/>
          <w:sz w:val="20"/>
          <w:szCs w:val="20"/>
          <w:vertAlign w:val="superscript"/>
          <w:lang w:val="en-US"/>
        </w:rPr>
        <w:t>18</w:t>
      </w:r>
      <w:r w:rsidR="003D16EA" w:rsidRPr="002D1F1A">
        <w:rPr>
          <w:rFonts w:ascii="Times New Roman" w:hAnsi="Times New Roman" w:cs="Times New Roman"/>
          <w:sz w:val="20"/>
          <w:szCs w:val="20"/>
          <w:lang w:val="en-US"/>
        </w:rPr>
        <w:fldChar w:fldCharType="end"/>
      </w:r>
      <w:r w:rsidR="003D16EA" w:rsidRPr="002D1F1A">
        <w:rPr>
          <w:rFonts w:ascii="Times New Roman" w:hAnsi="Times New Roman" w:cs="Times New Roman"/>
          <w:sz w:val="20"/>
          <w:szCs w:val="20"/>
          <w:lang w:val="en-US"/>
        </w:rPr>
        <w:t>.</w:t>
      </w:r>
    </w:p>
    <w:p w14:paraId="2786A3D1" w14:textId="60BF1A81" w:rsidR="00195BB0" w:rsidRPr="002D1F1A" w:rsidRDefault="00D3624D" w:rsidP="00195BB0">
      <w:pPr>
        <w:pStyle w:val="Heading3"/>
        <w:keepLines/>
        <w:numPr>
          <w:ilvl w:val="0"/>
          <w:numId w:val="0"/>
        </w:numPr>
        <w:spacing w:after="240"/>
        <w:ind w:left="720" w:hanging="720"/>
        <w:jc w:val="center"/>
        <w:rPr>
          <w:rFonts w:ascii="Times New Roman" w:eastAsia="Times New Roman" w:hAnsi="Times New Roman" w:cs="Times New Roman"/>
          <w:bCs w:val="0"/>
          <w:iCs/>
          <w:sz w:val="24"/>
          <w:szCs w:val="24"/>
          <w:lang w:val="en-US"/>
        </w:rPr>
      </w:pPr>
      <w:r w:rsidRPr="002D1F1A">
        <w:rPr>
          <w:rFonts w:ascii="Times New Roman" w:eastAsia="Times New Roman" w:hAnsi="Times New Roman" w:cs="Times New Roman"/>
          <w:bCs w:val="0"/>
          <w:iCs/>
          <w:sz w:val="24"/>
          <w:szCs w:val="24"/>
          <w:lang w:val="en-US"/>
        </w:rPr>
        <w:t>Trait</w:t>
      </w:r>
      <w:r w:rsidR="00155E5D" w:rsidRPr="002D1F1A">
        <w:rPr>
          <w:rFonts w:ascii="Times New Roman" w:eastAsia="Times New Roman" w:hAnsi="Times New Roman" w:cs="Times New Roman"/>
          <w:bCs w:val="0"/>
          <w:iCs/>
          <w:sz w:val="24"/>
          <w:szCs w:val="24"/>
          <w:lang w:val="en-US"/>
        </w:rPr>
        <w:t xml:space="preserve">s of </w:t>
      </w:r>
      <w:r w:rsidRPr="002D1F1A">
        <w:rPr>
          <w:rFonts w:ascii="Times New Roman" w:eastAsia="Times New Roman" w:hAnsi="Times New Roman" w:cs="Times New Roman"/>
          <w:bCs w:val="0"/>
          <w:iCs/>
          <w:sz w:val="24"/>
          <w:szCs w:val="24"/>
          <w:lang w:val="en-US"/>
        </w:rPr>
        <w:t>Sync</w:t>
      </w:r>
      <w:r w:rsidR="002875B4" w:rsidRPr="002D1F1A">
        <w:rPr>
          <w:rFonts w:ascii="Times New Roman" w:eastAsia="Times New Roman" w:hAnsi="Times New Roman" w:cs="Times New Roman"/>
          <w:bCs w:val="0"/>
          <w:iCs/>
          <w:sz w:val="24"/>
          <w:szCs w:val="24"/>
          <w:lang w:val="en-US"/>
        </w:rPr>
        <w:t>h</w:t>
      </w:r>
      <w:r w:rsidRPr="002D1F1A">
        <w:rPr>
          <w:rFonts w:ascii="Times New Roman" w:eastAsia="Times New Roman" w:hAnsi="Times New Roman" w:cs="Times New Roman"/>
          <w:bCs w:val="0"/>
          <w:iCs/>
          <w:sz w:val="24"/>
          <w:szCs w:val="24"/>
          <w:lang w:val="en-US"/>
        </w:rPr>
        <w:t>ronous and Async</w:t>
      </w:r>
      <w:r w:rsidR="002875B4" w:rsidRPr="002D1F1A">
        <w:rPr>
          <w:rFonts w:ascii="Times New Roman" w:eastAsia="Times New Roman" w:hAnsi="Times New Roman" w:cs="Times New Roman"/>
          <w:bCs w:val="0"/>
          <w:iCs/>
          <w:sz w:val="24"/>
          <w:szCs w:val="24"/>
          <w:lang w:val="en-US"/>
        </w:rPr>
        <w:t>h</w:t>
      </w:r>
      <w:r w:rsidRPr="002D1F1A">
        <w:rPr>
          <w:rFonts w:ascii="Times New Roman" w:eastAsia="Times New Roman" w:hAnsi="Times New Roman" w:cs="Times New Roman"/>
          <w:bCs w:val="0"/>
          <w:iCs/>
          <w:sz w:val="24"/>
          <w:szCs w:val="24"/>
          <w:lang w:val="en-US"/>
        </w:rPr>
        <w:t>ronous Meeting</w:t>
      </w:r>
      <w:r w:rsidR="002875B4" w:rsidRPr="002D1F1A">
        <w:rPr>
          <w:rFonts w:ascii="Times New Roman" w:eastAsia="Times New Roman" w:hAnsi="Times New Roman" w:cs="Times New Roman"/>
          <w:bCs w:val="0"/>
          <w:iCs/>
          <w:sz w:val="24"/>
          <w:szCs w:val="24"/>
          <w:lang w:val="en-US"/>
        </w:rPr>
        <w:t>s</w:t>
      </w:r>
      <w:r w:rsidRPr="002D1F1A">
        <w:rPr>
          <w:rFonts w:ascii="Times New Roman" w:eastAsia="Times New Roman" w:hAnsi="Times New Roman" w:cs="Times New Roman"/>
          <w:bCs w:val="0"/>
          <w:iCs/>
          <w:sz w:val="24"/>
          <w:szCs w:val="24"/>
          <w:lang w:val="en-US"/>
        </w:rPr>
        <w:t xml:space="preserve"> </w:t>
      </w:r>
    </w:p>
    <w:p w14:paraId="2C288808" w14:textId="3695ABB3" w:rsidR="00586A64" w:rsidRPr="002D1F1A" w:rsidRDefault="00787197" w:rsidP="00787197">
      <w:pPr>
        <w:ind w:firstLine="284"/>
        <w:jc w:val="both"/>
        <w:rPr>
          <w:rFonts w:ascii="Times New Roman" w:hAnsi="Times New Roman" w:cs="Times New Roman"/>
          <w:sz w:val="20"/>
          <w:szCs w:val="20"/>
          <w:lang w:val="en-US"/>
        </w:rPr>
      </w:pPr>
      <w:r w:rsidRPr="002D1F1A">
        <w:rPr>
          <w:rFonts w:ascii="Times New Roman" w:hAnsi="Times New Roman" w:cs="Times New Roman"/>
          <w:sz w:val="20"/>
          <w:szCs w:val="20"/>
          <w:lang w:val="en-US"/>
        </w:rPr>
        <w:t xml:space="preserve">Most respondents have </w:t>
      </w:r>
      <w:r w:rsidR="00C90EFA" w:rsidRPr="002D1F1A">
        <w:rPr>
          <w:rFonts w:ascii="Times New Roman" w:hAnsi="Times New Roman" w:cs="Times New Roman"/>
          <w:sz w:val="20"/>
          <w:szCs w:val="20"/>
          <w:lang w:val="en-US"/>
        </w:rPr>
        <w:t xml:space="preserve">equipment </w:t>
      </w:r>
      <w:r w:rsidRPr="002D1F1A">
        <w:rPr>
          <w:rFonts w:ascii="Times New Roman" w:hAnsi="Times New Roman" w:cs="Times New Roman"/>
          <w:sz w:val="20"/>
          <w:szCs w:val="20"/>
          <w:lang w:val="en-US"/>
        </w:rPr>
        <w:t xml:space="preserve">for virtual synchronous meetings, namely institutional Zoom </w:t>
      </w:r>
      <w:r w:rsidR="00C90EFA" w:rsidRPr="002D1F1A">
        <w:rPr>
          <w:rFonts w:ascii="Times New Roman" w:hAnsi="Times New Roman" w:cs="Times New Roman"/>
          <w:sz w:val="20"/>
          <w:szCs w:val="20"/>
          <w:lang w:val="en-US"/>
        </w:rPr>
        <w:t xml:space="preserve">educational license </w:t>
      </w:r>
      <w:r w:rsidRPr="002D1F1A">
        <w:rPr>
          <w:rFonts w:ascii="Times New Roman" w:hAnsi="Times New Roman" w:cs="Times New Roman"/>
          <w:sz w:val="20"/>
          <w:szCs w:val="20"/>
          <w:lang w:val="en-US"/>
        </w:rPr>
        <w:t xml:space="preserve">accounts (86%) and headsets (96%). Meanwhile, the availability of </w:t>
      </w:r>
      <w:r w:rsidR="0026693C" w:rsidRPr="002D1F1A">
        <w:rPr>
          <w:rFonts w:ascii="Times New Roman" w:hAnsi="Times New Roman" w:cs="Times New Roman"/>
          <w:sz w:val="20"/>
          <w:szCs w:val="20"/>
          <w:lang w:val="en-US"/>
        </w:rPr>
        <w:t xml:space="preserve">equipment </w:t>
      </w:r>
      <w:r w:rsidRPr="002D1F1A">
        <w:rPr>
          <w:rFonts w:ascii="Times New Roman" w:hAnsi="Times New Roman" w:cs="Times New Roman"/>
          <w:sz w:val="20"/>
          <w:szCs w:val="20"/>
          <w:lang w:val="en-US"/>
        </w:rPr>
        <w:t>for asynchronous meetings activities is only owned by some respondents, namely microphones (59%), drawing pads/tablets (25%)</w:t>
      </w:r>
      <w:r w:rsidR="0026693C" w:rsidRPr="002D1F1A">
        <w:rPr>
          <w:rFonts w:ascii="Times New Roman" w:hAnsi="Times New Roman" w:cs="Times New Roman"/>
          <w:sz w:val="20"/>
          <w:szCs w:val="20"/>
          <w:lang w:val="en-US"/>
        </w:rPr>
        <w:t xml:space="preserve">, </w:t>
      </w:r>
      <w:r w:rsidRPr="002D1F1A">
        <w:rPr>
          <w:rFonts w:ascii="Times New Roman" w:hAnsi="Times New Roman" w:cs="Times New Roman"/>
          <w:sz w:val="20"/>
          <w:szCs w:val="20"/>
          <w:lang w:val="en-US"/>
        </w:rPr>
        <w:t>screen recording software (27%), video editing software (45%)</w:t>
      </w:r>
      <w:r w:rsidR="00886FAF">
        <w:rPr>
          <w:rFonts w:ascii="Times New Roman" w:hAnsi="Times New Roman" w:cs="Times New Roman"/>
          <w:sz w:val="20"/>
          <w:szCs w:val="20"/>
          <w:lang w:val="en-US"/>
        </w:rPr>
        <w:t>,</w:t>
      </w:r>
      <w:r w:rsidRPr="002D1F1A">
        <w:rPr>
          <w:rFonts w:ascii="Times New Roman" w:hAnsi="Times New Roman" w:cs="Times New Roman"/>
          <w:sz w:val="20"/>
          <w:szCs w:val="20"/>
          <w:lang w:val="en-US"/>
        </w:rPr>
        <w:t xml:space="preserve"> and project management software (20%). </w:t>
      </w:r>
      <w:r w:rsidR="00886FAF" w:rsidRPr="00886FAF">
        <w:rPr>
          <w:rFonts w:ascii="Times New Roman" w:hAnsi="Times New Roman" w:cs="Times New Roman"/>
          <w:sz w:val="20"/>
          <w:szCs w:val="20"/>
          <w:lang w:val="en-US"/>
        </w:rPr>
        <w:t>This fact shows that respondents prioritize procurement and the use of tools to facilitate virtual synchronous meetings. This trend is similar to India, where lecturers often conduct video conferences rather than facilitating video recordings for asynchronous meetings</w:t>
      </w:r>
      <w:r w:rsidR="00D87D59" w:rsidRPr="002D1F1A">
        <w:rPr>
          <w:rFonts w:ascii="Times New Roman" w:hAnsi="Times New Roman" w:cs="Times New Roman"/>
          <w:sz w:val="20"/>
          <w:szCs w:val="20"/>
          <w:lang w:val="en-US"/>
        </w:rPr>
        <w:fldChar w:fldCharType="begin" w:fldLock="1"/>
      </w:r>
      <w:r w:rsidR="008726A6">
        <w:rPr>
          <w:rFonts w:ascii="Times New Roman" w:hAnsi="Times New Roman" w:cs="Times New Roman"/>
          <w:sz w:val="20"/>
          <w:szCs w:val="20"/>
          <w:lang w:val="en-US"/>
        </w:rPr>
        <w:instrText>ADDIN CSL_CITATION {"citationItems":[{"id":"ITEM-1","itemData":{"DOI":"10.1016/j.ijedudev.2021.102444","ISSN":"07380593","abstract":"Coronavirus outbreak mediated pandemic impacted most of the sectors globally. This includes the academic world that consists of millions of enrolled learners and active teachers who previously had regular classes in their institutions, and due to the pandemic, got stuck at the home. To continue the education process, the online class was introduced in most of the countries, including India. In this mode, both teaching and learning happen through electronic devices which are relatively new to the entire teaching-learning community. This study aimed to understand how online classes had fared for the teachers and students in India. Besides, it tried to understand the users’ experience and the unique set of challenges that this mode of education brings. Four separate questionnaires were created for school students, school teachers, college students, and college professors. The questions inquired about various aspects of online classes such as setting up online education at home, knowledge transfer, comfort, evaluation, and future aspects. The questionnaires were circulated electronically as google forms. The responses were received from the teachers (school teachers and college professors considering all courses) and learners (school and college students considering all courses) of various educational institutions across the country. The data was compiled and the results were discussed in two ways, firstly, the perspectives of teaching versus the learning group and secondly, school versus college groups on online versus regular classes. Though online training/distance education is practiced for a long time, the research on the mentioned aspects was limited. This study is the first of its kind which reflects the merits and demerits of the new-normal online education from home in the compiled voice of teachers and learners group in India. The study addresses the participant's compliments and grievances of online education compared to regular classes. This further enlightens how to improve the technologies to make them use more efficiently. Besides, this study gives a proper framework to modify or create educational policies, laws, and schemes to obtain equal access to resources for all.","author":[{"dropping-particle":"","family":"Selvaraj","given":"Ambika","non-dropping-particle":"","parse-names":false,"suffix":""},{"dropping-particle":"","family":"Radhin","given":"Vishnu","non-dropping-particle":"","parse-names":false,"suffix":""},{"dropping-particle":"","family":"KA","given":"Nithin","non-dropping-particle":"","parse-names":false,"suffix":""},{"dropping-particle":"","family":"Benson","given":"Noel","non-dropping-particle":"","parse-names":false,"suffix":""},{"dropping-particle":"","family":"Mathew","given":"Arun Jo","non-dropping-particle":"","parse-names":false,"suffix":""}],"container-title":"International Journal of Educational Development","id":"ITEM-1","issue":"June","issued":{"date-parts":[["2021"]]},"page":"102444","publisher":"Elsevier Ltd","title":"Effect of pandemic based online education on teaching and learning system","type":"article-journal","volume":"85"},"uris":["http://www.mendeley.com/documents/?uuid=d827fad3-1530-44fa-8aa2-1809ae29a293"]}],"mendeley":{"formattedCitation":"&lt;sup&gt;19&lt;/sup&gt;","plainTextFormattedCitation":"19","previouslyFormattedCitation":"&lt;sup&gt;19&lt;/sup&gt;"},"properties":{"noteIndex":0},"schema":"https://github.com/citation-style-language/schema/raw/master/csl-citation.json"}</w:instrText>
      </w:r>
      <w:r w:rsidR="00D87D59" w:rsidRPr="002D1F1A">
        <w:rPr>
          <w:rFonts w:ascii="Times New Roman" w:hAnsi="Times New Roman" w:cs="Times New Roman"/>
          <w:sz w:val="20"/>
          <w:szCs w:val="20"/>
          <w:lang w:val="en-US"/>
        </w:rPr>
        <w:fldChar w:fldCharType="separate"/>
      </w:r>
      <w:r w:rsidR="008726A6" w:rsidRPr="008726A6">
        <w:rPr>
          <w:rFonts w:ascii="Times New Roman" w:hAnsi="Times New Roman" w:cs="Times New Roman"/>
          <w:noProof/>
          <w:sz w:val="20"/>
          <w:szCs w:val="20"/>
          <w:vertAlign w:val="superscript"/>
          <w:lang w:val="en-US"/>
        </w:rPr>
        <w:t>19</w:t>
      </w:r>
      <w:r w:rsidR="00D87D59" w:rsidRPr="002D1F1A">
        <w:rPr>
          <w:rFonts w:ascii="Times New Roman" w:hAnsi="Times New Roman" w:cs="Times New Roman"/>
          <w:sz w:val="20"/>
          <w:szCs w:val="20"/>
          <w:lang w:val="en-US"/>
        </w:rPr>
        <w:fldChar w:fldCharType="end"/>
      </w:r>
      <w:r w:rsidR="00D87D59" w:rsidRPr="002D1F1A">
        <w:rPr>
          <w:rFonts w:ascii="Times New Roman" w:hAnsi="Times New Roman" w:cs="Times New Roman"/>
          <w:sz w:val="20"/>
          <w:szCs w:val="20"/>
          <w:lang w:val="en-US"/>
        </w:rPr>
        <w:t>.</w:t>
      </w:r>
      <w:r w:rsidR="003E7636" w:rsidRPr="002D1F1A">
        <w:rPr>
          <w:rFonts w:ascii="Times New Roman" w:hAnsi="Times New Roman" w:cs="Times New Roman"/>
          <w:sz w:val="20"/>
          <w:szCs w:val="20"/>
          <w:lang w:val="en-US"/>
        </w:rPr>
        <w:t xml:space="preserve"> </w:t>
      </w:r>
    </w:p>
    <w:p w14:paraId="6FDEAC09" w14:textId="1E5595E0" w:rsidR="00195BB0" w:rsidRPr="002D1F1A" w:rsidRDefault="00886FAF" w:rsidP="00B20473">
      <w:pPr>
        <w:ind w:firstLine="284"/>
        <w:jc w:val="both"/>
        <w:rPr>
          <w:rFonts w:ascii="Times New Roman" w:hAnsi="Times New Roman" w:cs="Times New Roman"/>
          <w:color w:val="E36C0A" w:themeColor="accent6" w:themeShade="BF"/>
          <w:sz w:val="20"/>
          <w:szCs w:val="20"/>
          <w:lang w:val="en-US"/>
        </w:rPr>
      </w:pPr>
      <w:r w:rsidRPr="00886FAF">
        <w:rPr>
          <w:rFonts w:ascii="Times New Roman" w:hAnsi="Times New Roman" w:cs="Times New Roman"/>
          <w:sz w:val="20"/>
          <w:szCs w:val="20"/>
          <w:lang w:val="en-US"/>
        </w:rPr>
        <w:t>Shifting from synchronous meetings is easier to conduct using video conferencing technology. Video conferencing software such as Zoom provides screen sharing, file sharing, chat, polling, break-out rooms, and record session facilities that resemble synchronous meetings activities in the class. However, video conferencing activities turned out to be preferred by lecturers and less liked by students</w:t>
      </w:r>
      <w:r w:rsidR="00805860" w:rsidRPr="002D1F1A">
        <w:rPr>
          <w:rFonts w:ascii="Times New Roman" w:hAnsi="Times New Roman" w:cs="Times New Roman"/>
          <w:sz w:val="20"/>
          <w:szCs w:val="20"/>
          <w:lang w:val="en-US"/>
        </w:rPr>
        <w:fldChar w:fldCharType="begin" w:fldLock="1"/>
      </w:r>
      <w:r w:rsidR="008726A6">
        <w:rPr>
          <w:rFonts w:ascii="Times New Roman" w:hAnsi="Times New Roman" w:cs="Times New Roman"/>
          <w:sz w:val="20"/>
          <w:szCs w:val="20"/>
          <w:lang w:val="en-US"/>
        </w:rPr>
        <w:instrText>ADDIN CSL_CITATION {"citationItems":[{"id":"ITEM-1","itemData":{"DOI":"10.1016/j.nepr.2021.103138","ISSN":"14715953","PMID":"34237510","abstract":"Aim: The COVID-19 pandemic has generated opportunities and challenges for nursing education, with many nursing programs transitioning in-person courses to online delivery with varying degrees of success. This study aimed to compare the attitudes of baccalaureate nursing students and nursing faculty members towards the use of Zoom for nursing education in Alberta, Canada. Design: A mixed-methods design was used to measure student and faculty attitudes. Methods: Data were collected using a Likert-scale survey with the opportunity to share additional perceptions in the form of qualitative data. Quantitative data underwent descriptive analysis as well as inferential analysis comparing results from both groups. A thematic analysis was conducted for qualitative data. Results: Most student and faculty participants favour in-person learning approaches to online platforms. Students' attitudes toward online practice experiences were overwhelmingly negative, citing concerns with lack of relational practice and skill development. Achievements and barriers were also identified with online learning. Conclusions: With an uncertain future in nursing education, opportunities exist to examine current nursing education program delivery and thoughtfully augment in-person learning approaches with online methods.","author":[{"dropping-particle":"","family":"Vandenberg","given":"Shannon","non-dropping-particle":"","parse-names":false,"suffix":""},{"dropping-particle":"","family":"Magnuson","given":"Morgan","non-dropping-particle":"","parse-names":false,"suffix":""}],"container-title":"Nurse Education in Practice","id":"ITEM-1","issue":"June","issued":{"date-parts":[["2021"]]},"page":"103138","publisher":"Elsevier Ltd","title":"A comparison of student and faculty attitudes on the use of Zoom, a video conferencing platform: A mixed-methods study","type":"article-journal","volume":"54"},"uris":["http://www.mendeley.com/documents/?uuid=1e203323-8946-4a8d-9fa5-9e7ed263c85e"]}],"mendeley":{"formattedCitation":"&lt;sup&gt;20&lt;/sup&gt;","plainTextFormattedCitation":"20","previouslyFormattedCitation":"&lt;sup&gt;20&lt;/sup&gt;"},"properties":{"noteIndex":0},"schema":"https://github.com/citation-style-language/schema/raw/master/csl-citation.json"}</w:instrText>
      </w:r>
      <w:r w:rsidR="00805860" w:rsidRPr="002D1F1A">
        <w:rPr>
          <w:rFonts w:ascii="Times New Roman" w:hAnsi="Times New Roman" w:cs="Times New Roman"/>
          <w:sz w:val="20"/>
          <w:szCs w:val="20"/>
          <w:lang w:val="en-US"/>
        </w:rPr>
        <w:fldChar w:fldCharType="separate"/>
      </w:r>
      <w:r w:rsidR="008726A6" w:rsidRPr="008726A6">
        <w:rPr>
          <w:rFonts w:ascii="Times New Roman" w:hAnsi="Times New Roman" w:cs="Times New Roman"/>
          <w:noProof/>
          <w:sz w:val="20"/>
          <w:szCs w:val="20"/>
          <w:vertAlign w:val="superscript"/>
          <w:lang w:val="en-US"/>
        </w:rPr>
        <w:t>20</w:t>
      </w:r>
      <w:r w:rsidR="00805860" w:rsidRPr="002D1F1A">
        <w:rPr>
          <w:rFonts w:ascii="Times New Roman" w:hAnsi="Times New Roman" w:cs="Times New Roman"/>
          <w:sz w:val="20"/>
          <w:szCs w:val="20"/>
          <w:lang w:val="en-US"/>
        </w:rPr>
        <w:fldChar w:fldCharType="end"/>
      </w:r>
      <w:r w:rsidR="00805860" w:rsidRPr="002D1F1A">
        <w:rPr>
          <w:rFonts w:ascii="Times New Roman" w:hAnsi="Times New Roman" w:cs="Times New Roman"/>
          <w:sz w:val="20"/>
          <w:szCs w:val="20"/>
          <w:lang w:val="en-US"/>
        </w:rPr>
        <w:t>.</w:t>
      </w:r>
      <w:r w:rsidR="005C57E4" w:rsidRPr="002D1F1A">
        <w:rPr>
          <w:rFonts w:ascii="Times New Roman" w:hAnsi="Times New Roman" w:cs="Times New Roman"/>
          <w:sz w:val="20"/>
          <w:szCs w:val="20"/>
          <w:lang w:val="en-US"/>
        </w:rPr>
        <w:t xml:space="preserve"> </w:t>
      </w:r>
      <w:r w:rsidRPr="00886FAF">
        <w:rPr>
          <w:rFonts w:ascii="Times New Roman" w:hAnsi="Times New Roman" w:cs="Times New Roman"/>
          <w:sz w:val="20"/>
          <w:szCs w:val="20"/>
          <w:lang w:val="en-US"/>
        </w:rPr>
        <w:t xml:space="preserve">Students like online learning if there is an aspect of openness to new experiences. They love new experiences in learning. If lecturers constantly use video conferencing and only rely on it for online learning, students' engagement will </w:t>
      </w:r>
      <w:r w:rsidR="00787197" w:rsidRPr="002D1F1A">
        <w:rPr>
          <w:rFonts w:ascii="Times New Roman" w:hAnsi="Times New Roman" w:cs="Times New Roman"/>
          <w:sz w:val="20"/>
          <w:szCs w:val="20"/>
          <w:lang w:val="en-US"/>
        </w:rPr>
        <w:t>decrease</w:t>
      </w:r>
      <w:r w:rsidR="005C57E4" w:rsidRPr="002D1F1A">
        <w:rPr>
          <w:rFonts w:ascii="Times New Roman" w:hAnsi="Times New Roman" w:cs="Times New Roman"/>
          <w:sz w:val="20"/>
          <w:szCs w:val="20"/>
          <w:lang w:val="en-US"/>
        </w:rPr>
        <w:fldChar w:fldCharType="begin" w:fldLock="1"/>
      </w:r>
      <w:r w:rsidR="008726A6">
        <w:rPr>
          <w:rFonts w:ascii="Times New Roman" w:hAnsi="Times New Roman" w:cs="Times New Roman"/>
          <w:sz w:val="20"/>
          <w:szCs w:val="20"/>
          <w:lang w:val="en-US"/>
        </w:rPr>
        <w:instrText>ADDIN CSL_CITATION {"citationItems":[{"id":"ITEM-1","itemData":{"DOI":"10.1016/j.paid.2021.110969","ISSN":"01918869","abstract":"Many students struggled with the abrupt transition to online classes required by the COVID-19 pandemic. The present research used a self-determination theory framework to examine the role of the Big 5 personality traits in university students' adaptation to online learning, measured by their quality of motivation, subjective well-being, self-efficacy, online engagement, and online satisfaction. A longitudinal study was conducted across the 2020 fall semester and included a total of 350 university students who answered surveys in September and December. Results showed that conscientiousness and openness to experience were associated with higher self-efficacy and with different forms of autonomous motivation for online learning. Conscientiousness was related to identified motivation, whereas openness to experience was related to intrinsic motivation. In contrast, neuroticism was related to increases in controlled motivation. Only openness to experience was strongly related to engagement with online learning and higher levels of subjective well-being. These findings suggest that openness to experience may be an adaptive trait for students' transition to online classes during these times of uncertainty.","author":[{"dropping-particle":"","family":"Audet","given":"Élodie C.","non-dropping-particle":"","parse-names":false,"suffix":""},{"dropping-particle":"","family":"Levine","given":"Shelby L.","non-dropping-particle":"","parse-names":false,"suffix":""},{"dropping-particle":"","family":"Metin","given":"Ezelbahar","non-dropping-particle":"","parse-names":false,"suffix":""},{"dropping-particle":"","family":"Koestner","given":"Sophie","non-dropping-particle":"","parse-names":false,"suffix":""},{"dropping-particle":"","family":"Barcan","given":"Stephanie","non-dropping-particle":"","parse-names":false,"suffix":""}],"container-title":"Personality and Individual Differences","id":"ITEM-1","issue":"May","issued":{"date-parts":[["2021"]]},"title":"Zooming their way through university: Which Big 5 traits facilitated students' adjustment to online courses during the COVID-19 pandemic","type":"article-journal","volume":"180"},"uris":["http://www.mendeley.com/documents/?uuid=9e3d088e-ae5e-40ff-8a30-f737c055a882"]}],"mendeley":{"formattedCitation":"&lt;sup&gt;21&lt;/sup&gt;","plainTextFormattedCitation":"21","previouslyFormattedCitation":"&lt;sup&gt;21&lt;/sup&gt;"},"properties":{"noteIndex":0},"schema":"https://github.com/citation-style-language/schema/raw/master/csl-citation.json"}</w:instrText>
      </w:r>
      <w:r w:rsidR="005C57E4" w:rsidRPr="002D1F1A">
        <w:rPr>
          <w:rFonts w:ascii="Times New Roman" w:hAnsi="Times New Roman" w:cs="Times New Roman"/>
          <w:sz w:val="20"/>
          <w:szCs w:val="20"/>
          <w:lang w:val="en-US"/>
        </w:rPr>
        <w:fldChar w:fldCharType="separate"/>
      </w:r>
      <w:r w:rsidR="008726A6" w:rsidRPr="008726A6">
        <w:rPr>
          <w:rFonts w:ascii="Times New Roman" w:hAnsi="Times New Roman" w:cs="Times New Roman"/>
          <w:noProof/>
          <w:sz w:val="20"/>
          <w:szCs w:val="20"/>
          <w:vertAlign w:val="superscript"/>
          <w:lang w:val="en-US"/>
        </w:rPr>
        <w:t>21</w:t>
      </w:r>
      <w:r w:rsidR="005C57E4" w:rsidRPr="002D1F1A">
        <w:rPr>
          <w:rFonts w:ascii="Times New Roman" w:hAnsi="Times New Roman" w:cs="Times New Roman"/>
          <w:sz w:val="20"/>
          <w:szCs w:val="20"/>
          <w:lang w:val="en-US"/>
        </w:rPr>
        <w:fldChar w:fldCharType="end"/>
      </w:r>
      <w:r w:rsidR="005C57E4" w:rsidRPr="002D1F1A">
        <w:rPr>
          <w:rFonts w:ascii="Times New Roman" w:hAnsi="Times New Roman" w:cs="Times New Roman"/>
          <w:sz w:val="20"/>
          <w:szCs w:val="20"/>
          <w:lang w:val="en-US"/>
        </w:rPr>
        <w:t>.</w:t>
      </w:r>
    </w:p>
    <w:p w14:paraId="0C6D3677" w14:textId="11BEA958" w:rsidR="00787197" w:rsidRPr="002D1F1A" w:rsidRDefault="00D10412" w:rsidP="00C45C19">
      <w:pPr>
        <w:ind w:firstLine="284"/>
        <w:jc w:val="both"/>
        <w:rPr>
          <w:rFonts w:ascii="Times New Roman" w:hAnsi="Times New Roman" w:cs="Times New Roman"/>
          <w:sz w:val="20"/>
          <w:szCs w:val="20"/>
          <w:lang w:val="en-US"/>
        </w:rPr>
      </w:pPr>
      <w:r w:rsidRPr="00D10412">
        <w:rPr>
          <w:rFonts w:ascii="Times New Roman" w:hAnsi="Times New Roman" w:cs="Times New Roman"/>
          <w:sz w:val="20"/>
          <w:szCs w:val="20"/>
          <w:lang w:val="en-US"/>
        </w:rPr>
        <w:t xml:space="preserve">The reluctance of lecturers to facilitate learning delivery by utilizing asynchronous meetings is caused by limited time and funds. Lecturers with high ICT skills need 6-8 hours to convert </w:t>
      </w:r>
      <w:r>
        <w:rPr>
          <w:rFonts w:ascii="Times New Roman" w:hAnsi="Times New Roman" w:cs="Times New Roman"/>
          <w:sz w:val="20"/>
          <w:szCs w:val="20"/>
          <w:lang w:val="en-US"/>
        </w:rPr>
        <w:t>an</w:t>
      </w:r>
      <w:r w:rsidRPr="00D10412">
        <w:rPr>
          <w:rFonts w:ascii="Times New Roman" w:hAnsi="Times New Roman" w:cs="Times New Roman"/>
          <w:sz w:val="20"/>
          <w:szCs w:val="20"/>
          <w:lang w:val="en-US"/>
        </w:rPr>
        <w:t xml:space="preserve"> hour of synchronous meetings to asynchronous meetings</w:t>
      </w:r>
      <w:r w:rsidR="007C5E79" w:rsidRPr="002D1F1A">
        <w:rPr>
          <w:rFonts w:ascii="Times New Roman" w:hAnsi="Times New Roman" w:cs="Times New Roman"/>
          <w:sz w:val="20"/>
          <w:szCs w:val="20"/>
          <w:lang w:val="en-US"/>
        </w:rPr>
        <w:fldChar w:fldCharType="begin" w:fldLock="1"/>
      </w:r>
      <w:r w:rsidR="008726A6">
        <w:rPr>
          <w:rFonts w:ascii="Times New Roman" w:hAnsi="Times New Roman" w:cs="Times New Roman"/>
          <w:sz w:val="20"/>
          <w:szCs w:val="20"/>
          <w:lang w:val="en-US"/>
        </w:rPr>
        <w:instrText>ADDIN CSL_CITATION {"citationItems":[{"id":"ITEM-1","itemData":{"ISSN":"15536467","abstract":"Objective. To evaluate student perception and time spent on asynchronous online lectures in a blended learning environment (BLE) and to assess faculty workload and perception. Methods. Students (n=427) time spent viewing online lectures was measured in three courses. Students and faculty members completed a survey to assess perceptions of a BLE. Faculty members recorded time spent creating BLEs. Results. Total time spent in the BLE was less than the allocated time for two of the three courses by 3-15%. Students preferred online lectures for their flexibility, students' ability to apply information learned, and congruence with their learning styles. Faculty members reported the BLE facilitated higher levels of learning during class sessions but noted an increase in workload. Conclusion. A BLE increased faculty workload but was well received by students. Time spent viewing online lectures was less than what was allocated in two of the three courses.","author":[{"dropping-particle":"","family":"Phillips","given":"Jennifer A.","non-dropping-particle":"","parse-names":false,"suffix":""},{"dropping-particle":"","family":"Schumacher","given":"Christie","non-dropping-particle":"","parse-names":false,"suffix":""},{"dropping-particle":"","family":"Arif","given":"Sally","non-dropping-particle":"","parse-names":false,"suffix":""}],"container-title":"American Journal of Pharmaceutical Education","id":"ITEM-1","issue":"6","issued":{"date-parts":[["2016"]]},"page":"102","title":"Time spent, workload, and student and faculty perceptions in a blended learning environment","type":"article-journal","volume":"80"},"uris":["http://www.mendeley.com/documents/?uuid=d3df0488-549e-45f7-8a38-2263a55ce191"]}],"mendeley":{"formattedCitation":"&lt;sup&gt;22&lt;/sup&gt;","plainTextFormattedCitation":"22","previouslyFormattedCitation":"&lt;sup&gt;22&lt;/sup&gt;"},"properties":{"noteIndex":0},"schema":"https://github.com/citation-style-language/schema/raw/master/csl-citation.json"}</w:instrText>
      </w:r>
      <w:r w:rsidR="007C5E79" w:rsidRPr="002D1F1A">
        <w:rPr>
          <w:rFonts w:ascii="Times New Roman" w:hAnsi="Times New Roman" w:cs="Times New Roman"/>
          <w:sz w:val="20"/>
          <w:szCs w:val="20"/>
          <w:lang w:val="en-US"/>
        </w:rPr>
        <w:fldChar w:fldCharType="separate"/>
      </w:r>
      <w:r w:rsidR="008726A6" w:rsidRPr="008726A6">
        <w:rPr>
          <w:rFonts w:ascii="Times New Roman" w:hAnsi="Times New Roman" w:cs="Times New Roman"/>
          <w:noProof/>
          <w:sz w:val="20"/>
          <w:szCs w:val="20"/>
          <w:vertAlign w:val="superscript"/>
          <w:lang w:val="en-US"/>
        </w:rPr>
        <w:t>22</w:t>
      </w:r>
      <w:r w:rsidR="007C5E79" w:rsidRPr="002D1F1A">
        <w:rPr>
          <w:rFonts w:ascii="Times New Roman" w:hAnsi="Times New Roman" w:cs="Times New Roman"/>
          <w:sz w:val="20"/>
          <w:szCs w:val="20"/>
          <w:lang w:val="en-US"/>
        </w:rPr>
        <w:fldChar w:fldCharType="end"/>
      </w:r>
      <w:r w:rsidR="007C5E79" w:rsidRPr="002D1F1A">
        <w:rPr>
          <w:rFonts w:ascii="Times New Roman" w:hAnsi="Times New Roman" w:cs="Times New Roman"/>
          <w:sz w:val="20"/>
          <w:szCs w:val="20"/>
          <w:lang w:val="en-US"/>
        </w:rPr>
        <w:t xml:space="preserve">. </w:t>
      </w:r>
      <w:r w:rsidRPr="00D10412">
        <w:rPr>
          <w:rFonts w:ascii="Times New Roman" w:hAnsi="Times New Roman" w:cs="Times New Roman"/>
          <w:sz w:val="20"/>
          <w:szCs w:val="20"/>
          <w:lang w:val="en-US"/>
        </w:rPr>
        <w:t>In contrast, lower ICT skills lecturers can allocate twice as long</w:t>
      </w:r>
      <w:r w:rsidR="00787197" w:rsidRPr="002D1F1A">
        <w:rPr>
          <w:rFonts w:ascii="Times New Roman" w:hAnsi="Times New Roman" w:cs="Times New Roman"/>
          <w:sz w:val="20"/>
          <w:szCs w:val="20"/>
          <w:lang w:val="en-US"/>
        </w:rPr>
        <w:t xml:space="preserve">. </w:t>
      </w:r>
      <w:r w:rsidR="0026693C" w:rsidRPr="002D1F1A">
        <w:rPr>
          <w:rFonts w:ascii="Times New Roman" w:hAnsi="Times New Roman" w:cs="Times New Roman"/>
          <w:sz w:val="20"/>
          <w:szCs w:val="20"/>
          <w:lang w:val="en-US"/>
        </w:rPr>
        <w:t>However</w:t>
      </w:r>
      <w:r w:rsidR="008E7B4F" w:rsidRPr="002D1F1A">
        <w:rPr>
          <w:rFonts w:ascii="Times New Roman" w:hAnsi="Times New Roman" w:cs="Times New Roman"/>
          <w:sz w:val="20"/>
          <w:szCs w:val="20"/>
          <w:lang w:val="en-US"/>
        </w:rPr>
        <w:t>, Tuma et al. reported that activities in asynchronous meetings, including accessing learning media, doing assignments or quizzes, interaction in the form of discussions, and automatic feedback</w:t>
      </w:r>
      <w:r>
        <w:rPr>
          <w:rFonts w:ascii="Times New Roman" w:hAnsi="Times New Roman" w:cs="Times New Roman"/>
          <w:sz w:val="20"/>
          <w:szCs w:val="20"/>
          <w:lang w:val="en-US"/>
        </w:rPr>
        <w:t>s</w:t>
      </w:r>
      <w:r w:rsidR="008E7B4F" w:rsidRPr="002D1F1A">
        <w:rPr>
          <w:rFonts w:ascii="Times New Roman" w:hAnsi="Times New Roman" w:cs="Times New Roman"/>
          <w:sz w:val="20"/>
          <w:szCs w:val="20"/>
          <w:lang w:val="en-US"/>
        </w:rPr>
        <w:t xml:space="preserve"> ar</w:t>
      </w:r>
      <w:r w:rsidR="00787197" w:rsidRPr="002D1F1A">
        <w:rPr>
          <w:rFonts w:ascii="Times New Roman" w:hAnsi="Times New Roman" w:cs="Times New Roman"/>
          <w:sz w:val="20"/>
          <w:szCs w:val="20"/>
          <w:lang w:val="en-US"/>
        </w:rPr>
        <w:t>e effective for improving learning outcomes</w:t>
      </w:r>
      <w:r w:rsidR="003E7636" w:rsidRPr="002D1F1A">
        <w:rPr>
          <w:rFonts w:ascii="Times New Roman" w:hAnsi="Times New Roman" w:cs="Times New Roman"/>
          <w:sz w:val="20"/>
          <w:szCs w:val="20"/>
          <w:lang w:val="en-US"/>
        </w:rPr>
        <w:fldChar w:fldCharType="begin" w:fldLock="1"/>
      </w:r>
      <w:r w:rsidR="003E7636" w:rsidRPr="002D1F1A">
        <w:rPr>
          <w:rFonts w:ascii="Times New Roman" w:hAnsi="Times New Roman" w:cs="Times New Roman"/>
          <w:sz w:val="20"/>
          <w:szCs w:val="20"/>
          <w:lang w:val="en-US"/>
        </w:rPr>
        <w:instrText>ADDIN CSL_CITATION {"citationItems":[{"id":"ITEM-1","itemData":{"DOI":"10.1016/j.amsu.2021.01.051","ISSN":"20490801","abstract":"Students often feel overwhelmed by the volume and complexity of knowledge and skills required to learn. Along with this challange, educational technology has been gradually introduced in medical education to facilitate learning and improve outcomes. It became an essential part of communication, storing and transferring information, audio-visual media use and production, and knowledge sharing. Technology's role has been expanding from a mere tool of study and inquiry to an approach and integrated use in education. Its use in medical education is continuously evolving. However, the impact and optimal use of various technology applications are not clearly defined. There are multiple challenges facing educators to choose the right application for the specific educational purpose. Hence, studies and evaluation reviews are needed to inform the better-defined use of educational technology. This review aims to discuss and evaluate various educational technology applications in medical education, focusing on interactive learning during lectures. Lectures and other group learning sessions are common activities used by medical schools. Promoting interactive learning in large groups is known to be challenging. The advances in technology to facilitate communication and promote interaction is a promising adjunct for lectures interactivity.","author":[{"dropping-particle":"","family":"Tuma","given":"Faiz","non-dropping-particle":"","parse-names":false,"suffix":""}],"container-title":"Annals of Medicine and Surgery","id":"ITEM-1","issue":"January","issued":{"date-parts":[["2021"]]},"page":"231-235","publisher":"Elsevier Ltd","title":"The use of educational technology for interactive teaching in lectures","type":"article-journal","volume":"62"},"uris":["http://www.mendeley.com/documents/?uuid=15e021f2-9aca-4174-9edb-84b6692bc177"]}],"mendeley":{"formattedCitation":"&lt;sup&gt;4&lt;/sup&gt;","plainTextFormattedCitation":"4","previouslyFormattedCitation":"&lt;sup&gt;4&lt;/sup&gt;"},"properties":{"noteIndex":0},"schema":"https://github.com/citation-style-language/schema/raw/master/csl-citation.json"}</w:instrText>
      </w:r>
      <w:r w:rsidR="003E7636" w:rsidRPr="002D1F1A">
        <w:rPr>
          <w:rFonts w:ascii="Times New Roman" w:hAnsi="Times New Roman" w:cs="Times New Roman"/>
          <w:sz w:val="20"/>
          <w:szCs w:val="20"/>
          <w:lang w:val="en-US"/>
        </w:rPr>
        <w:fldChar w:fldCharType="separate"/>
      </w:r>
      <w:r w:rsidR="003E7636" w:rsidRPr="002D1F1A">
        <w:rPr>
          <w:rFonts w:ascii="Times New Roman" w:hAnsi="Times New Roman" w:cs="Times New Roman"/>
          <w:noProof/>
          <w:sz w:val="20"/>
          <w:szCs w:val="20"/>
          <w:vertAlign w:val="superscript"/>
          <w:lang w:val="en-US"/>
        </w:rPr>
        <w:t>4</w:t>
      </w:r>
      <w:r w:rsidR="003E7636" w:rsidRPr="002D1F1A">
        <w:rPr>
          <w:rFonts w:ascii="Times New Roman" w:hAnsi="Times New Roman" w:cs="Times New Roman"/>
          <w:sz w:val="20"/>
          <w:szCs w:val="20"/>
          <w:lang w:val="en-US"/>
        </w:rPr>
        <w:fldChar w:fldCharType="end"/>
      </w:r>
      <w:r w:rsidR="003E7636" w:rsidRPr="002D1F1A">
        <w:rPr>
          <w:rFonts w:ascii="Times New Roman" w:hAnsi="Times New Roman" w:cs="Times New Roman"/>
          <w:sz w:val="20"/>
          <w:szCs w:val="20"/>
          <w:lang w:val="en-US"/>
        </w:rPr>
        <w:t>.</w:t>
      </w:r>
      <w:r w:rsidR="00271979" w:rsidRPr="002D1F1A">
        <w:rPr>
          <w:rFonts w:ascii="Times New Roman" w:hAnsi="Times New Roman" w:cs="Times New Roman"/>
          <w:sz w:val="20"/>
          <w:szCs w:val="20"/>
          <w:lang w:val="en-US"/>
        </w:rPr>
        <w:t xml:space="preserve"> </w:t>
      </w:r>
      <w:r w:rsidR="00787197" w:rsidRPr="002D1F1A">
        <w:rPr>
          <w:rFonts w:ascii="Times New Roman" w:hAnsi="Times New Roman" w:cs="Times New Roman"/>
          <w:sz w:val="20"/>
          <w:szCs w:val="20"/>
          <w:lang w:val="en-US"/>
        </w:rPr>
        <w:t xml:space="preserve">Therefore, lecturers face serious challenges to carry out blended learning, </w:t>
      </w:r>
      <w:r>
        <w:rPr>
          <w:rFonts w:ascii="Times New Roman" w:hAnsi="Times New Roman" w:cs="Times New Roman"/>
          <w:sz w:val="20"/>
          <w:szCs w:val="20"/>
          <w:lang w:val="en-US"/>
        </w:rPr>
        <w:t>finding the</w:t>
      </w:r>
      <w:r w:rsidR="00787197" w:rsidRPr="002D1F1A">
        <w:rPr>
          <w:rFonts w:ascii="Times New Roman" w:hAnsi="Times New Roman" w:cs="Times New Roman"/>
          <w:sz w:val="20"/>
          <w:szCs w:val="20"/>
          <w:lang w:val="en-US"/>
        </w:rPr>
        <w:t xml:space="preserve"> balance between synchronous and asynchronous meeting</w:t>
      </w:r>
      <w:r w:rsidR="008E7B4F" w:rsidRPr="002D1F1A">
        <w:rPr>
          <w:rFonts w:ascii="Times New Roman" w:hAnsi="Times New Roman" w:cs="Times New Roman"/>
          <w:sz w:val="20"/>
          <w:szCs w:val="20"/>
          <w:lang w:val="en-US"/>
        </w:rPr>
        <w:t>s</w:t>
      </w:r>
      <w:r w:rsidR="00787197" w:rsidRPr="002D1F1A">
        <w:rPr>
          <w:rFonts w:ascii="Times New Roman" w:hAnsi="Times New Roman" w:cs="Times New Roman"/>
          <w:sz w:val="20"/>
          <w:szCs w:val="20"/>
          <w:lang w:val="en-US"/>
        </w:rPr>
        <w:t xml:space="preserve">. </w:t>
      </w:r>
    </w:p>
    <w:p w14:paraId="66F45280" w14:textId="4FB545F0" w:rsidR="00FC7BEC" w:rsidRPr="002D1F1A" w:rsidRDefault="005252BF" w:rsidP="005252BF">
      <w:pPr>
        <w:pStyle w:val="Heading2"/>
        <w:numPr>
          <w:ilvl w:val="0"/>
          <w:numId w:val="0"/>
        </w:numPr>
        <w:tabs>
          <w:tab w:val="left" w:pos="426"/>
        </w:tabs>
        <w:spacing w:before="240" w:after="240"/>
        <w:jc w:val="center"/>
        <w:rPr>
          <w:rFonts w:ascii="Times New Roman" w:hAnsi="Times New Roman" w:cs="Times New Roman"/>
          <w:sz w:val="24"/>
          <w:szCs w:val="24"/>
          <w:lang w:val="en-US"/>
        </w:rPr>
      </w:pPr>
      <w:r w:rsidRPr="002D1F1A">
        <w:rPr>
          <w:rFonts w:ascii="Times New Roman" w:hAnsi="Times New Roman" w:cs="Times New Roman"/>
          <w:sz w:val="24"/>
          <w:szCs w:val="24"/>
          <w:lang w:val="en-US"/>
        </w:rPr>
        <w:t>CON</w:t>
      </w:r>
      <w:r w:rsidR="009018D3" w:rsidRPr="002D1F1A">
        <w:rPr>
          <w:rFonts w:ascii="Times New Roman" w:hAnsi="Times New Roman" w:cs="Times New Roman"/>
          <w:sz w:val="24"/>
          <w:szCs w:val="24"/>
          <w:lang w:val="en-US"/>
        </w:rPr>
        <w:t>C</w:t>
      </w:r>
      <w:r w:rsidRPr="002D1F1A">
        <w:rPr>
          <w:rFonts w:ascii="Times New Roman" w:hAnsi="Times New Roman" w:cs="Times New Roman"/>
          <w:sz w:val="24"/>
          <w:szCs w:val="24"/>
          <w:lang w:val="en-US"/>
        </w:rPr>
        <w:t>LUSION</w:t>
      </w:r>
    </w:p>
    <w:p w14:paraId="6453310C" w14:textId="33308167" w:rsidR="00BE3085" w:rsidRPr="002D1F1A" w:rsidRDefault="00BE3085" w:rsidP="00BE3085">
      <w:pPr>
        <w:ind w:firstLine="284"/>
        <w:jc w:val="both"/>
        <w:rPr>
          <w:rFonts w:ascii="Times New Roman" w:hAnsi="Times New Roman" w:cs="Times New Roman"/>
          <w:sz w:val="20"/>
          <w:szCs w:val="20"/>
          <w:lang w:val="en-US"/>
        </w:rPr>
      </w:pPr>
      <w:r w:rsidRPr="002D1F1A">
        <w:rPr>
          <w:rFonts w:ascii="Times New Roman" w:hAnsi="Times New Roman" w:cs="Times New Roman"/>
          <w:sz w:val="20"/>
          <w:szCs w:val="20"/>
          <w:lang w:val="en-US"/>
        </w:rPr>
        <w:t>Technology</w:t>
      </w:r>
      <w:r w:rsidR="009511EF" w:rsidRPr="009511EF">
        <w:rPr>
          <w:rFonts w:ascii="Times New Roman" w:hAnsi="Times New Roman" w:cs="Times New Roman"/>
          <w:sz w:val="20"/>
          <w:szCs w:val="20"/>
          <w:lang w:val="en-US"/>
        </w:rPr>
        <w:t xml:space="preserve"> has been integrated into various aspects of learning activities. The use of technology must be based on students' needs </w:t>
      </w:r>
      <w:r w:rsidR="00A47F4A" w:rsidRPr="009511EF">
        <w:rPr>
          <w:rFonts w:ascii="Times New Roman" w:hAnsi="Times New Roman" w:cs="Times New Roman"/>
          <w:sz w:val="20"/>
          <w:szCs w:val="20"/>
          <w:lang w:val="en-US"/>
        </w:rPr>
        <w:t>to</w:t>
      </w:r>
      <w:r w:rsidR="009511EF" w:rsidRPr="009511EF">
        <w:rPr>
          <w:rFonts w:ascii="Times New Roman" w:hAnsi="Times New Roman" w:cs="Times New Roman"/>
          <w:sz w:val="20"/>
          <w:szCs w:val="20"/>
          <w:lang w:val="en-US"/>
        </w:rPr>
        <w:t xml:space="preserve"> improve their learning outcomes. ICT infrastructure can facilitate interaction, engagement, participation, collaboration, and communication in teaching and learning activities. Lecturers are required to master pedagogical competence, subject competence, and educational technology competence. Lecturers need to identify the suitable tools and technology for delivering blended learning, gain access (through ownership or other means) to educational technology facilities, and improve their ability to use equipment that supports technology in learning. The availability of ICT facilities is one indicator of lecturers' readiness in delivering Education 4.0. Spontaneous real-time online polls have portrayed this readiness, and there is much room for improvement.</w:t>
      </w:r>
    </w:p>
    <w:p w14:paraId="1A8CC68B" w14:textId="203F3EE7" w:rsidR="005024F9" w:rsidRPr="002D1F1A" w:rsidRDefault="005252BF" w:rsidP="005252BF">
      <w:pPr>
        <w:pStyle w:val="Heading2"/>
        <w:numPr>
          <w:ilvl w:val="0"/>
          <w:numId w:val="0"/>
        </w:numPr>
        <w:tabs>
          <w:tab w:val="left" w:pos="426"/>
        </w:tabs>
        <w:spacing w:before="240" w:after="240"/>
        <w:jc w:val="center"/>
        <w:rPr>
          <w:rFonts w:ascii="Times New Roman" w:hAnsi="Times New Roman" w:cs="Times New Roman"/>
          <w:sz w:val="24"/>
          <w:szCs w:val="24"/>
          <w:lang w:val="en-US"/>
        </w:rPr>
      </w:pPr>
      <w:r w:rsidRPr="002D1F1A">
        <w:rPr>
          <w:rFonts w:ascii="Times New Roman" w:hAnsi="Times New Roman" w:cs="Times New Roman"/>
          <w:sz w:val="24"/>
          <w:szCs w:val="24"/>
          <w:lang w:val="en-US"/>
        </w:rPr>
        <w:t>REFERENCES</w:t>
      </w:r>
      <w:bookmarkStart w:id="0" w:name="_heading=h.gjdgxs" w:colFirst="0" w:colLast="0"/>
      <w:bookmarkEnd w:id="0"/>
    </w:p>
    <w:p w14:paraId="754CE406" w14:textId="36CA02A9" w:rsidR="00FC5D67" w:rsidRPr="00FC5D67" w:rsidRDefault="00A149CC" w:rsidP="00F9198A">
      <w:pPr>
        <w:widowControl w:val="0"/>
        <w:tabs>
          <w:tab w:val="left" w:pos="426"/>
        </w:tabs>
        <w:autoSpaceDE w:val="0"/>
        <w:autoSpaceDN w:val="0"/>
        <w:adjustRightInd w:val="0"/>
        <w:ind w:left="426" w:hanging="426"/>
        <w:rPr>
          <w:rFonts w:ascii="Times New Roman" w:hAnsi="Times New Roman" w:cs="Times New Roman"/>
          <w:noProof/>
          <w:sz w:val="20"/>
          <w:szCs w:val="24"/>
        </w:rPr>
      </w:pPr>
      <w:r w:rsidRPr="002D1F1A">
        <w:rPr>
          <w:rFonts w:ascii="Times New Roman" w:hAnsi="Times New Roman" w:cs="Times New Roman"/>
          <w:sz w:val="20"/>
          <w:szCs w:val="20"/>
          <w:lang w:val="en-US"/>
        </w:rPr>
        <w:fldChar w:fldCharType="begin" w:fldLock="1"/>
      </w:r>
      <w:r w:rsidRPr="002D1F1A">
        <w:rPr>
          <w:rFonts w:ascii="Times New Roman" w:hAnsi="Times New Roman" w:cs="Times New Roman"/>
          <w:sz w:val="20"/>
          <w:szCs w:val="20"/>
          <w:lang w:val="en-US"/>
        </w:rPr>
        <w:instrText xml:space="preserve">ADDIN Mendeley Bibliography CSL_BIBLIOGRAPHY </w:instrText>
      </w:r>
      <w:r w:rsidRPr="002D1F1A">
        <w:rPr>
          <w:rFonts w:ascii="Times New Roman" w:hAnsi="Times New Roman" w:cs="Times New Roman"/>
          <w:sz w:val="20"/>
          <w:szCs w:val="20"/>
          <w:lang w:val="en-US"/>
        </w:rPr>
        <w:fldChar w:fldCharType="separate"/>
      </w:r>
      <w:r w:rsidR="00FC5D67" w:rsidRPr="00FC5D67">
        <w:rPr>
          <w:rFonts w:ascii="Times New Roman" w:hAnsi="Times New Roman" w:cs="Times New Roman"/>
          <w:smallCaps/>
          <w:noProof/>
          <w:sz w:val="20"/>
          <w:szCs w:val="24"/>
        </w:rPr>
        <w:t>1</w:t>
      </w:r>
      <w:r w:rsidR="00FC5D67" w:rsidRPr="00FC5D67">
        <w:rPr>
          <w:rFonts w:ascii="Times New Roman" w:hAnsi="Times New Roman" w:cs="Times New Roman"/>
          <w:noProof/>
          <w:sz w:val="20"/>
          <w:szCs w:val="24"/>
        </w:rPr>
        <w:t xml:space="preserve">.     C. Seemiller and M. Grace, About Campus </w:t>
      </w:r>
      <w:r w:rsidR="00FC5D67" w:rsidRPr="00FC5D67">
        <w:rPr>
          <w:rFonts w:ascii="Times New Roman" w:hAnsi="Times New Roman" w:cs="Times New Roman"/>
          <w:b/>
          <w:bCs/>
          <w:noProof/>
          <w:sz w:val="20"/>
          <w:szCs w:val="24"/>
        </w:rPr>
        <w:t>22</w:t>
      </w:r>
      <w:r w:rsidR="00FC5D67" w:rsidRPr="00FC5D67">
        <w:rPr>
          <w:rFonts w:ascii="Times New Roman" w:hAnsi="Times New Roman" w:cs="Times New Roman"/>
          <w:noProof/>
          <w:sz w:val="20"/>
          <w:szCs w:val="24"/>
        </w:rPr>
        <w:t>, 21 (2017).</w:t>
      </w:r>
    </w:p>
    <w:p w14:paraId="21D4A8B3" w14:textId="77777777" w:rsidR="00FC5D67" w:rsidRPr="00FC5D67" w:rsidRDefault="00FC5D67" w:rsidP="00F9198A">
      <w:pPr>
        <w:widowControl w:val="0"/>
        <w:tabs>
          <w:tab w:val="left" w:pos="426"/>
        </w:tabs>
        <w:autoSpaceDE w:val="0"/>
        <w:autoSpaceDN w:val="0"/>
        <w:adjustRightInd w:val="0"/>
        <w:ind w:left="426" w:hanging="426"/>
        <w:rPr>
          <w:rFonts w:ascii="Times New Roman" w:hAnsi="Times New Roman" w:cs="Times New Roman"/>
          <w:noProof/>
          <w:sz w:val="20"/>
          <w:szCs w:val="24"/>
        </w:rPr>
      </w:pPr>
      <w:r w:rsidRPr="00FC5D67">
        <w:rPr>
          <w:rFonts w:ascii="Times New Roman" w:hAnsi="Times New Roman" w:cs="Times New Roman"/>
          <w:smallCaps/>
          <w:noProof/>
          <w:sz w:val="20"/>
          <w:szCs w:val="24"/>
        </w:rPr>
        <w:t>2</w:t>
      </w:r>
      <w:r w:rsidRPr="00FC5D67">
        <w:rPr>
          <w:rFonts w:ascii="Times New Roman" w:hAnsi="Times New Roman" w:cs="Times New Roman"/>
          <w:noProof/>
          <w:sz w:val="20"/>
          <w:szCs w:val="24"/>
        </w:rPr>
        <w:t xml:space="preserve">.     J. Chicca and T. Shellenbarger, Teach. Learn. Nurs. </w:t>
      </w:r>
      <w:r w:rsidRPr="00FC5D67">
        <w:rPr>
          <w:rFonts w:ascii="Times New Roman" w:hAnsi="Times New Roman" w:cs="Times New Roman"/>
          <w:b/>
          <w:bCs/>
          <w:noProof/>
          <w:sz w:val="20"/>
          <w:szCs w:val="24"/>
        </w:rPr>
        <w:t>13</w:t>
      </w:r>
      <w:r w:rsidRPr="00FC5D67">
        <w:rPr>
          <w:rFonts w:ascii="Times New Roman" w:hAnsi="Times New Roman" w:cs="Times New Roman"/>
          <w:noProof/>
          <w:sz w:val="20"/>
          <w:szCs w:val="24"/>
        </w:rPr>
        <w:t>, 180 (2018).</w:t>
      </w:r>
    </w:p>
    <w:p w14:paraId="7658B1DE" w14:textId="77777777" w:rsidR="00FC5D67" w:rsidRPr="00FC5D67" w:rsidRDefault="00FC5D67" w:rsidP="00F9198A">
      <w:pPr>
        <w:widowControl w:val="0"/>
        <w:tabs>
          <w:tab w:val="left" w:pos="426"/>
        </w:tabs>
        <w:autoSpaceDE w:val="0"/>
        <w:autoSpaceDN w:val="0"/>
        <w:adjustRightInd w:val="0"/>
        <w:ind w:left="426" w:hanging="426"/>
        <w:rPr>
          <w:rFonts w:ascii="Times New Roman" w:hAnsi="Times New Roman" w:cs="Times New Roman"/>
          <w:noProof/>
          <w:sz w:val="20"/>
          <w:szCs w:val="24"/>
        </w:rPr>
      </w:pPr>
      <w:r w:rsidRPr="00FC5D67">
        <w:rPr>
          <w:rFonts w:ascii="Times New Roman" w:hAnsi="Times New Roman" w:cs="Times New Roman"/>
          <w:smallCaps/>
          <w:noProof/>
          <w:sz w:val="20"/>
          <w:szCs w:val="24"/>
        </w:rPr>
        <w:t>3</w:t>
      </w:r>
      <w:r w:rsidRPr="00FC5D67">
        <w:rPr>
          <w:rFonts w:ascii="Times New Roman" w:hAnsi="Times New Roman" w:cs="Times New Roman"/>
          <w:noProof/>
          <w:sz w:val="20"/>
          <w:szCs w:val="24"/>
        </w:rPr>
        <w:t xml:space="preserve">.     R.C. Chick, G.T. Clifton, K.M. Peace, B.W. Propper, D.F. Hale, A.A. Alseidi, and T.J. Vreeland, J. Surg. Educ. </w:t>
      </w:r>
      <w:r w:rsidRPr="00FC5D67">
        <w:rPr>
          <w:rFonts w:ascii="Times New Roman" w:hAnsi="Times New Roman" w:cs="Times New Roman"/>
          <w:b/>
          <w:bCs/>
          <w:noProof/>
          <w:sz w:val="20"/>
          <w:szCs w:val="24"/>
        </w:rPr>
        <w:t>77</w:t>
      </w:r>
      <w:r w:rsidRPr="00FC5D67">
        <w:rPr>
          <w:rFonts w:ascii="Times New Roman" w:hAnsi="Times New Roman" w:cs="Times New Roman"/>
          <w:noProof/>
          <w:sz w:val="20"/>
          <w:szCs w:val="24"/>
        </w:rPr>
        <w:t>, 729 (2020).</w:t>
      </w:r>
    </w:p>
    <w:p w14:paraId="43AC7F7E" w14:textId="77777777" w:rsidR="00FC5D67" w:rsidRPr="00FC5D67" w:rsidRDefault="00FC5D67" w:rsidP="00F9198A">
      <w:pPr>
        <w:widowControl w:val="0"/>
        <w:tabs>
          <w:tab w:val="left" w:pos="426"/>
        </w:tabs>
        <w:autoSpaceDE w:val="0"/>
        <w:autoSpaceDN w:val="0"/>
        <w:adjustRightInd w:val="0"/>
        <w:ind w:left="426" w:hanging="426"/>
        <w:rPr>
          <w:rFonts w:ascii="Times New Roman" w:hAnsi="Times New Roman" w:cs="Times New Roman"/>
          <w:noProof/>
          <w:sz w:val="20"/>
          <w:szCs w:val="24"/>
        </w:rPr>
      </w:pPr>
      <w:r w:rsidRPr="00FC5D67">
        <w:rPr>
          <w:rFonts w:ascii="Times New Roman" w:hAnsi="Times New Roman" w:cs="Times New Roman"/>
          <w:smallCaps/>
          <w:noProof/>
          <w:sz w:val="20"/>
          <w:szCs w:val="24"/>
        </w:rPr>
        <w:t>4</w:t>
      </w:r>
      <w:r w:rsidRPr="00FC5D67">
        <w:rPr>
          <w:rFonts w:ascii="Times New Roman" w:hAnsi="Times New Roman" w:cs="Times New Roman"/>
          <w:noProof/>
          <w:sz w:val="20"/>
          <w:szCs w:val="24"/>
        </w:rPr>
        <w:t xml:space="preserve">.     F. Tuma, Ann. Med. Surg. </w:t>
      </w:r>
      <w:r w:rsidRPr="00FC5D67">
        <w:rPr>
          <w:rFonts w:ascii="Times New Roman" w:hAnsi="Times New Roman" w:cs="Times New Roman"/>
          <w:b/>
          <w:bCs/>
          <w:noProof/>
          <w:sz w:val="20"/>
          <w:szCs w:val="24"/>
        </w:rPr>
        <w:t>62</w:t>
      </w:r>
      <w:r w:rsidRPr="00FC5D67">
        <w:rPr>
          <w:rFonts w:ascii="Times New Roman" w:hAnsi="Times New Roman" w:cs="Times New Roman"/>
          <w:noProof/>
          <w:sz w:val="20"/>
          <w:szCs w:val="24"/>
        </w:rPr>
        <w:t>, 231 (2021).</w:t>
      </w:r>
    </w:p>
    <w:p w14:paraId="4BA3E9B4" w14:textId="77777777" w:rsidR="00FC5D67" w:rsidRPr="00FC5D67" w:rsidRDefault="00FC5D67" w:rsidP="00F9198A">
      <w:pPr>
        <w:widowControl w:val="0"/>
        <w:tabs>
          <w:tab w:val="left" w:pos="426"/>
        </w:tabs>
        <w:autoSpaceDE w:val="0"/>
        <w:autoSpaceDN w:val="0"/>
        <w:adjustRightInd w:val="0"/>
        <w:ind w:left="426" w:hanging="426"/>
        <w:rPr>
          <w:rFonts w:ascii="Times New Roman" w:hAnsi="Times New Roman" w:cs="Times New Roman"/>
          <w:noProof/>
          <w:sz w:val="20"/>
          <w:szCs w:val="24"/>
        </w:rPr>
      </w:pPr>
      <w:r w:rsidRPr="00FC5D67">
        <w:rPr>
          <w:rFonts w:ascii="Times New Roman" w:hAnsi="Times New Roman" w:cs="Times New Roman"/>
          <w:smallCaps/>
          <w:noProof/>
          <w:sz w:val="20"/>
          <w:szCs w:val="24"/>
        </w:rPr>
        <w:t>5</w:t>
      </w:r>
      <w:r w:rsidRPr="00FC5D67">
        <w:rPr>
          <w:rFonts w:ascii="Times New Roman" w:hAnsi="Times New Roman" w:cs="Times New Roman"/>
          <w:noProof/>
          <w:sz w:val="20"/>
          <w:szCs w:val="24"/>
        </w:rPr>
        <w:t xml:space="preserve">.     A.A. Anggraeni and R.A. Surya, in </w:t>
      </w:r>
      <w:r w:rsidRPr="00FC5D67">
        <w:rPr>
          <w:rFonts w:ascii="Times New Roman" w:hAnsi="Times New Roman" w:cs="Times New Roman"/>
          <w:i/>
          <w:iCs/>
          <w:noProof/>
          <w:sz w:val="20"/>
          <w:szCs w:val="24"/>
        </w:rPr>
        <w:t>J. Phys. Conf. Ser.</w:t>
      </w:r>
      <w:r w:rsidRPr="00FC5D67">
        <w:rPr>
          <w:rFonts w:ascii="Times New Roman" w:hAnsi="Times New Roman" w:cs="Times New Roman"/>
          <w:noProof/>
          <w:sz w:val="20"/>
          <w:szCs w:val="24"/>
        </w:rPr>
        <w:t xml:space="preserve"> (IOP Publishing, 2021), p. 012037.</w:t>
      </w:r>
    </w:p>
    <w:p w14:paraId="6A496B91" w14:textId="77777777" w:rsidR="00FC5D67" w:rsidRPr="00FC5D67" w:rsidRDefault="00FC5D67" w:rsidP="00F9198A">
      <w:pPr>
        <w:widowControl w:val="0"/>
        <w:tabs>
          <w:tab w:val="left" w:pos="426"/>
        </w:tabs>
        <w:autoSpaceDE w:val="0"/>
        <w:autoSpaceDN w:val="0"/>
        <w:adjustRightInd w:val="0"/>
        <w:ind w:left="426" w:hanging="426"/>
        <w:rPr>
          <w:rFonts w:ascii="Times New Roman" w:hAnsi="Times New Roman" w:cs="Times New Roman"/>
          <w:noProof/>
          <w:sz w:val="20"/>
          <w:szCs w:val="24"/>
        </w:rPr>
      </w:pPr>
      <w:r w:rsidRPr="00FC5D67">
        <w:rPr>
          <w:rFonts w:ascii="Times New Roman" w:hAnsi="Times New Roman" w:cs="Times New Roman"/>
          <w:smallCaps/>
          <w:noProof/>
          <w:sz w:val="20"/>
          <w:szCs w:val="24"/>
        </w:rPr>
        <w:t>6</w:t>
      </w:r>
      <w:r w:rsidRPr="00FC5D67">
        <w:rPr>
          <w:rFonts w:ascii="Times New Roman" w:hAnsi="Times New Roman" w:cs="Times New Roman"/>
          <w:noProof/>
          <w:sz w:val="20"/>
          <w:szCs w:val="24"/>
        </w:rPr>
        <w:t xml:space="preserve">.     W. Rinawati, P.M. Ghassani, and A.A. Anggraeni, in </w:t>
      </w:r>
      <w:r w:rsidRPr="00FC5D67">
        <w:rPr>
          <w:rFonts w:ascii="Times New Roman" w:hAnsi="Times New Roman" w:cs="Times New Roman"/>
          <w:i/>
          <w:iCs/>
          <w:noProof/>
          <w:sz w:val="20"/>
          <w:szCs w:val="24"/>
        </w:rPr>
        <w:t>J. Phys. Conf. Ser.</w:t>
      </w:r>
      <w:r w:rsidRPr="00FC5D67">
        <w:rPr>
          <w:rFonts w:ascii="Times New Roman" w:hAnsi="Times New Roman" w:cs="Times New Roman"/>
          <w:noProof/>
          <w:sz w:val="20"/>
          <w:szCs w:val="24"/>
        </w:rPr>
        <w:t xml:space="preserve"> (IOP Publishing, 2021), p. 012043.</w:t>
      </w:r>
    </w:p>
    <w:p w14:paraId="1DB076F7" w14:textId="77777777" w:rsidR="00FC5D67" w:rsidRPr="00FC5D67" w:rsidRDefault="00FC5D67" w:rsidP="00F9198A">
      <w:pPr>
        <w:widowControl w:val="0"/>
        <w:tabs>
          <w:tab w:val="left" w:pos="426"/>
        </w:tabs>
        <w:autoSpaceDE w:val="0"/>
        <w:autoSpaceDN w:val="0"/>
        <w:adjustRightInd w:val="0"/>
        <w:ind w:left="426" w:hanging="426"/>
        <w:rPr>
          <w:rFonts w:ascii="Times New Roman" w:hAnsi="Times New Roman" w:cs="Times New Roman"/>
          <w:noProof/>
          <w:sz w:val="20"/>
          <w:szCs w:val="24"/>
        </w:rPr>
      </w:pPr>
      <w:r w:rsidRPr="00FC5D67">
        <w:rPr>
          <w:rFonts w:ascii="Times New Roman" w:hAnsi="Times New Roman" w:cs="Times New Roman"/>
          <w:smallCaps/>
          <w:noProof/>
          <w:sz w:val="20"/>
          <w:szCs w:val="24"/>
        </w:rPr>
        <w:t>7</w:t>
      </w:r>
      <w:r w:rsidRPr="00FC5D67">
        <w:rPr>
          <w:rFonts w:ascii="Times New Roman" w:hAnsi="Times New Roman" w:cs="Times New Roman"/>
          <w:noProof/>
          <w:sz w:val="20"/>
          <w:szCs w:val="24"/>
        </w:rPr>
        <w:t xml:space="preserve">.     V.J. Bhute, P. Inguva, U. Shah, and C. Brechtelsbauer, Educ. Chem. Eng. </w:t>
      </w:r>
      <w:r w:rsidRPr="00FC5D67">
        <w:rPr>
          <w:rFonts w:ascii="Times New Roman" w:hAnsi="Times New Roman" w:cs="Times New Roman"/>
          <w:b/>
          <w:bCs/>
          <w:noProof/>
          <w:sz w:val="20"/>
          <w:szCs w:val="24"/>
        </w:rPr>
        <w:t>35</w:t>
      </w:r>
      <w:r w:rsidRPr="00FC5D67">
        <w:rPr>
          <w:rFonts w:ascii="Times New Roman" w:hAnsi="Times New Roman" w:cs="Times New Roman"/>
          <w:noProof/>
          <w:sz w:val="20"/>
          <w:szCs w:val="24"/>
        </w:rPr>
        <w:t>, 96 (2021).</w:t>
      </w:r>
    </w:p>
    <w:p w14:paraId="15D09AAE" w14:textId="77777777" w:rsidR="00FC5D67" w:rsidRPr="00FC5D67" w:rsidRDefault="00FC5D67" w:rsidP="00F9198A">
      <w:pPr>
        <w:widowControl w:val="0"/>
        <w:tabs>
          <w:tab w:val="left" w:pos="426"/>
        </w:tabs>
        <w:autoSpaceDE w:val="0"/>
        <w:autoSpaceDN w:val="0"/>
        <w:adjustRightInd w:val="0"/>
        <w:ind w:left="426" w:hanging="426"/>
        <w:rPr>
          <w:rFonts w:ascii="Times New Roman" w:hAnsi="Times New Roman" w:cs="Times New Roman"/>
          <w:noProof/>
          <w:sz w:val="20"/>
          <w:szCs w:val="24"/>
        </w:rPr>
      </w:pPr>
      <w:r w:rsidRPr="00FC5D67">
        <w:rPr>
          <w:rFonts w:ascii="Times New Roman" w:hAnsi="Times New Roman" w:cs="Times New Roman"/>
          <w:smallCaps/>
          <w:noProof/>
          <w:sz w:val="20"/>
          <w:szCs w:val="24"/>
        </w:rPr>
        <w:t>8</w:t>
      </w:r>
      <w:r w:rsidRPr="00FC5D67">
        <w:rPr>
          <w:rFonts w:ascii="Times New Roman" w:hAnsi="Times New Roman" w:cs="Times New Roman"/>
          <w:noProof/>
          <w:sz w:val="20"/>
          <w:szCs w:val="24"/>
        </w:rPr>
        <w:t xml:space="preserve">.     Wagiran, Pardjono, W. Suyanto, H. Sofyan, S. Soenarto, and A. Yudantoko, Cakrawala Pendidik. </w:t>
      </w:r>
      <w:r w:rsidRPr="00FC5D67">
        <w:rPr>
          <w:rFonts w:ascii="Times New Roman" w:hAnsi="Times New Roman" w:cs="Times New Roman"/>
          <w:b/>
          <w:bCs/>
          <w:noProof/>
          <w:sz w:val="20"/>
          <w:szCs w:val="24"/>
        </w:rPr>
        <w:t>38</w:t>
      </w:r>
      <w:r w:rsidRPr="00FC5D67">
        <w:rPr>
          <w:rFonts w:ascii="Times New Roman" w:hAnsi="Times New Roman" w:cs="Times New Roman"/>
          <w:noProof/>
          <w:sz w:val="20"/>
          <w:szCs w:val="24"/>
        </w:rPr>
        <w:t>, 387 (2019).</w:t>
      </w:r>
    </w:p>
    <w:p w14:paraId="7ECABA7B" w14:textId="77777777" w:rsidR="00FC5D67" w:rsidRPr="00FC5D67" w:rsidRDefault="00FC5D67" w:rsidP="00F9198A">
      <w:pPr>
        <w:widowControl w:val="0"/>
        <w:tabs>
          <w:tab w:val="left" w:pos="426"/>
        </w:tabs>
        <w:autoSpaceDE w:val="0"/>
        <w:autoSpaceDN w:val="0"/>
        <w:adjustRightInd w:val="0"/>
        <w:ind w:left="426" w:hanging="426"/>
        <w:rPr>
          <w:rFonts w:ascii="Times New Roman" w:hAnsi="Times New Roman" w:cs="Times New Roman"/>
          <w:noProof/>
          <w:sz w:val="20"/>
          <w:szCs w:val="24"/>
        </w:rPr>
      </w:pPr>
      <w:r w:rsidRPr="00FC5D67">
        <w:rPr>
          <w:rFonts w:ascii="Times New Roman" w:hAnsi="Times New Roman" w:cs="Times New Roman"/>
          <w:smallCaps/>
          <w:noProof/>
          <w:sz w:val="20"/>
          <w:szCs w:val="24"/>
        </w:rPr>
        <w:t>9</w:t>
      </w:r>
      <w:r w:rsidRPr="00FC5D67">
        <w:rPr>
          <w:rFonts w:ascii="Times New Roman" w:hAnsi="Times New Roman" w:cs="Times New Roman"/>
          <w:noProof/>
          <w:sz w:val="20"/>
          <w:szCs w:val="24"/>
        </w:rPr>
        <w:t xml:space="preserve">.     H. Al-Samarraie and N. Saeed, Comput. Educ. </w:t>
      </w:r>
      <w:r w:rsidRPr="00FC5D67">
        <w:rPr>
          <w:rFonts w:ascii="Times New Roman" w:hAnsi="Times New Roman" w:cs="Times New Roman"/>
          <w:b/>
          <w:bCs/>
          <w:noProof/>
          <w:sz w:val="20"/>
          <w:szCs w:val="24"/>
        </w:rPr>
        <w:t>124</w:t>
      </w:r>
      <w:r w:rsidRPr="00FC5D67">
        <w:rPr>
          <w:rFonts w:ascii="Times New Roman" w:hAnsi="Times New Roman" w:cs="Times New Roman"/>
          <w:noProof/>
          <w:sz w:val="20"/>
          <w:szCs w:val="24"/>
        </w:rPr>
        <w:t>, 77 (2018).</w:t>
      </w:r>
    </w:p>
    <w:p w14:paraId="42610681" w14:textId="242D6C90" w:rsidR="00FC5D67" w:rsidRPr="00FC5D67" w:rsidRDefault="00FC5D67" w:rsidP="00F9198A">
      <w:pPr>
        <w:widowControl w:val="0"/>
        <w:tabs>
          <w:tab w:val="left" w:pos="426"/>
        </w:tabs>
        <w:autoSpaceDE w:val="0"/>
        <w:autoSpaceDN w:val="0"/>
        <w:adjustRightInd w:val="0"/>
        <w:ind w:left="426" w:hanging="426"/>
        <w:rPr>
          <w:rFonts w:ascii="Times New Roman" w:hAnsi="Times New Roman" w:cs="Times New Roman"/>
          <w:noProof/>
          <w:sz w:val="20"/>
          <w:szCs w:val="24"/>
        </w:rPr>
      </w:pPr>
      <w:r w:rsidRPr="00FC5D67">
        <w:rPr>
          <w:rFonts w:ascii="Times New Roman" w:hAnsi="Times New Roman" w:cs="Times New Roman"/>
          <w:smallCaps/>
          <w:noProof/>
          <w:sz w:val="20"/>
          <w:szCs w:val="24"/>
        </w:rPr>
        <w:lastRenderedPageBreak/>
        <w:t>10</w:t>
      </w:r>
      <w:r w:rsidRPr="00FC5D67">
        <w:rPr>
          <w:rFonts w:ascii="Times New Roman" w:hAnsi="Times New Roman" w:cs="Times New Roman"/>
          <w:noProof/>
          <w:sz w:val="20"/>
          <w:szCs w:val="24"/>
        </w:rPr>
        <w:t xml:space="preserve">.    A.E. Lackey, T. Pandey, M. Moshiri, N. Lalwani, C. Lall, and P. Bhargava, J. Am. Coll. Radiol. </w:t>
      </w:r>
      <w:r w:rsidRPr="00FC5D67">
        <w:rPr>
          <w:rFonts w:ascii="Times New Roman" w:hAnsi="Times New Roman" w:cs="Times New Roman"/>
          <w:b/>
          <w:bCs/>
          <w:noProof/>
          <w:sz w:val="20"/>
          <w:szCs w:val="24"/>
        </w:rPr>
        <w:t>11</w:t>
      </w:r>
      <w:r w:rsidRPr="00FC5D67">
        <w:rPr>
          <w:rFonts w:ascii="Times New Roman" w:hAnsi="Times New Roman" w:cs="Times New Roman"/>
          <w:noProof/>
          <w:sz w:val="20"/>
          <w:szCs w:val="24"/>
        </w:rPr>
        <w:t>, 580 (2014).</w:t>
      </w:r>
    </w:p>
    <w:p w14:paraId="1F436C97" w14:textId="7DAA9073" w:rsidR="00FC5D67" w:rsidRPr="00FC5D67" w:rsidRDefault="00FC5D67" w:rsidP="00F9198A">
      <w:pPr>
        <w:widowControl w:val="0"/>
        <w:tabs>
          <w:tab w:val="left" w:pos="426"/>
        </w:tabs>
        <w:autoSpaceDE w:val="0"/>
        <w:autoSpaceDN w:val="0"/>
        <w:adjustRightInd w:val="0"/>
        <w:ind w:left="426" w:hanging="426"/>
        <w:rPr>
          <w:rFonts w:ascii="Times New Roman" w:hAnsi="Times New Roman" w:cs="Times New Roman"/>
          <w:noProof/>
          <w:sz w:val="20"/>
          <w:szCs w:val="24"/>
        </w:rPr>
      </w:pPr>
      <w:r w:rsidRPr="00FC5D67">
        <w:rPr>
          <w:rFonts w:ascii="Times New Roman" w:hAnsi="Times New Roman" w:cs="Times New Roman"/>
          <w:smallCaps/>
          <w:noProof/>
          <w:sz w:val="20"/>
          <w:szCs w:val="24"/>
        </w:rPr>
        <w:t>11</w:t>
      </w:r>
      <w:r w:rsidRPr="00FC5D67">
        <w:rPr>
          <w:rFonts w:ascii="Times New Roman" w:hAnsi="Times New Roman" w:cs="Times New Roman"/>
          <w:noProof/>
          <w:sz w:val="20"/>
          <w:szCs w:val="24"/>
        </w:rPr>
        <w:t xml:space="preserve">.    A. Aiken, Index Censorsh. </w:t>
      </w:r>
      <w:r w:rsidRPr="00FC5D67">
        <w:rPr>
          <w:rFonts w:ascii="Times New Roman" w:hAnsi="Times New Roman" w:cs="Times New Roman"/>
          <w:b/>
          <w:bCs/>
          <w:noProof/>
          <w:sz w:val="20"/>
          <w:szCs w:val="24"/>
        </w:rPr>
        <w:t>49</w:t>
      </w:r>
      <w:r w:rsidRPr="00FC5D67">
        <w:rPr>
          <w:rFonts w:ascii="Times New Roman" w:hAnsi="Times New Roman" w:cs="Times New Roman"/>
          <w:noProof/>
          <w:sz w:val="20"/>
          <w:szCs w:val="24"/>
        </w:rPr>
        <w:t>, 24 (2020).</w:t>
      </w:r>
    </w:p>
    <w:p w14:paraId="78A99BA4" w14:textId="13747834" w:rsidR="00FC5D67" w:rsidRPr="00FC5D67" w:rsidRDefault="00FC5D67" w:rsidP="00F9198A">
      <w:pPr>
        <w:widowControl w:val="0"/>
        <w:tabs>
          <w:tab w:val="left" w:pos="426"/>
        </w:tabs>
        <w:autoSpaceDE w:val="0"/>
        <w:autoSpaceDN w:val="0"/>
        <w:adjustRightInd w:val="0"/>
        <w:ind w:left="426" w:hanging="426"/>
        <w:rPr>
          <w:rFonts w:ascii="Times New Roman" w:hAnsi="Times New Roman" w:cs="Times New Roman"/>
          <w:noProof/>
          <w:sz w:val="20"/>
          <w:szCs w:val="24"/>
        </w:rPr>
      </w:pPr>
      <w:r w:rsidRPr="00FC5D67">
        <w:rPr>
          <w:rFonts w:ascii="Times New Roman" w:hAnsi="Times New Roman" w:cs="Times New Roman"/>
          <w:smallCaps/>
          <w:noProof/>
          <w:sz w:val="20"/>
          <w:szCs w:val="24"/>
        </w:rPr>
        <w:t>12</w:t>
      </w:r>
      <w:r w:rsidRPr="00FC5D67">
        <w:rPr>
          <w:rFonts w:ascii="Times New Roman" w:hAnsi="Times New Roman" w:cs="Times New Roman"/>
          <w:noProof/>
          <w:sz w:val="20"/>
          <w:szCs w:val="24"/>
        </w:rPr>
        <w:t xml:space="preserve">.    R.S. Oeppen, G. Shaw, and P.A. Brennan, Br. J. Oral Maxillofac. Surg. </w:t>
      </w:r>
      <w:r w:rsidRPr="00FC5D67">
        <w:rPr>
          <w:rFonts w:ascii="Times New Roman" w:hAnsi="Times New Roman" w:cs="Times New Roman"/>
          <w:b/>
          <w:bCs/>
          <w:noProof/>
          <w:sz w:val="20"/>
          <w:szCs w:val="24"/>
        </w:rPr>
        <w:t>58</w:t>
      </w:r>
      <w:r w:rsidRPr="00FC5D67">
        <w:rPr>
          <w:rFonts w:ascii="Times New Roman" w:hAnsi="Times New Roman" w:cs="Times New Roman"/>
          <w:noProof/>
          <w:sz w:val="20"/>
          <w:szCs w:val="24"/>
        </w:rPr>
        <w:t>, 643 (2020).</w:t>
      </w:r>
    </w:p>
    <w:p w14:paraId="1DC4EB06" w14:textId="76341012" w:rsidR="00FC5D67" w:rsidRPr="00FC5D67" w:rsidRDefault="00FC5D67" w:rsidP="00F9198A">
      <w:pPr>
        <w:widowControl w:val="0"/>
        <w:tabs>
          <w:tab w:val="left" w:pos="426"/>
        </w:tabs>
        <w:autoSpaceDE w:val="0"/>
        <w:autoSpaceDN w:val="0"/>
        <w:adjustRightInd w:val="0"/>
        <w:ind w:left="426" w:hanging="426"/>
        <w:rPr>
          <w:rFonts w:ascii="Times New Roman" w:hAnsi="Times New Roman" w:cs="Times New Roman"/>
          <w:noProof/>
          <w:sz w:val="20"/>
          <w:szCs w:val="24"/>
        </w:rPr>
      </w:pPr>
      <w:r w:rsidRPr="00FC5D67">
        <w:rPr>
          <w:rFonts w:ascii="Times New Roman" w:hAnsi="Times New Roman" w:cs="Times New Roman"/>
          <w:smallCaps/>
          <w:noProof/>
          <w:sz w:val="20"/>
          <w:szCs w:val="24"/>
        </w:rPr>
        <w:t>13</w:t>
      </w:r>
      <w:r w:rsidRPr="00FC5D67">
        <w:rPr>
          <w:rFonts w:ascii="Times New Roman" w:hAnsi="Times New Roman" w:cs="Times New Roman"/>
          <w:noProof/>
          <w:sz w:val="20"/>
          <w:szCs w:val="24"/>
        </w:rPr>
        <w:t xml:space="preserve">.    J.G. Švec and S. Granqvist, Am. J. Speech-Language Pathol. </w:t>
      </w:r>
      <w:r w:rsidRPr="00FC5D67">
        <w:rPr>
          <w:rFonts w:ascii="Times New Roman" w:hAnsi="Times New Roman" w:cs="Times New Roman"/>
          <w:b/>
          <w:bCs/>
          <w:noProof/>
          <w:sz w:val="20"/>
          <w:szCs w:val="24"/>
        </w:rPr>
        <w:t>19</w:t>
      </w:r>
      <w:r w:rsidRPr="00FC5D67">
        <w:rPr>
          <w:rFonts w:ascii="Times New Roman" w:hAnsi="Times New Roman" w:cs="Times New Roman"/>
          <w:noProof/>
          <w:sz w:val="20"/>
          <w:szCs w:val="24"/>
        </w:rPr>
        <w:t>, 356 (2010).</w:t>
      </w:r>
    </w:p>
    <w:p w14:paraId="2679162E" w14:textId="465970AF" w:rsidR="00FC5D67" w:rsidRPr="00FC5D67" w:rsidRDefault="00FC5D67" w:rsidP="00F9198A">
      <w:pPr>
        <w:widowControl w:val="0"/>
        <w:tabs>
          <w:tab w:val="left" w:pos="426"/>
        </w:tabs>
        <w:autoSpaceDE w:val="0"/>
        <w:autoSpaceDN w:val="0"/>
        <w:adjustRightInd w:val="0"/>
        <w:ind w:left="426" w:hanging="426"/>
        <w:rPr>
          <w:rFonts w:ascii="Times New Roman" w:hAnsi="Times New Roman" w:cs="Times New Roman"/>
          <w:noProof/>
          <w:sz w:val="20"/>
          <w:szCs w:val="24"/>
        </w:rPr>
      </w:pPr>
      <w:r w:rsidRPr="00FC5D67">
        <w:rPr>
          <w:rFonts w:ascii="Times New Roman" w:hAnsi="Times New Roman" w:cs="Times New Roman"/>
          <w:smallCaps/>
          <w:noProof/>
          <w:sz w:val="20"/>
          <w:szCs w:val="24"/>
        </w:rPr>
        <w:t>14</w:t>
      </w:r>
      <w:r w:rsidRPr="00FC5D67">
        <w:rPr>
          <w:rFonts w:ascii="Times New Roman" w:hAnsi="Times New Roman" w:cs="Times New Roman"/>
          <w:noProof/>
          <w:sz w:val="20"/>
          <w:szCs w:val="24"/>
        </w:rPr>
        <w:t xml:space="preserve">.    A.R. Kumar, B.F. Ware, A. Subramanian, S. McClellan, E. Noriega, and J. Fernandez, in </w:t>
      </w:r>
      <w:r w:rsidRPr="00FC5D67">
        <w:rPr>
          <w:rFonts w:ascii="Times New Roman" w:hAnsi="Times New Roman" w:cs="Times New Roman"/>
          <w:i/>
          <w:iCs/>
          <w:noProof/>
          <w:sz w:val="20"/>
          <w:szCs w:val="24"/>
        </w:rPr>
        <w:t>Proc. 13th Annu. Int. Conf. Ind. Eng.</w:t>
      </w:r>
      <w:r w:rsidRPr="00FC5D67">
        <w:rPr>
          <w:rFonts w:ascii="Times New Roman" w:hAnsi="Times New Roman" w:cs="Times New Roman"/>
          <w:noProof/>
          <w:sz w:val="20"/>
          <w:szCs w:val="24"/>
        </w:rPr>
        <w:t xml:space="preserve"> (Las Vegas, Nevada, 2008), pp. 351–355.</w:t>
      </w:r>
    </w:p>
    <w:p w14:paraId="0E54A3C1" w14:textId="7044C403" w:rsidR="00FC5D67" w:rsidRPr="00FC5D67" w:rsidRDefault="00FC5D67" w:rsidP="00F9198A">
      <w:pPr>
        <w:widowControl w:val="0"/>
        <w:tabs>
          <w:tab w:val="left" w:pos="426"/>
        </w:tabs>
        <w:autoSpaceDE w:val="0"/>
        <w:autoSpaceDN w:val="0"/>
        <w:adjustRightInd w:val="0"/>
        <w:ind w:left="426" w:hanging="426"/>
        <w:rPr>
          <w:rFonts w:ascii="Times New Roman" w:hAnsi="Times New Roman" w:cs="Times New Roman"/>
          <w:noProof/>
          <w:sz w:val="20"/>
          <w:szCs w:val="24"/>
        </w:rPr>
      </w:pPr>
      <w:r w:rsidRPr="00FC5D67">
        <w:rPr>
          <w:rFonts w:ascii="Times New Roman" w:hAnsi="Times New Roman" w:cs="Times New Roman"/>
          <w:smallCaps/>
          <w:noProof/>
          <w:sz w:val="20"/>
          <w:szCs w:val="24"/>
        </w:rPr>
        <w:t>15</w:t>
      </w:r>
      <w:r w:rsidRPr="00FC5D67">
        <w:rPr>
          <w:rFonts w:ascii="Times New Roman" w:hAnsi="Times New Roman" w:cs="Times New Roman"/>
          <w:noProof/>
          <w:sz w:val="20"/>
          <w:szCs w:val="24"/>
        </w:rPr>
        <w:t xml:space="preserve">.    A.J.G. Silvius and C.M. Silvius, Procedia Comput. Sci. </w:t>
      </w:r>
      <w:r w:rsidRPr="00FC5D67">
        <w:rPr>
          <w:rFonts w:ascii="Times New Roman" w:hAnsi="Times New Roman" w:cs="Times New Roman"/>
          <w:b/>
          <w:bCs/>
          <w:noProof/>
          <w:sz w:val="20"/>
          <w:szCs w:val="24"/>
        </w:rPr>
        <w:t>64</w:t>
      </w:r>
      <w:r w:rsidRPr="00FC5D67">
        <w:rPr>
          <w:rFonts w:ascii="Times New Roman" w:hAnsi="Times New Roman" w:cs="Times New Roman"/>
          <w:noProof/>
          <w:sz w:val="20"/>
          <w:szCs w:val="24"/>
        </w:rPr>
        <w:t>, 343 (2015).</w:t>
      </w:r>
    </w:p>
    <w:p w14:paraId="601AC9B3" w14:textId="19208A26" w:rsidR="00FC5D67" w:rsidRPr="00FC5D67" w:rsidRDefault="00FC5D67" w:rsidP="00F9198A">
      <w:pPr>
        <w:widowControl w:val="0"/>
        <w:tabs>
          <w:tab w:val="left" w:pos="426"/>
        </w:tabs>
        <w:autoSpaceDE w:val="0"/>
        <w:autoSpaceDN w:val="0"/>
        <w:adjustRightInd w:val="0"/>
        <w:ind w:left="426" w:hanging="426"/>
        <w:rPr>
          <w:rFonts w:ascii="Times New Roman" w:hAnsi="Times New Roman" w:cs="Times New Roman"/>
          <w:noProof/>
          <w:sz w:val="20"/>
          <w:szCs w:val="24"/>
        </w:rPr>
      </w:pPr>
      <w:r w:rsidRPr="00FC5D67">
        <w:rPr>
          <w:rFonts w:ascii="Times New Roman" w:hAnsi="Times New Roman" w:cs="Times New Roman"/>
          <w:smallCaps/>
          <w:noProof/>
          <w:sz w:val="20"/>
          <w:szCs w:val="24"/>
        </w:rPr>
        <w:t>16</w:t>
      </w:r>
      <w:r w:rsidRPr="00FC5D67">
        <w:rPr>
          <w:rFonts w:ascii="Times New Roman" w:hAnsi="Times New Roman" w:cs="Times New Roman"/>
          <w:noProof/>
          <w:sz w:val="20"/>
          <w:szCs w:val="24"/>
        </w:rPr>
        <w:t xml:space="preserve">.    R. Pellerin, N. Perrier, X. Guillot, and P.-M. Léger, Procedia Technol. </w:t>
      </w:r>
      <w:r w:rsidRPr="00FC5D67">
        <w:rPr>
          <w:rFonts w:ascii="Times New Roman" w:hAnsi="Times New Roman" w:cs="Times New Roman"/>
          <w:b/>
          <w:bCs/>
          <w:noProof/>
          <w:sz w:val="20"/>
          <w:szCs w:val="24"/>
        </w:rPr>
        <w:t>9</w:t>
      </w:r>
      <w:r w:rsidRPr="00FC5D67">
        <w:rPr>
          <w:rFonts w:ascii="Times New Roman" w:hAnsi="Times New Roman" w:cs="Times New Roman"/>
          <w:noProof/>
          <w:sz w:val="20"/>
          <w:szCs w:val="24"/>
        </w:rPr>
        <w:t>, 857 (2013).</w:t>
      </w:r>
    </w:p>
    <w:p w14:paraId="7EB8C6C5" w14:textId="10608C61" w:rsidR="00FC5D67" w:rsidRPr="00FC5D67" w:rsidRDefault="00FC5D67" w:rsidP="00F9198A">
      <w:pPr>
        <w:widowControl w:val="0"/>
        <w:tabs>
          <w:tab w:val="left" w:pos="426"/>
        </w:tabs>
        <w:autoSpaceDE w:val="0"/>
        <w:autoSpaceDN w:val="0"/>
        <w:adjustRightInd w:val="0"/>
        <w:ind w:left="426" w:hanging="426"/>
        <w:rPr>
          <w:rFonts w:ascii="Times New Roman" w:hAnsi="Times New Roman" w:cs="Times New Roman"/>
          <w:noProof/>
          <w:sz w:val="20"/>
          <w:szCs w:val="24"/>
        </w:rPr>
      </w:pPr>
      <w:r w:rsidRPr="00FC5D67">
        <w:rPr>
          <w:rFonts w:ascii="Times New Roman" w:hAnsi="Times New Roman" w:cs="Times New Roman"/>
          <w:smallCaps/>
          <w:noProof/>
          <w:sz w:val="20"/>
          <w:szCs w:val="24"/>
        </w:rPr>
        <w:t>17</w:t>
      </w:r>
      <w:r w:rsidRPr="00FC5D67">
        <w:rPr>
          <w:rFonts w:ascii="Times New Roman" w:hAnsi="Times New Roman" w:cs="Times New Roman"/>
          <w:noProof/>
          <w:sz w:val="20"/>
          <w:szCs w:val="24"/>
        </w:rPr>
        <w:t xml:space="preserve">.    S. Oviatt, A. Arthur, Y. Brock, and J. Cohen, Comput. Collab. Learn. Conf. </w:t>
      </w:r>
      <w:r w:rsidRPr="00FC5D67">
        <w:rPr>
          <w:rFonts w:ascii="Times New Roman" w:hAnsi="Times New Roman" w:cs="Times New Roman"/>
          <w:b/>
          <w:bCs/>
          <w:noProof/>
          <w:sz w:val="20"/>
          <w:szCs w:val="24"/>
        </w:rPr>
        <w:t>8</w:t>
      </w:r>
      <w:r w:rsidRPr="00FC5D67">
        <w:rPr>
          <w:rFonts w:ascii="Times New Roman" w:hAnsi="Times New Roman" w:cs="Times New Roman"/>
          <w:noProof/>
          <w:sz w:val="20"/>
          <w:szCs w:val="24"/>
        </w:rPr>
        <w:t>, 569 (2007).</w:t>
      </w:r>
    </w:p>
    <w:p w14:paraId="11AE5F3E" w14:textId="62F61E08" w:rsidR="00FC5D67" w:rsidRPr="00FC5D67" w:rsidRDefault="00FC5D67" w:rsidP="00F9198A">
      <w:pPr>
        <w:widowControl w:val="0"/>
        <w:tabs>
          <w:tab w:val="left" w:pos="426"/>
        </w:tabs>
        <w:autoSpaceDE w:val="0"/>
        <w:autoSpaceDN w:val="0"/>
        <w:adjustRightInd w:val="0"/>
        <w:ind w:left="426" w:hanging="426"/>
        <w:rPr>
          <w:rFonts w:ascii="Times New Roman" w:hAnsi="Times New Roman" w:cs="Times New Roman"/>
          <w:noProof/>
          <w:sz w:val="20"/>
          <w:szCs w:val="24"/>
        </w:rPr>
      </w:pPr>
      <w:r w:rsidRPr="00FC5D67">
        <w:rPr>
          <w:rFonts w:ascii="Times New Roman" w:hAnsi="Times New Roman" w:cs="Times New Roman"/>
          <w:smallCaps/>
          <w:noProof/>
          <w:sz w:val="20"/>
          <w:szCs w:val="24"/>
        </w:rPr>
        <w:t>18</w:t>
      </w:r>
      <w:r w:rsidRPr="00FC5D67">
        <w:rPr>
          <w:rFonts w:ascii="Times New Roman" w:hAnsi="Times New Roman" w:cs="Times New Roman"/>
          <w:noProof/>
          <w:sz w:val="20"/>
          <w:szCs w:val="24"/>
        </w:rPr>
        <w:t xml:space="preserve">.    M.D. Abdulrahaman, N. Faruk, A.A. Oloyede, N.T. Surajudeen-Bakinde, L.A. Olawoyin, O. V. Mejabi, Y.O. Imam-Fulani, A.O. Fahm, and A.L. Azeez, Heliyon </w:t>
      </w:r>
      <w:r w:rsidRPr="00FC5D67">
        <w:rPr>
          <w:rFonts w:ascii="Times New Roman" w:hAnsi="Times New Roman" w:cs="Times New Roman"/>
          <w:b/>
          <w:bCs/>
          <w:noProof/>
          <w:sz w:val="20"/>
          <w:szCs w:val="24"/>
        </w:rPr>
        <w:t>6</w:t>
      </w:r>
      <w:r w:rsidRPr="00FC5D67">
        <w:rPr>
          <w:rFonts w:ascii="Times New Roman" w:hAnsi="Times New Roman" w:cs="Times New Roman"/>
          <w:noProof/>
          <w:sz w:val="20"/>
          <w:szCs w:val="24"/>
        </w:rPr>
        <w:t>, e05312 (2020).</w:t>
      </w:r>
    </w:p>
    <w:p w14:paraId="698881BF" w14:textId="16EB0CF9" w:rsidR="00FC5D67" w:rsidRPr="00FC5D67" w:rsidRDefault="00FC5D67" w:rsidP="00F9198A">
      <w:pPr>
        <w:widowControl w:val="0"/>
        <w:tabs>
          <w:tab w:val="left" w:pos="426"/>
        </w:tabs>
        <w:autoSpaceDE w:val="0"/>
        <w:autoSpaceDN w:val="0"/>
        <w:adjustRightInd w:val="0"/>
        <w:ind w:left="426" w:hanging="426"/>
        <w:rPr>
          <w:rFonts w:ascii="Times New Roman" w:hAnsi="Times New Roman" w:cs="Times New Roman"/>
          <w:noProof/>
          <w:sz w:val="20"/>
          <w:szCs w:val="24"/>
        </w:rPr>
      </w:pPr>
      <w:r w:rsidRPr="00FC5D67">
        <w:rPr>
          <w:rFonts w:ascii="Times New Roman" w:hAnsi="Times New Roman" w:cs="Times New Roman"/>
          <w:smallCaps/>
          <w:noProof/>
          <w:sz w:val="20"/>
          <w:szCs w:val="24"/>
        </w:rPr>
        <w:t>19</w:t>
      </w:r>
      <w:r w:rsidRPr="00FC5D67">
        <w:rPr>
          <w:rFonts w:ascii="Times New Roman" w:hAnsi="Times New Roman" w:cs="Times New Roman"/>
          <w:noProof/>
          <w:sz w:val="20"/>
          <w:szCs w:val="24"/>
        </w:rPr>
        <w:t xml:space="preserve">.    A. Selvaraj, V. Radhin, N. KA, N. Benson, and A.J. Mathew, Int. J. Educ. Dev. </w:t>
      </w:r>
      <w:r w:rsidRPr="00FC5D67">
        <w:rPr>
          <w:rFonts w:ascii="Times New Roman" w:hAnsi="Times New Roman" w:cs="Times New Roman"/>
          <w:b/>
          <w:bCs/>
          <w:noProof/>
          <w:sz w:val="20"/>
          <w:szCs w:val="24"/>
        </w:rPr>
        <w:t>85</w:t>
      </w:r>
      <w:r w:rsidRPr="00FC5D67">
        <w:rPr>
          <w:rFonts w:ascii="Times New Roman" w:hAnsi="Times New Roman" w:cs="Times New Roman"/>
          <w:noProof/>
          <w:sz w:val="20"/>
          <w:szCs w:val="24"/>
        </w:rPr>
        <w:t>, 102444 (2021).</w:t>
      </w:r>
    </w:p>
    <w:p w14:paraId="34E66D61" w14:textId="525D6DCB" w:rsidR="00FC5D67" w:rsidRPr="00FC5D67" w:rsidRDefault="00FC5D67" w:rsidP="00F9198A">
      <w:pPr>
        <w:widowControl w:val="0"/>
        <w:tabs>
          <w:tab w:val="left" w:pos="426"/>
        </w:tabs>
        <w:autoSpaceDE w:val="0"/>
        <w:autoSpaceDN w:val="0"/>
        <w:adjustRightInd w:val="0"/>
        <w:ind w:left="426" w:hanging="426"/>
        <w:rPr>
          <w:rFonts w:ascii="Times New Roman" w:hAnsi="Times New Roman" w:cs="Times New Roman"/>
          <w:noProof/>
          <w:sz w:val="20"/>
          <w:szCs w:val="24"/>
        </w:rPr>
      </w:pPr>
      <w:r w:rsidRPr="00FC5D67">
        <w:rPr>
          <w:rFonts w:ascii="Times New Roman" w:hAnsi="Times New Roman" w:cs="Times New Roman"/>
          <w:smallCaps/>
          <w:noProof/>
          <w:sz w:val="20"/>
          <w:szCs w:val="24"/>
        </w:rPr>
        <w:t>20</w:t>
      </w:r>
      <w:r w:rsidRPr="00FC5D67">
        <w:rPr>
          <w:rFonts w:ascii="Times New Roman" w:hAnsi="Times New Roman" w:cs="Times New Roman"/>
          <w:noProof/>
          <w:sz w:val="20"/>
          <w:szCs w:val="24"/>
        </w:rPr>
        <w:t xml:space="preserve">.    S. Vandenberg and M. Magnuson, Nurse Educ. Pract. </w:t>
      </w:r>
      <w:r w:rsidRPr="00FC5D67">
        <w:rPr>
          <w:rFonts w:ascii="Times New Roman" w:hAnsi="Times New Roman" w:cs="Times New Roman"/>
          <w:b/>
          <w:bCs/>
          <w:noProof/>
          <w:sz w:val="20"/>
          <w:szCs w:val="24"/>
        </w:rPr>
        <w:t>54</w:t>
      </w:r>
      <w:r w:rsidRPr="00FC5D67">
        <w:rPr>
          <w:rFonts w:ascii="Times New Roman" w:hAnsi="Times New Roman" w:cs="Times New Roman"/>
          <w:noProof/>
          <w:sz w:val="20"/>
          <w:szCs w:val="24"/>
        </w:rPr>
        <w:t>, 103138 (2021).</w:t>
      </w:r>
    </w:p>
    <w:p w14:paraId="06FEF8C9" w14:textId="6549ED92" w:rsidR="00FC5D67" w:rsidRPr="00FC5D67" w:rsidRDefault="00FC5D67" w:rsidP="00F9198A">
      <w:pPr>
        <w:widowControl w:val="0"/>
        <w:tabs>
          <w:tab w:val="left" w:pos="426"/>
        </w:tabs>
        <w:autoSpaceDE w:val="0"/>
        <w:autoSpaceDN w:val="0"/>
        <w:adjustRightInd w:val="0"/>
        <w:ind w:left="426" w:hanging="426"/>
        <w:rPr>
          <w:rFonts w:ascii="Times New Roman" w:hAnsi="Times New Roman" w:cs="Times New Roman"/>
          <w:noProof/>
          <w:sz w:val="20"/>
          <w:szCs w:val="24"/>
        </w:rPr>
      </w:pPr>
      <w:r w:rsidRPr="00FC5D67">
        <w:rPr>
          <w:rFonts w:ascii="Times New Roman" w:hAnsi="Times New Roman" w:cs="Times New Roman"/>
          <w:smallCaps/>
          <w:noProof/>
          <w:sz w:val="20"/>
          <w:szCs w:val="24"/>
        </w:rPr>
        <w:t>21</w:t>
      </w:r>
      <w:r w:rsidRPr="00FC5D67">
        <w:rPr>
          <w:rFonts w:ascii="Times New Roman" w:hAnsi="Times New Roman" w:cs="Times New Roman"/>
          <w:noProof/>
          <w:sz w:val="20"/>
          <w:szCs w:val="24"/>
        </w:rPr>
        <w:t xml:space="preserve">.    É.C. Audet, S.L. Levine, E. Metin, S. Koestner, and S. Barcan, Pers. Individ. Dif. </w:t>
      </w:r>
      <w:r w:rsidRPr="00FC5D67">
        <w:rPr>
          <w:rFonts w:ascii="Times New Roman" w:hAnsi="Times New Roman" w:cs="Times New Roman"/>
          <w:b/>
          <w:bCs/>
          <w:noProof/>
          <w:sz w:val="20"/>
          <w:szCs w:val="24"/>
        </w:rPr>
        <w:t>180</w:t>
      </w:r>
      <w:r w:rsidRPr="00FC5D67">
        <w:rPr>
          <w:rFonts w:ascii="Times New Roman" w:hAnsi="Times New Roman" w:cs="Times New Roman"/>
          <w:noProof/>
          <w:sz w:val="20"/>
          <w:szCs w:val="24"/>
        </w:rPr>
        <w:t>, (2021).</w:t>
      </w:r>
    </w:p>
    <w:p w14:paraId="7E9AE2A0" w14:textId="602BD84C" w:rsidR="00FC5D67" w:rsidRPr="00FC5D67" w:rsidRDefault="00FC5D67" w:rsidP="00F9198A">
      <w:pPr>
        <w:widowControl w:val="0"/>
        <w:tabs>
          <w:tab w:val="left" w:pos="426"/>
        </w:tabs>
        <w:autoSpaceDE w:val="0"/>
        <w:autoSpaceDN w:val="0"/>
        <w:adjustRightInd w:val="0"/>
        <w:ind w:left="426" w:hanging="426"/>
        <w:rPr>
          <w:rFonts w:ascii="Times New Roman" w:hAnsi="Times New Roman" w:cs="Times New Roman"/>
          <w:noProof/>
          <w:sz w:val="20"/>
        </w:rPr>
      </w:pPr>
      <w:r w:rsidRPr="00FC5D67">
        <w:rPr>
          <w:rFonts w:ascii="Times New Roman" w:hAnsi="Times New Roman" w:cs="Times New Roman"/>
          <w:smallCaps/>
          <w:noProof/>
          <w:sz w:val="20"/>
          <w:szCs w:val="24"/>
        </w:rPr>
        <w:t>22</w:t>
      </w:r>
      <w:r w:rsidRPr="00FC5D67">
        <w:rPr>
          <w:rFonts w:ascii="Times New Roman" w:hAnsi="Times New Roman" w:cs="Times New Roman"/>
          <w:noProof/>
          <w:sz w:val="20"/>
          <w:szCs w:val="24"/>
        </w:rPr>
        <w:t xml:space="preserve">.    J.A. Phillips, C. Schumacher, and S. Arif, Am. J. Pharm. Educ. </w:t>
      </w:r>
      <w:r w:rsidRPr="00FC5D67">
        <w:rPr>
          <w:rFonts w:ascii="Times New Roman" w:hAnsi="Times New Roman" w:cs="Times New Roman"/>
          <w:b/>
          <w:bCs/>
          <w:noProof/>
          <w:sz w:val="20"/>
          <w:szCs w:val="24"/>
        </w:rPr>
        <w:t>80</w:t>
      </w:r>
      <w:r w:rsidRPr="00FC5D67">
        <w:rPr>
          <w:rFonts w:ascii="Times New Roman" w:hAnsi="Times New Roman" w:cs="Times New Roman"/>
          <w:noProof/>
          <w:sz w:val="20"/>
          <w:szCs w:val="24"/>
        </w:rPr>
        <w:t>, 102 (2016).</w:t>
      </w:r>
    </w:p>
    <w:p w14:paraId="2421AD4D" w14:textId="1B3B33B9" w:rsidR="00FC7BEC" w:rsidRPr="002D1F1A" w:rsidRDefault="00A149CC" w:rsidP="00F9198A">
      <w:pPr>
        <w:widowControl w:val="0"/>
        <w:tabs>
          <w:tab w:val="left" w:pos="426"/>
        </w:tabs>
        <w:ind w:left="640" w:hanging="640"/>
        <w:jc w:val="both"/>
        <w:rPr>
          <w:lang w:val="en-US"/>
        </w:rPr>
      </w:pPr>
      <w:r w:rsidRPr="002D1F1A">
        <w:rPr>
          <w:rFonts w:ascii="Times New Roman" w:hAnsi="Times New Roman" w:cs="Times New Roman"/>
          <w:sz w:val="20"/>
          <w:szCs w:val="20"/>
          <w:lang w:val="en-US"/>
        </w:rPr>
        <w:fldChar w:fldCharType="end"/>
      </w:r>
    </w:p>
    <w:sectPr w:rsidR="00FC7BEC" w:rsidRPr="002D1F1A" w:rsidSect="00403283">
      <w:headerReference w:type="default" r:id="rId15"/>
      <w:pgSz w:w="12242" w:h="15842" w:code="1"/>
      <w:pgMar w:top="1440" w:right="1440" w:bottom="1701"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E9397" w14:textId="77777777" w:rsidR="000669ED" w:rsidRDefault="000669ED">
      <w:r>
        <w:separator/>
      </w:r>
    </w:p>
  </w:endnote>
  <w:endnote w:type="continuationSeparator" w:id="0">
    <w:p w14:paraId="13B168EB" w14:textId="77777777" w:rsidR="000669ED" w:rsidRDefault="00066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abo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7D854" w14:textId="77777777" w:rsidR="000669ED" w:rsidRDefault="000669ED">
      <w:r>
        <w:separator/>
      </w:r>
    </w:p>
  </w:footnote>
  <w:footnote w:type="continuationSeparator" w:id="0">
    <w:p w14:paraId="09658198" w14:textId="77777777" w:rsidR="000669ED" w:rsidRDefault="00066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A2AE1" w14:textId="77777777" w:rsidR="00FC7BEC" w:rsidRDefault="00FC7BEC"/>
  <w:p w14:paraId="225BE8C9" w14:textId="77777777" w:rsidR="00FC7BEC" w:rsidRDefault="00FC7BEC"/>
  <w:p w14:paraId="3AFE21FD" w14:textId="77777777" w:rsidR="00FC7BEC" w:rsidRDefault="00FC7BEC"/>
  <w:p w14:paraId="426ABEE0" w14:textId="77777777" w:rsidR="00FC7BEC" w:rsidRDefault="00FC7BEC"/>
  <w:p w14:paraId="14297AA8" w14:textId="77777777" w:rsidR="00FC7BEC" w:rsidRDefault="00FC7BEC"/>
  <w:p w14:paraId="16534C5C" w14:textId="77777777" w:rsidR="00FC7BEC" w:rsidRDefault="00FC7B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022DD"/>
    <w:multiLevelType w:val="multilevel"/>
    <w:tmpl w:val="41142F2A"/>
    <w:lvl w:ilvl="0">
      <w:start w:val="1"/>
      <w:numFmt w:val="decimal"/>
      <w:pStyle w:val="Reference"/>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C017C3"/>
    <w:multiLevelType w:val="multilevel"/>
    <w:tmpl w:val="94EA70E6"/>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71076B4"/>
    <w:multiLevelType w:val="multilevel"/>
    <w:tmpl w:val="67F45638"/>
    <w:lvl w:ilvl="0">
      <w:start w:val="3"/>
      <w:numFmt w:val="decimal"/>
      <w:pStyle w:val="Section"/>
      <w:lvlText w:val="%1"/>
      <w:lvlJc w:val="left"/>
      <w:pPr>
        <w:ind w:left="360" w:hanging="360"/>
      </w:pPr>
    </w:lvl>
    <w:lvl w:ilvl="1">
      <w:start w:val="1"/>
      <w:numFmt w:val="decimal"/>
      <w:pStyle w:val="Subsection"/>
      <w:lvlText w:val="%1.%2"/>
      <w:lvlJc w:val="left"/>
      <w:pPr>
        <w:ind w:left="360" w:hanging="360"/>
      </w:pPr>
    </w:lvl>
    <w:lvl w:ilvl="2">
      <w:start w:val="1"/>
      <w:numFmt w:val="decimal"/>
      <w:pStyle w:val="Subsubsection"/>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1B7804C7"/>
    <w:multiLevelType w:val="multilevel"/>
    <w:tmpl w:val="EC4A5EDA"/>
    <w:lvl w:ilvl="0">
      <w:start w:val="2"/>
      <w:numFmt w:val="decimal"/>
      <w:pStyle w:val="Bulleted"/>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37D1053C"/>
    <w:multiLevelType w:val="hybridMultilevel"/>
    <w:tmpl w:val="35C4F676"/>
    <w:lvl w:ilvl="0" w:tplc="5F3A9FCE">
      <w:start w:val="2"/>
      <w:numFmt w:val="bullet"/>
      <w:lvlText w:val="-"/>
      <w:lvlJc w:val="left"/>
      <w:pPr>
        <w:ind w:left="720" w:hanging="360"/>
      </w:pPr>
      <w:rPr>
        <w:rFonts w:ascii="Times" w:eastAsia="Times"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5A4028"/>
    <w:multiLevelType w:val="hybridMultilevel"/>
    <w:tmpl w:val="D15A052C"/>
    <w:lvl w:ilvl="0" w:tplc="A252CEDC">
      <w:start w:val="1"/>
      <w:numFmt w:val="lowerLetter"/>
      <w:lvlText w:val="%1)"/>
      <w:lvlJc w:val="left"/>
      <w:pPr>
        <w:ind w:left="2629" w:hanging="360"/>
      </w:pPr>
      <w:rPr>
        <w:rFonts w:hint="default"/>
        <w:vertAlign w:val="superscript"/>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6" w15:restartNumberingAfterBreak="0">
    <w:nsid w:val="4E3339CE"/>
    <w:multiLevelType w:val="multilevel"/>
    <w:tmpl w:val="971E083C"/>
    <w:lvl w:ilvl="0">
      <w:start w:val="2"/>
      <w:numFmt w:val="decimal"/>
      <w:pStyle w:val="Heading1"/>
      <w:lvlText w:val="%1"/>
      <w:lvlJc w:val="left"/>
      <w:pPr>
        <w:ind w:left="360" w:hanging="360"/>
      </w:pPr>
    </w:lvl>
    <w:lvl w:ilvl="1">
      <w:start w:val="1"/>
      <w:numFmt w:val="decimal"/>
      <w:lvlText w:val="%1.%2"/>
      <w:lvlJc w:val="left"/>
      <w:pPr>
        <w:ind w:left="360" w:hanging="360"/>
      </w:pPr>
    </w:lvl>
    <w:lvl w:ilvl="2">
      <w:start w:val="1"/>
      <w:numFmt w:val="decimal"/>
      <w:pStyle w:val="Heading3"/>
      <w:lvlText w:val="%1.%2.%3"/>
      <w:lvlJc w:val="left"/>
      <w:pPr>
        <w:ind w:left="720" w:hanging="720"/>
      </w:pPr>
    </w:lvl>
    <w:lvl w:ilvl="3">
      <w:start w:val="1"/>
      <w:numFmt w:val="decimal"/>
      <w:pStyle w:val="Heading4"/>
      <w:lvlText w:val="%1.%2.%3.%4"/>
      <w:lvlJc w:val="left"/>
      <w:pPr>
        <w:ind w:left="720" w:hanging="720"/>
      </w:pPr>
    </w:lvl>
    <w:lvl w:ilvl="4">
      <w:start w:val="1"/>
      <w:numFmt w:val="decimal"/>
      <w:pStyle w:val="Heading5"/>
      <w:lvlText w:val="%1.%2.%3.%4.%5"/>
      <w:lvlJc w:val="left"/>
      <w:pPr>
        <w:ind w:left="1080" w:hanging="1080"/>
      </w:pPr>
    </w:lvl>
    <w:lvl w:ilvl="5">
      <w:start w:val="1"/>
      <w:numFmt w:val="decimal"/>
      <w:pStyle w:val="Heading6"/>
      <w:lvlText w:val="%1.%2.%3.%4.%5.%6"/>
      <w:lvlJc w:val="left"/>
      <w:pPr>
        <w:ind w:left="1080" w:hanging="1080"/>
      </w:pPr>
    </w:lvl>
    <w:lvl w:ilvl="6">
      <w:start w:val="1"/>
      <w:numFmt w:val="decimal"/>
      <w:pStyle w:val="Heading7"/>
      <w:lvlText w:val="%1.%2.%3.%4.%5.%6.%7"/>
      <w:lvlJc w:val="left"/>
      <w:pPr>
        <w:ind w:left="1440" w:hanging="1440"/>
      </w:pPr>
    </w:lvl>
    <w:lvl w:ilvl="7">
      <w:start w:val="1"/>
      <w:numFmt w:val="decimal"/>
      <w:pStyle w:val="Heading8"/>
      <w:lvlText w:val="%1.%2.%3.%4.%5.%6.%7.%8"/>
      <w:lvlJc w:val="left"/>
      <w:pPr>
        <w:ind w:left="1440" w:hanging="1440"/>
      </w:pPr>
    </w:lvl>
    <w:lvl w:ilvl="8">
      <w:start w:val="1"/>
      <w:numFmt w:val="decimal"/>
      <w:pStyle w:val="Heading9"/>
      <w:lvlText w:val="%1.%2.%3.%4.%5.%6.%7.%8.%9"/>
      <w:lvlJc w:val="left"/>
      <w:pPr>
        <w:ind w:left="1440" w:hanging="1440"/>
      </w:pPr>
    </w:lvl>
  </w:abstractNum>
  <w:abstractNum w:abstractNumId="7" w15:restartNumberingAfterBreak="0">
    <w:nsid w:val="68554B6B"/>
    <w:multiLevelType w:val="multilevel"/>
    <w:tmpl w:val="3E8CD502"/>
    <w:lvl w:ilvl="0">
      <w:start w:val="1"/>
      <w:numFmt w:val="decimal"/>
      <w:lvlText w:val="%1.  "/>
      <w:lvlJc w:val="left"/>
      <w:pPr>
        <w:ind w:left="0" w:firstLine="0"/>
      </w:pPr>
    </w:lvl>
    <w:lvl w:ilvl="1">
      <w:start w:val="1"/>
      <w:numFmt w:val="decimal"/>
      <w:lvlText w:val="%1.%2.  "/>
      <w:lvlJc w:val="left"/>
      <w:pPr>
        <w:ind w:left="0" w:firstLine="0"/>
      </w:pPr>
    </w:lvl>
    <w:lvl w:ilvl="2">
      <w:start w:val="1"/>
      <w:numFmt w:val="decimal"/>
      <w:lvlText w:val="%1.%2.%3.  "/>
      <w:lvlJc w:val="left"/>
      <w:pPr>
        <w:ind w:left="0" w:firstLine="142"/>
      </w:pPr>
      <w:rPr>
        <w:i/>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3"/>
  </w:num>
  <w:num w:numId="3">
    <w:abstractNumId w:val="2"/>
  </w:num>
  <w:num w:numId="4">
    <w:abstractNumId w:val="0"/>
  </w:num>
  <w:num w:numId="5">
    <w:abstractNumId w:val="7"/>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GwNDcwNrYwNjYwMzZU0lEKTi0uzszPAykwrgUA9rWCjywAAAA="/>
  </w:docVars>
  <w:rsids>
    <w:rsidRoot w:val="00FC7BEC"/>
    <w:rsid w:val="0000102C"/>
    <w:rsid w:val="00014955"/>
    <w:rsid w:val="00014C4A"/>
    <w:rsid w:val="000174D3"/>
    <w:rsid w:val="0002333C"/>
    <w:rsid w:val="00027CD7"/>
    <w:rsid w:val="000355E1"/>
    <w:rsid w:val="00035862"/>
    <w:rsid w:val="000403A9"/>
    <w:rsid w:val="00052A77"/>
    <w:rsid w:val="000602AF"/>
    <w:rsid w:val="000603B7"/>
    <w:rsid w:val="00065B59"/>
    <w:rsid w:val="000669ED"/>
    <w:rsid w:val="00070581"/>
    <w:rsid w:val="00071A5D"/>
    <w:rsid w:val="00092F88"/>
    <w:rsid w:val="00095398"/>
    <w:rsid w:val="000A02CF"/>
    <w:rsid w:val="000A176F"/>
    <w:rsid w:val="000A5C20"/>
    <w:rsid w:val="000A6C47"/>
    <w:rsid w:val="000A78A1"/>
    <w:rsid w:val="000B096B"/>
    <w:rsid w:val="000B434F"/>
    <w:rsid w:val="000C6152"/>
    <w:rsid w:val="000D0A33"/>
    <w:rsid w:val="000D5AF9"/>
    <w:rsid w:val="000E15D0"/>
    <w:rsid w:val="000E1C8A"/>
    <w:rsid w:val="000F01F8"/>
    <w:rsid w:val="001072E5"/>
    <w:rsid w:val="001112AA"/>
    <w:rsid w:val="00113918"/>
    <w:rsid w:val="00114294"/>
    <w:rsid w:val="001143A8"/>
    <w:rsid w:val="001173E8"/>
    <w:rsid w:val="00126D26"/>
    <w:rsid w:val="0013201A"/>
    <w:rsid w:val="00142B06"/>
    <w:rsid w:val="00145EA0"/>
    <w:rsid w:val="00155102"/>
    <w:rsid w:val="00155E5D"/>
    <w:rsid w:val="0015644F"/>
    <w:rsid w:val="00162F9D"/>
    <w:rsid w:val="0016753E"/>
    <w:rsid w:val="00170193"/>
    <w:rsid w:val="001827C6"/>
    <w:rsid w:val="00182E18"/>
    <w:rsid w:val="00182F15"/>
    <w:rsid w:val="00190A61"/>
    <w:rsid w:val="001919CA"/>
    <w:rsid w:val="001934C6"/>
    <w:rsid w:val="00195BB0"/>
    <w:rsid w:val="001965EE"/>
    <w:rsid w:val="001A1163"/>
    <w:rsid w:val="001A14D3"/>
    <w:rsid w:val="001A1879"/>
    <w:rsid w:val="001A3B6D"/>
    <w:rsid w:val="001A5E51"/>
    <w:rsid w:val="001C65E0"/>
    <w:rsid w:val="001D0182"/>
    <w:rsid w:val="001D115E"/>
    <w:rsid w:val="001D12D6"/>
    <w:rsid w:val="001D2DD8"/>
    <w:rsid w:val="001E056F"/>
    <w:rsid w:val="001E135B"/>
    <w:rsid w:val="001E22D0"/>
    <w:rsid w:val="001E68C4"/>
    <w:rsid w:val="001F48DA"/>
    <w:rsid w:val="001F7B23"/>
    <w:rsid w:val="002003DD"/>
    <w:rsid w:val="00201041"/>
    <w:rsid w:val="00201FB6"/>
    <w:rsid w:val="00206448"/>
    <w:rsid w:val="002079A8"/>
    <w:rsid w:val="002129E9"/>
    <w:rsid w:val="00215A38"/>
    <w:rsid w:val="002178F3"/>
    <w:rsid w:val="002200E8"/>
    <w:rsid w:val="00221070"/>
    <w:rsid w:val="00223F1D"/>
    <w:rsid w:val="002264EE"/>
    <w:rsid w:val="0023010C"/>
    <w:rsid w:val="002332EF"/>
    <w:rsid w:val="0023694B"/>
    <w:rsid w:val="0023697E"/>
    <w:rsid w:val="00240854"/>
    <w:rsid w:val="00241F73"/>
    <w:rsid w:val="00243F3A"/>
    <w:rsid w:val="00250852"/>
    <w:rsid w:val="00250F5D"/>
    <w:rsid w:val="002517C9"/>
    <w:rsid w:val="00252AF3"/>
    <w:rsid w:val="00262D38"/>
    <w:rsid w:val="002635CC"/>
    <w:rsid w:val="0026693C"/>
    <w:rsid w:val="0026757F"/>
    <w:rsid w:val="00267DF9"/>
    <w:rsid w:val="00271979"/>
    <w:rsid w:val="00276F1B"/>
    <w:rsid w:val="0027788E"/>
    <w:rsid w:val="002875B4"/>
    <w:rsid w:val="00294085"/>
    <w:rsid w:val="00295681"/>
    <w:rsid w:val="002A321A"/>
    <w:rsid w:val="002A3CEA"/>
    <w:rsid w:val="002B0149"/>
    <w:rsid w:val="002B3C81"/>
    <w:rsid w:val="002C3F1C"/>
    <w:rsid w:val="002D1F1A"/>
    <w:rsid w:val="002D4ADD"/>
    <w:rsid w:val="002D7700"/>
    <w:rsid w:val="002E0E0C"/>
    <w:rsid w:val="002E216F"/>
    <w:rsid w:val="002E4870"/>
    <w:rsid w:val="002F361B"/>
    <w:rsid w:val="002F6121"/>
    <w:rsid w:val="002F753B"/>
    <w:rsid w:val="00303CDE"/>
    <w:rsid w:val="003062E2"/>
    <w:rsid w:val="00306C29"/>
    <w:rsid w:val="00310568"/>
    <w:rsid w:val="00311641"/>
    <w:rsid w:val="003116F7"/>
    <w:rsid w:val="00314FFF"/>
    <w:rsid w:val="00317D44"/>
    <w:rsid w:val="00326C11"/>
    <w:rsid w:val="00334090"/>
    <w:rsid w:val="00336A30"/>
    <w:rsid w:val="00337F52"/>
    <w:rsid w:val="00341A46"/>
    <w:rsid w:val="0034456A"/>
    <w:rsid w:val="00353F24"/>
    <w:rsid w:val="0035469F"/>
    <w:rsid w:val="00354A89"/>
    <w:rsid w:val="00356F70"/>
    <w:rsid w:val="00357481"/>
    <w:rsid w:val="00367060"/>
    <w:rsid w:val="00370B6C"/>
    <w:rsid w:val="00373CCB"/>
    <w:rsid w:val="00374218"/>
    <w:rsid w:val="00380C12"/>
    <w:rsid w:val="0039338A"/>
    <w:rsid w:val="00395CEC"/>
    <w:rsid w:val="003A470B"/>
    <w:rsid w:val="003A49A5"/>
    <w:rsid w:val="003A72BF"/>
    <w:rsid w:val="003B4128"/>
    <w:rsid w:val="003B6E17"/>
    <w:rsid w:val="003C01F5"/>
    <w:rsid w:val="003C595B"/>
    <w:rsid w:val="003C60D5"/>
    <w:rsid w:val="003D1600"/>
    <w:rsid w:val="003D16EA"/>
    <w:rsid w:val="003D2018"/>
    <w:rsid w:val="003D54A3"/>
    <w:rsid w:val="003D5C4D"/>
    <w:rsid w:val="003E170F"/>
    <w:rsid w:val="003E54EA"/>
    <w:rsid w:val="003E639E"/>
    <w:rsid w:val="003E7636"/>
    <w:rsid w:val="00403283"/>
    <w:rsid w:val="00404162"/>
    <w:rsid w:val="00405175"/>
    <w:rsid w:val="00410A8F"/>
    <w:rsid w:val="004113EE"/>
    <w:rsid w:val="004201E9"/>
    <w:rsid w:val="004255FD"/>
    <w:rsid w:val="004261EC"/>
    <w:rsid w:val="004271F9"/>
    <w:rsid w:val="0043066F"/>
    <w:rsid w:val="00430AD8"/>
    <w:rsid w:val="004368A6"/>
    <w:rsid w:val="00440678"/>
    <w:rsid w:val="00440857"/>
    <w:rsid w:val="00440A07"/>
    <w:rsid w:val="0045642C"/>
    <w:rsid w:val="00460F71"/>
    <w:rsid w:val="004667FC"/>
    <w:rsid w:val="00466AC0"/>
    <w:rsid w:val="004762A6"/>
    <w:rsid w:val="0048681D"/>
    <w:rsid w:val="00495B36"/>
    <w:rsid w:val="00495C0B"/>
    <w:rsid w:val="00496E9B"/>
    <w:rsid w:val="004A080B"/>
    <w:rsid w:val="004A22DA"/>
    <w:rsid w:val="004A35BA"/>
    <w:rsid w:val="004A5425"/>
    <w:rsid w:val="004A7C6D"/>
    <w:rsid w:val="004B048E"/>
    <w:rsid w:val="004B0CC7"/>
    <w:rsid w:val="004B1F2A"/>
    <w:rsid w:val="004B4218"/>
    <w:rsid w:val="004B5F87"/>
    <w:rsid w:val="004C44B0"/>
    <w:rsid w:val="004D7BF2"/>
    <w:rsid w:val="004E4E65"/>
    <w:rsid w:val="004F20BF"/>
    <w:rsid w:val="00500ECD"/>
    <w:rsid w:val="00501214"/>
    <w:rsid w:val="005024F9"/>
    <w:rsid w:val="00502A3C"/>
    <w:rsid w:val="0051050C"/>
    <w:rsid w:val="005252BF"/>
    <w:rsid w:val="00534854"/>
    <w:rsid w:val="00535077"/>
    <w:rsid w:val="00537C98"/>
    <w:rsid w:val="0054336E"/>
    <w:rsid w:val="005435EE"/>
    <w:rsid w:val="005459DC"/>
    <w:rsid w:val="00551048"/>
    <w:rsid w:val="00552AEB"/>
    <w:rsid w:val="005534ED"/>
    <w:rsid w:val="0056078F"/>
    <w:rsid w:val="00562190"/>
    <w:rsid w:val="00573BD6"/>
    <w:rsid w:val="00576323"/>
    <w:rsid w:val="00586A64"/>
    <w:rsid w:val="005871EF"/>
    <w:rsid w:val="005873C2"/>
    <w:rsid w:val="005879A8"/>
    <w:rsid w:val="0059041C"/>
    <w:rsid w:val="00591A84"/>
    <w:rsid w:val="005940DA"/>
    <w:rsid w:val="005A0744"/>
    <w:rsid w:val="005A19B4"/>
    <w:rsid w:val="005A41F1"/>
    <w:rsid w:val="005A6F82"/>
    <w:rsid w:val="005B0E9B"/>
    <w:rsid w:val="005B3232"/>
    <w:rsid w:val="005C3CE4"/>
    <w:rsid w:val="005C57E4"/>
    <w:rsid w:val="005D5F96"/>
    <w:rsid w:val="005E2864"/>
    <w:rsid w:val="005E28E6"/>
    <w:rsid w:val="005E2A45"/>
    <w:rsid w:val="005E4ADD"/>
    <w:rsid w:val="005E534F"/>
    <w:rsid w:val="005F56E3"/>
    <w:rsid w:val="005F65AF"/>
    <w:rsid w:val="005F700B"/>
    <w:rsid w:val="005F7A8F"/>
    <w:rsid w:val="00600A1F"/>
    <w:rsid w:val="0060116B"/>
    <w:rsid w:val="006051B1"/>
    <w:rsid w:val="00605EB5"/>
    <w:rsid w:val="00606EFA"/>
    <w:rsid w:val="0060718B"/>
    <w:rsid w:val="00612CF7"/>
    <w:rsid w:val="00614B8F"/>
    <w:rsid w:val="006211F0"/>
    <w:rsid w:val="0062334D"/>
    <w:rsid w:val="0063189C"/>
    <w:rsid w:val="006420B5"/>
    <w:rsid w:val="00651F0A"/>
    <w:rsid w:val="006574F8"/>
    <w:rsid w:val="00664177"/>
    <w:rsid w:val="00667563"/>
    <w:rsid w:val="0067032A"/>
    <w:rsid w:val="006727AD"/>
    <w:rsid w:val="0068287B"/>
    <w:rsid w:val="00682AED"/>
    <w:rsid w:val="00684DA2"/>
    <w:rsid w:val="0069006E"/>
    <w:rsid w:val="006900A2"/>
    <w:rsid w:val="0069462B"/>
    <w:rsid w:val="00695BE3"/>
    <w:rsid w:val="006A19E1"/>
    <w:rsid w:val="006B0927"/>
    <w:rsid w:val="006B4FC2"/>
    <w:rsid w:val="006B6950"/>
    <w:rsid w:val="006C5BDB"/>
    <w:rsid w:val="006D153D"/>
    <w:rsid w:val="006D61F8"/>
    <w:rsid w:val="006E024E"/>
    <w:rsid w:val="006E1161"/>
    <w:rsid w:val="006F7F2B"/>
    <w:rsid w:val="007021B0"/>
    <w:rsid w:val="00702C56"/>
    <w:rsid w:val="00713D3F"/>
    <w:rsid w:val="00723847"/>
    <w:rsid w:val="00724B86"/>
    <w:rsid w:val="00731501"/>
    <w:rsid w:val="00733A01"/>
    <w:rsid w:val="00734515"/>
    <w:rsid w:val="00734826"/>
    <w:rsid w:val="00737E25"/>
    <w:rsid w:val="0074112B"/>
    <w:rsid w:val="00742A04"/>
    <w:rsid w:val="00746491"/>
    <w:rsid w:val="007537D7"/>
    <w:rsid w:val="0075493A"/>
    <w:rsid w:val="00754CEF"/>
    <w:rsid w:val="0076402F"/>
    <w:rsid w:val="00765456"/>
    <w:rsid w:val="007706BA"/>
    <w:rsid w:val="00775CD5"/>
    <w:rsid w:val="00776C89"/>
    <w:rsid w:val="00781780"/>
    <w:rsid w:val="00781CFD"/>
    <w:rsid w:val="007836B3"/>
    <w:rsid w:val="007855D2"/>
    <w:rsid w:val="00787197"/>
    <w:rsid w:val="0079215C"/>
    <w:rsid w:val="007A06D9"/>
    <w:rsid w:val="007A096B"/>
    <w:rsid w:val="007A2841"/>
    <w:rsid w:val="007A2C66"/>
    <w:rsid w:val="007A2E71"/>
    <w:rsid w:val="007A44AC"/>
    <w:rsid w:val="007A5C30"/>
    <w:rsid w:val="007A69C9"/>
    <w:rsid w:val="007A7AE9"/>
    <w:rsid w:val="007B22E1"/>
    <w:rsid w:val="007C5E79"/>
    <w:rsid w:val="007C63AC"/>
    <w:rsid w:val="007C75A9"/>
    <w:rsid w:val="007D5078"/>
    <w:rsid w:val="007E16C1"/>
    <w:rsid w:val="007E1E63"/>
    <w:rsid w:val="007E2939"/>
    <w:rsid w:val="007E3629"/>
    <w:rsid w:val="007F0E8B"/>
    <w:rsid w:val="00804EA9"/>
    <w:rsid w:val="00805860"/>
    <w:rsid w:val="00805C45"/>
    <w:rsid w:val="00812F2E"/>
    <w:rsid w:val="00817CD4"/>
    <w:rsid w:val="008207B6"/>
    <w:rsid w:val="0082496E"/>
    <w:rsid w:val="00824FF1"/>
    <w:rsid w:val="00832B08"/>
    <w:rsid w:val="0083394D"/>
    <w:rsid w:val="0083551A"/>
    <w:rsid w:val="00835EDA"/>
    <w:rsid w:val="00843B13"/>
    <w:rsid w:val="0084721B"/>
    <w:rsid w:val="00850AD7"/>
    <w:rsid w:val="0085387C"/>
    <w:rsid w:val="00853AC4"/>
    <w:rsid w:val="008726A6"/>
    <w:rsid w:val="00880A0E"/>
    <w:rsid w:val="00886FAF"/>
    <w:rsid w:val="008901DC"/>
    <w:rsid w:val="008902B6"/>
    <w:rsid w:val="0089442B"/>
    <w:rsid w:val="008951EE"/>
    <w:rsid w:val="00895E1C"/>
    <w:rsid w:val="008973EA"/>
    <w:rsid w:val="008A089B"/>
    <w:rsid w:val="008A52F6"/>
    <w:rsid w:val="008B5595"/>
    <w:rsid w:val="008B7568"/>
    <w:rsid w:val="008C4BFE"/>
    <w:rsid w:val="008C6199"/>
    <w:rsid w:val="008C6C4B"/>
    <w:rsid w:val="008D320B"/>
    <w:rsid w:val="008D5069"/>
    <w:rsid w:val="008E1A31"/>
    <w:rsid w:val="008E7B4F"/>
    <w:rsid w:val="008F1345"/>
    <w:rsid w:val="008F1753"/>
    <w:rsid w:val="008F2E75"/>
    <w:rsid w:val="008F3139"/>
    <w:rsid w:val="00901832"/>
    <w:rsid w:val="009018D3"/>
    <w:rsid w:val="00902DD1"/>
    <w:rsid w:val="009033B2"/>
    <w:rsid w:val="0091135C"/>
    <w:rsid w:val="00924230"/>
    <w:rsid w:val="009332BB"/>
    <w:rsid w:val="00946EE1"/>
    <w:rsid w:val="009511EF"/>
    <w:rsid w:val="00952615"/>
    <w:rsid w:val="00956AEE"/>
    <w:rsid w:val="00956E11"/>
    <w:rsid w:val="00962EF8"/>
    <w:rsid w:val="00964AC1"/>
    <w:rsid w:val="00971DBE"/>
    <w:rsid w:val="00973608"/>
    <w:rsid w:val="0098266C"/>
    <w:rsid w:val="00982E26"/>
    <w:rsid w:val="00984F30"/>
    <w:rsid w:val="00985D02"/>
    <w:rsid w:val="00987D05"/>
    <w:rsid w:val="009903A7"/>
    <w:rsid w:val="009908A6"/>
    <w:rsid w:val="009913A4"/>
    <w:rsid w:val="009968C5"/>
    <w:rsid w:val="0099762A"/>
    <w:rsid w:val="009A15DE"/>
    <w:rsid w:val="009A3C48"/>
    <w:rsid w:val="009B57EC"/>
    <w:rsid w:val="009B7987"/>
    <w:rsid w:val="009C486B"/>
    <w:rsid w:val="009C526A"/>
    <w:rsid w:val="009C6D32"/>
    <w:rsid w:val="009C7593"/>
    <w:rsid w:val="009D0CA7"/>
    <w:rsid w:val="009D1145"/>
    <w:rsid w:val="009D24F6"/>
    <w:rsid w:val="009D2711"/>
    <w:rsid w:val="009D2E5C"/>
    <w:rsid w:val="009D32DE"/>
    <w:rsid w:val="009D6785"/>
    <w:rsid w:val="009E03D9"/>
    <w:rsid w:val="009E3803"/>
    <w:rsid w:val="009E4942"/>
    <w:rsid w:val="00A0030B"/>
    <w:rsid w:val="00A0053D"/>
    <w:rsid w:val="00A020BF"/>
    <w:rsid w:val="00A04100"/>
    <w:rsid w:val="00A05ABE"/>
    <w:rsid w:val="00A06101"/>
    <w:rsid w:val="00A12820"/>
    <w:rsid w:val="00A12B8A"/>
    <w:rsid w:val="00A13885"/>
    <w:rsid w:val="00A142DE"/>
    <w:rsid w:val="00A149CC"/>
    <w:rsid w:val="00A2018E"/>
    <w:rsid w:val="00A23E3B"/>
    <w:rsid w:val="00A257FB"/>
    <w:rsid w:val="00A26EC9"/>
    <w:rsid w:val="00A364E3"/>
    <w:rsid w:val="00A3692A"/>
    <w:rsid w:val="00A36981"/>
    <w:rsid w:val="00A36C14"/>
    <w:rsid w:val="00A47F4A"/>
    <w:rsid w:val="00A56648"/>
    <w:rsid w:val="00A615FD"/>
    <w:rsid w:val="00A71485"/>
    <w:rsid w:val="00A7669B"/>
    <w:rsid w:val="00A8179F"/>
    <w:rsid w:val="00A831EB"/>
    <w:rsid w:val="00A87C33"/>
    <w:rsid w:val="00A915CF"/>
    <w:rsid w:val="00A92277"/>
    <w:rsid w:val="00AA398A"/>
    <w:rsid w:val="00AA5F63"/>
    <w:rsid w:val="00AA747F"/>
    <w:rsid w:val="00AA7B37"/>
    <w:rsid w:val="00AB1E35"/>
    <w:rsid w:val="00AB55BF"/>
    <w:rsid w:val="00AB5CCF"/>
    <w:rsid w:val="00AB5D7A"/>
    <w:rsid w:val="00AC0873"/>
    <w:rsid w:val="00AC6F77"/>
    <w:rsid w:val="00AD6D09"/>
    <w:rsid w:val="00AD70AB"/>
    <w:rsid w:val="00AE52F3"/>
    <w:rsid w:val="00AE5E98"/>
    <w:rsid w:val="00AF226F"/>
    <w:rsid w:val="00AF2DC1"/>
    <w:rsid w:val="00B01794"/>
    <w:rsid w:val="00B02299"/>
    <w:rsid w:val="00B20473"/>
    <w:rsid w:val="00B22D6C"/>
    <w:rsid w:val="00B27B1A"/>
    <w:rsid w:val="00B30EE0"/>
    <w:rsid w:val="00B33112"/>
    <w:rsid w:val="00B33838"/>
    <w:rsid w:val="00B51CB7"/>
    <w:rsid w:val="00B5553E"/>
    <w:rsid w:val="00B577C2"/>
    <w:rsid w:val="00B62431"/>
    <w:rsid w:val="00B636F8"/>
    <w:rsid w:val="00B64170"/>
    <w:rsid w:val="00B64333"/>
    <w:rsid w:val="00B74FC9"/>
    <w:rsid w:val="00B75C80"/>
    <w:rsid w:val="00B8485A"/>
    <w:rsid w:val="00B869EF"/>
    <w:rsid w:val="00B87123"/>
    <w:rsid w:val="00B908CE"/>
    <w:rsid w:val="00B93363"/>
    <w:rsid w:val="00B9370D"/>
    <w:rsid w:val="00B96B64"/>
    <w:rsid w:val="00BA0794"/>
    <w:rsid w:val="00BA5541"/>
    <w:rsid w:val="00BC0939"/>
    <w:rsid w:val="00BC096D"/>
    <w:rsid w:val="00BC129A"/>
    <w:rsid w:val="00BC58E4"/>
    <w:rsid w:val="00BC767A"/>
    <w:rsid w:val="00BD01C6"/>
    <w:rsid w:val="00BD17E2"/>
    <w:rsid w:val="00BD2505"/>
    <w:rsid w:val="00BD35C9"/>
    <w:rsid w:val="00BD53D5"/>
    <w:rsid w:val="00BE20BC"/>
    <w:rsid w:val="00BE3085"/>
    <w:rsid w:val="00BE5C47"/>
    <w:rsid w:val="00BE6AA5"/>
    <w:rsid w:val="00BE70DA"/>
    <w:rsid w:val="00BF502E"/>
    <w:rsid w:val="00BF5056"/>
    <w:rsid w:val="00BF7748"/>
    <w:rsid w:val="00C04958"/>
    <w:rsid w:val="00C1020D"/>
    <w:rsid w:val="00C12A3A"/>
    <w:rsid w:val="00C142A9"/>
    <w:rsid w:val="00C1636A"/>
    <w:rsid w:val="00C23D2A"/>
    <w:rsid w:val="00C23D69"/>
    <w:rsid w:val="00C25D64"/>
    <w:rsid w:val="00C30EEA"/>
    <w:rsid w:val="00C33D5C"/>
    <w:rsid w:val="00C41503"/>
    <w:rsid w:val="00C45C19"/>
    <w:rsid w:val="00C5542F"/>
    <w:rsid w:val="00C62CC2"/>
    <w:rsid w:val="00C711FF"/>
    <w:rsid w:val="00C74EE0"/>
    <w:rsid w:val="00C769D6"/>
    <w:rsid w:val="00C83A13"/>
    <w:rsid w:val="00C852CF"/>
    <w:rsid w:val="00C85ED9"/>
    <w:rsid w:val="00C90EFA"/>
    <w:rsid w:val="00C94DA6"/>
    <w:rsid w:val="00C95787"/>
    <w:rsid w:val="00C95BB9"/>
    <w:rsid w:val="00CA5D39"/>
    <w:rsid w:val="00CB7D30"/>
    <w:rsid w:val="00CB7ECB"/>
    <w:rsid w:val="00CC12FC"/>
    <w:rsid w:val="00CC335F"/>
    <w:rsid w:val="00CC4F6B"/>
    <w:rsid w:val="00CD699C"/>
    <w:rsid w:val="00CE1FA3"/>
    <w:rsid w:val="00CE49DA"/>
    <w:rsid w:val="00CE7812"/>
    <w:rsid w:val="00CF5F93"/>
    <w:rsid w:val="00D00B70"/>
    <w:rsid w:val="00D07919"/>
    <w:rsid w:val="00D10412"/>
    <w:rsid w:val="00D14B9D"/>
    <w:rsid w:val="00D22B0D"/>
    <w:rsid w:val="00D22D05"/>
    <w:rsid w:val="00D2341C"/>
    <w:rsid w:val="00D267F2"/>
    <w:rsid w:val="00D269DD"/>
    <w:rsid w:val="00D33432"/>
    <w:rsid w:val="00D35117"/>
    <w:rsid w:val="00D3624D"/>
    <w:rsid w:val="00D41FF1"/>
    <w:rsid w:val="00D54548"/>
    <w:rsid w:val="00D57988"/>
    <w:rsid w:val="00D6265C"/>
    <w:rsid w:val="00D64ED0"/>
    <w:rsid w:val="00D66742"/>
    <w:rsid w:val="00D71501"/>
    <w:rsid w:val="00D720D1"/>
    <w:rsid w:val="00D728BD"/>
    <w:rsid w:val="00D72C77"/>
    <w:rsid w:val="00D7697C"/>
    <w:rsid w:val="00D77A37"/>
    <w:rsid w:val="00D87D59"/>
    <w:rsid w:val="00D91E99"/>
    <w:rsid w:val="00D92819"/>
    <w:rsid w:val="00DA00DF"/>
    <w:rsid w:val="00DA0D09"/>
    <w:rsid w:val="00DA1A36"/>
    <w:rsid w:val="00DA3AFE"/>
    <w:rsid w:val="00DA64D5"/>
    <w:rsid w:val="00DA7766"/>
    <w:rsid w:val="00DB023B"/>
    <w:rsid w:val="00DB0DB4"/>
    <w:rsid w:val="00DB546D"/>
    <w:rsid w:val="00DB686D"/>
    <w:rsid w:val="00DB6C83"/>
    <w:rsid w:val="00DC7D90"/>
    <w:rsid w:val="00DD261B"/>
    <w:rsid w:val="00DD6789"/>
    <w:rsid w:val="00DE1074"/>
    <w:rsid w:val="00DE3B78"/>
    <w:rsid w:val="00DE423C"/>
    <w:rsid w:val="00DF0D60"/>
    <w:rsid w:val="00E002D1"/>
    <w:rsid w:val="00E00BE1"/>
    <w:rsid w:val="00E0268F"/>
    <w:rsid w:val="00E04EF7"/>
    <w:rsid w:val="00E1106E"/>
    <w:rsid w:val="00E1253A"/>
    <w:rsid w:val="00E249DD"/>
    <w:rsid w:val="00E27AD1"/>
    <w:rsid w:val="00E32F08"/>
    <w:rsid w:val="00E337F0"/>
    <w:rsid w:val="00E415AC"/>
    <w:rsid w:val="00E451AB"/>
    <w:rsid w:val="00E454A0"/>
    <w:rsid w:val="00E523DE"/>
    <w:rsid w:val="00E57726"/>
    <w:rsid w:val="00E61B36"/>
    <w:rsid w:val="00E63FD9"/>
    <w:rsid w:val="00E81128"/>
    <w:rsid w:val="00E8206A"/>
    <w:rsid w:val="00E91195"/>
    <w:rsid w:val="00E9139B"/>
    <w:rsid w:val="00E94985"/>
    <w:rsid w:val="00E94BBE"/>
    <w:rsid w:val="00EA0EF7"/>
    <w:rsid w:val="00EA41CB"/>
    <w:rsid w:val="00EB685C"/>
    <w:rsid w:val="00EC444B"/>
    <w:rsid w:val="00ED68EB"/>
    <w:rsid w:val="00EE1E52"/>
    <w:rsid w:val="00EE41EE"/>
    <w:rsid w:val="00EF02AE"/>
    <w:rsid w:val="00EF2F86"/>
    <w:rsid w:val="00F00713"/>
    <w:rsid w:val="00F035D3"/>
    <w:rsid w:val="00F05704"/>
    <w:rsid w:val="00F0773F"/>
    <w:rsid w:val="00F07A35"/>
    <w:rsid w:val="00F11F1C"/>
    <w:rsid w:val="00F13A68"/>
    <w:rsid w:val="00F17457"/>
    <w:rsid w:val="00F17617"/>
    <w:rsid w:val="00F20777"/>
    <w:rsid w:val="00F22E3F"/>
    <w:rsid w:val="00F238EE"/>
    <w:rsid w:val="00F27BE9"/>
    <w:rsid w:val="00F27C00"/>
    <w:rsid w:val="00F34C3C"/>
    <w:rsid w:val="00F36564"/>
    <w:rsid w:val="00F36707"/>
    <w:rsid w:val="00F36AAE"/>
    <w:rsid w:val="00F37277"/>
    <w:rsid w:val="00F41482"/>
    <w:rsid w:val="00F431CE"/>
    <w:rsid w:val="00F43993"/>
    <w:rsid w:val="00F46846"/>
    <w:rsid w:val="00F50FA8"/>
    <w:rsid w:val="00F51A38"/>
    <w:rsid w:val="00F56043"/>
    <w:rsid w:val="00F560D1"/>
    <w:rsid w:val="00F5714C"/>
    <w:rsid w:val="00F6684E"/>
    <w:rsid w:val="00F70813"/>
    <w:rsid w:val="00F70B36"/>
    <w:rsid w:val="00F723E3"/>
    <w:rsid w:val="00F761EC"/>
    <w:rsid w:val="00F827F4"/>
    <w:rsid w:val="00F83068"/>
    <w:rsid w:val="00F83136"/>
    <w:rsid w:val="00F917B1"/>
    <w:rsid w:val="00F9198A"/>
    <w:rsid w:val="00F931E9"/>
    <w:rsid w:val="00F9623C"/>
    <w:rsid w:val="00F96CFF"/>
    <w:rsid w:val="00FA49DF"/>
    <w:rsid w:val="00FA6DE8"/>
    <w:rsid w:val="00FB0B10"/>
    <w:rsid w:val="00FB3F1C"/>
    <w:rsid w:val="00FB41AB"/>
    <w:rsid w:val="00FB5ED4"/>
    <w:rsid w:val="00FB6516"/>
    <w:rsid w:val="00FB7AA8"/>
    <w:rsid w:val="00FC142A"/>
    <w:rsid w:val="00FC411A"/>
    <w:rsid w:val="00FC5D67"/>
    <w:rsid w:val="00FC7BEC"/>
    <w:rsid w:val="00FD1116"/>
    <w:rsid w:val="00FD7640"/>
    <w:rsid w:val="00FE3392"/>
    <w:rsid w:val="00FE6166"/>
    <w:rsid w:val="00FE7B35"/>
    <w:rsid w:val="00FF03FE"/>
    <w:rsid w:val="00FF6007"/>
    <w:rsid w:val="00FF6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97A8B"/>
  <w15:docId w15:val="{4DB9D148-A026-482E-B167-E1B46C42A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2"/>
        <w:szCs w:val="22"/>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uiPriority w:val="9"/>
    <w:unhideWhenUsed/>
    <w:qFormat/>
    <w:rsid w:val="00D67653"/>
    <w:pPr>
      <w:keepNext/>
      <w:keepLines/>
      <w:numPr>
        <w:ilvl w:val="0"/>
        <w:numId w:val="6"/>
      </w:numPr>
      <w:spacing w:before="0"/>
      <w:ind w:left="426"/>
      <w:outlineLvl w:val="1"/>
    </w:pPr>
    <w:rPr>
      <w:b/>
    </w:rPr>
  </w:style>
  <w:style w:type="paragraph" w:styleId="Heading3">
    <w:name w:val="heading 3"/>
    <w:basedOn w:val="Normal"/>
    <w:next w:val="Normal"/>
    <w:uiPriority w:val="9"/>
    <w:unhideWhenUsed/>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Times New Roman" w:hAnsi="Times New Roman"/>
      <w:b/>
      <w:bCs/>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Authors"/>
    <w:uiPriority w:val="10"/>
    <w:qFormat/>
    <w:pPr>
      <w:spacing w:before="1588" w:after="567"/>
    </w:pPr>
    <w:rPr>
      <w:b/>
      <w:sz w:val="34"/>
      <w:szCs w:val="34"/>
    </w:rPr>
  </w:style>
  <w:style w:type="paragraph" w:customStyle="1" w:styleId="Subsubsection">
    <w:name w:val="Subsubsection"/>
    <w:next w:val="Bodytext"/>
    <w:link w:val="SubsubsectionChar"/>
    <w:pPr>
      <w:numPr>
        <w:ilvl w:val="2"/>
        <w:numId w:val="3"/>
      </w:numPr>
      <w:spacing w:before="240"/>
      <w:ind w:firstLine="0"/>
    </w:pPr>
    <w:rPr>
      <w:i/>
      <w:iCs/>
      <w:color w:val="000000"/>
      <w:lang w:eastAsia="en-US"/>
    </w:rPr>
  </w:style>
  <w:style w:type="paragraph" w:customStyle="1" w:styleId="Bodytext">
    <w:name w:val="Bodytext"/>
    <w:next w:val="BodytextIndented"/>
    <w:pPr>
      <w:jc w:val="both"/>
    </w:pPr>
    <w:rPr>
      <w:iCs/>
      <w:color w:val="000000"/>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b/>
      <w:iCs/>
      <w:color w:val="000000"/>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color w:val="000000"/>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iCs/>
      <w:color w:val="000000"/>
      <w:lang w:eastAsia="en-US"/>
    </w:rPr>
  </w:style>
  <w:style w:type="paragraph" w:customStyle="1" w:styleId="E-mail">
    <w:name w:val="E-mail"/>
    <w:next w:val="Abstract"/>
    <w:pPr>
      <w:spacing w:after="240"/>
      <w:ind w:left="1418"/>
    </w:pPr>
    <w:rPr>
      <w:noProof/>
      <w:lang w:val="en-US" w:eastAsia="en-US"/>
    </w:rPr>
  </w:style>
  <w:style w:type="paragraph" w:customStyle="1" w:styleId="Abstract">
    <w:name w:val="Abstract"/>
    <w:next w:val="Section"/>
    <w:pPr>
      <w:spacing w:after="454"/>
      <w:ind w:left="1418"/>
      <w:jc w:val="both"/>
    </w:pPr>
    <w:rPr>
      <w:color w:val="000000"/>
      <w:lang w:eastAsia="en-US"/>
    </w:rPr>
  </w:style>
  <w:style w:type="paragraph" w:customStyle="1" w:styleId="Sectionnonumber">
    <w:name w:val="Section (no number)"/>
    <w:next w:val="Bodytext"/>
    <w:pPr>
      <w:spacing w:before="240"/>
    </w:pPr>
    <w:rPr>
      <w:b/>
      <w:iCs/>
      <w:color w:val="000000"/>
      <w:lang w:val="en-US" w:eastAsia="en-US"/>
    </w:rPr>
  </w:style>
  <w:style w:type="character" w:styleId="PageNumber">
    <w:name w:val="page number"/>
    <w:basedOn w:val="DefaultParagraphFont"/>
    <w:semiHidden/>
  </w:style>
  <w:style w:type="paragraph" w:customStyle="1" w:styleId="Authors">
    <w:name w:val="Authors"/>
    <w:next w:val="Addresses"/>
    <w:pPr>
      <w:spacing w:after="113"/>
      <w:ind w:left="1418"/>
    </w:pPr>
    <w:rPr>
      <w:b/>
      <w:lang w:eastAsia="en-US"/>
    </w:rPr>
  </w:style>
  <w:style w:type="paragraph" w:customStyle="1" w:styleId="Addresses">
    <w:name w:val="Addresses"/>
    <w:next w:val="E-mail"/>
    <w:pPr>
      <w:spacing w:after="240"/>
      <w:ind w:left="1418"/>
    </w:pPr>
    <w:rPr>
      <w:lang w:eastAsia="en-US"/>
    </w:rPr>
  </w:style>
  <w:style w:type="paragraph" w:customStyle="1" w:styleId="FigureCaption">
    <w:name w:val="FigureCaption"/>
    <w:pPr>
      <w:spacing w:before="170"/>
      <w:ind w:left="28"/>
      <w:jc w:val="center"/>
    </w:pPr>
    <w:rPr>
      <w:color w:val="000000"/>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left" w:pos="567"/>
      </w:tabs>
      <w:ind w:left="851" w:hanging="851"/>
      <w:jc w:val="both"/>
    </w:pPr>
    <w:rPr>
      <w:iCs/>
      <w:noProof/>
      <w:color w:val="000000"/>
      <w:lang w:eastAsia="en-US"/>
    </w:rPr>
  </w:style>
  <w:style w:type="paragraph" w:customStyle="1" w:styleId="wfxFaxNum">
    <w:name w:val="wfxFaxNum"/>
    <w:basedOn w:val="Normal"/>
    <w:semiHidden/>
    <w:rsid w:val="00694777"/>
    <w:rPr>
      <w:rFonts w:ascii="Sabon" w:hAnsi="Sabon"/>
    </w:rPr>
  </w:style>
  <w:style w:type="paragraph" w:customStyle="1" w:styleId="Default">
    <w:name w:val="Default"/>
    <w:rsid w:val="00694777"/>
    <w:pPr>
      <w:autoSpaceDE w:val="0"/>
      <w:autoSpaceDN w:val="0"/>
      <w:adjustRightInd w:val="0"/>
    </w:pPr>
    <w:rPr>
      <w:rFonts w:eastAsiaTheme="minorHAnsi"/>
      <w:color w:val="000000"/>
      <w:sz w:val="24"/>
      <w:szCs w:val="24"/>
      <w:lang w:val="id-ID" w:eastAsia="en-US"/>
    </w:rPr>
  </w:style>
  <w:style w:type="paragraph" w:styleId="ListParagraph">
    <w:name w:val="List Paragraph"/>
    <w:aliases w:val="Body of text,List Paragraph1"/>
    <w:basedOn w:val="Normal"/>
    <w:link w:val="ListParagraphChar"/>
    <w:uiPriority w:val="34"/>
    <w:qFormat/>
    <w:rsid w:val="00694777"/>
    <w:pPr>
      <w:spacing w:after="160" w:line="259" w:lineRule="auto"/>
      <w:ind w:left="720"/>
      <w:contextualSpacing/>
    </w:pPr>
    <w:rPr>
      <w:rFonts w:asciiTheme="minorHAnsi" w:eastAsiaTheme="minorEastAsia" w:hAnsiTheme="minorHAnsi" w:cstheme="minorBidi"/>
      <w:lang w:val="id-ID" w:eastAsia="ja-JP"/>
    </w:rPr>
  </w:style>
  <w:style w:type="character" w:customStyle="1" w:styleId="Heading4Char">
    <w:name w:val="Heading 4 Char"/>
    <w:basedOn w:val="DefaultParagraphFont"/>
    <w:link w:val="Heading4"/>
    <w:rsid w:val="00694777"/>
    <w:rPr>
      <w:b/>
      <w:bCs/>
      <w:sz w:val="28"/>
      <w:szCs w:val="28"/>
      <w:lang w:eastAsia="en-US"/>
    </w:rPr>
  </w:style>
  <w:style w:type="table" w:styleId="TableGrid">
    <w:name w:val="Table Grid"/>
    <w:basedOn w:val="TableNormal"/>
    <w:uiPriority w:val="59"/>
    <w:rsid w:val="0069477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694777"/>
    <w:pPr>
      <w:spacing w:after="200"/>
    </w:pPr>
    <w:rPr>
      <w:rFonts w:asciiTheme="minorHAnsi" w:eastAsiaTheme="minorHAnsi" w:hAnsiTheme="minorHAnsi" w:cstheme="minorBidi"/>
      <w:i/>
      <w:iCs/>
      <w:color w:val="1F497D" w:themeColor="text2"/>
      <w:sz w:val="18"/>
      <w:szCs w:val="18"/>
      <w:lang w:val="id-ID"/>
    </w:rPr>
  </w:style>
  <w:style w:type="character" w:styleId="Hyperlink">
    <w:name w:val="Hyperlink"/>
    <w:basedOn w:val="DefaultParagraphFont"/>
    <w:uiPriority w:val="99"/>
    <w:unhideWhenUsed/>
    <w:rsid w:val="00694777"/>
    <w:rPr>
      <w:color w:val="0000FF" w:themeColor="hyperlink"/>
      <w:u w:val="single"/>
    </w:rPr>
  </w:style>
  <w:style w:type="paragraph" w:styleId="BalloonText">
    <w:name w:val="Balloon Text"/>
    <w:basedOn w:val="Normal"/>
    <w:link w:val="BalloonTextChar"/>
    <w:uiPriority w:val="99"/>
    <w:semiHidden/>
    <w:unhideWhenUsed/>
    <w:rsid w:val="00023954"/>
    <w:rPr>
      <w:rFonts w:ascii="Tahoma" w:hAnsi="Tahoma" w:cs="Tahoma"/>
      <w:sz w:val="16"/>
      <w:szCs w:val="16"/>
    </w:rPr>
  </w:style>
  <w:style w:type="character" w:customStyle="1" w:styleId="BalloonTextChar">
    <w:name w:val="Balloon Text Char"/>
    <w:basedOn w:val="DefaultParagraphFont"/>
    <w:link w:val="BalloonText"/>
    <w:uiPriority w:val="99"/>
    <w:semiHidden/>
    <w:rsid w:val="00023954"/>
    <w:rPr>
      <w:rFonts w:ascii="Tahoma" w:hAnsi="Tahoma" w:cs="Tahoma"/>
      <w:sz w:val="16"/>
      <w:szCs w:val="16"/>
      <w:lang w:eastAsia="en-US"/>
    </w:rPr>
  </w:style>
  <w:style w:type="character" w:styleId="CommentReference">
    <w:name w:val="annotation reference"/>
    <w:basedOn w:val="DefaultParagraphFont"/>
    <w:uiPriority w:val="99"/>
    <w:semiHidden/>
    <w:unhideWhenUsed/>
    <w:rsid w:val="009D764F"/>
    <w:rPr>
      <w:sz w:val="16"/>
      <w:szCs w:val="16"/>
    </w:rPr>
  </w:style>
  <w:style w:type="paragraph" w:styleId="CommentText">
    <w:name w:val="annotation text"/>
    <w:basedOn w:val="Normal"/>
    <w:link w:val="CommentTextChar"/>
    <w:uiPriority w:val="99"/>
    <w:semiHidden/>
    <w:unhideWhenUsed/>
    <w:rsid w:val="009D764F"/>
    <w:rPr>
      <w:sz w:val="20"/>
    </w:rPr>
  </w:style>
  <w:style w:type="character" w:customStyle="1" w:styleId="CommentTextChar">
    <w:name w:val="Comment Text Char"/>
    <w:basedOn w:val="DefaultParagraphFont"/>
    <w:link w:val="CommentText"/>
    <w:uiPriority w:val="99"/>
    <w:semiHidden/>
    <w:rsid w:val="009D764F"/>
    <w:rPr>
      <w:rFonts w:ascii="Times" w:hAnsi="Times"/>
      <w:lang w:eastAsia="en-US"/>
    </w:rPr>
  </w:style>
  <w:style w:type="paragraph" w:styleId="CommentSubject">
    <w:name w:val="annotation subject"/>
    <w:basedOn w:val="CommentText"/>
    <w:next w:val="CommentText"/>
    <w:link w:val="CommentSubjectChar"/>
    <w:uiPriority w:val="99"/>
    <w:semiHidden/>
    <w:unhideWhenUsed/>
    <w:rsid w:val="009D764F"/>
    <w:rPr>
      <w:b/>
      <w:bCs/>
    </w:rPr>
  </w:style>
  <w:style w:type="character" w:customStyle="1" w:styleId="CommentSubjectChar">
    <w:name w:val="Comment Subject Char"/>
    <w:basedOn w:val="CommentTextChar"/>
    <w:link w:val="CommentSubject"/>
    <w:uiPriority w:val="99"/>
    <w:semiHidden/>
    <w:rsid w:val="009D764F"/>
    <w:rPr>
      <w:rFonts w:ascii="Times" w:hAnsi="Times"/>
      <w:b/>
      <w:bCs/>
      <w:lang w:eastAsia="en-US"/>
    </w:rPr>
  </w:style>
  <w:style w:type="character" w:customStyle="1" w:styleId="ListParagraphChar">
    <w:name w:val="List Paragraph Char"/>
    <w:aliases w:val="Body of text Char,List Paragraph1 Char"/>
    <w:link w:val="ListParagraph"/>
    <w:uiPriority w:val="34"/>
    <w:locked/>
    <w:rsid w:val="009B18C0"/>
    <w:rPr>
      <w:rFonts w:asciiTheme="minorHAnsi" w:eastAsiaTheme="minorEastAsia" w:hAnsiTheme="minorHAnsi" w:cstheme="minorBidi"/>
      <w:sz w:val="22"/>
      <w:szCs w:val="22"/>
      <w:lang w:val="id-ID" w:eastAsia="ja-JP"/>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rPr>
    <w:tblPr>
      <w:tblStyleRowBandSize w:val="1"/>
      <w:tblStyleColBandSize w:val="1"/>
    </w:tblPr>
  </w:style>
  <w:style w:type="table" w:customStyle="1" w:styleId="a0">
    <w:basedOn w:val="TableNormal"/>
    <w:rPr>
      <w:rFonts w:ascii="Calibri" w:eastAsia="Calibri" w:hAnsi="Calibri" w:cs="Calibri"/>
    </w:rPr>
    <w:tblPr>
      <w:tblStyleRowBandSize w:val="1"/>
      <w:tblStyleColBandSize w:val="1"/>
    </w:tblPr>
  </w:style>
  <w:style w:type="table" w:customStyle="1" w:styleId="a1">
    <w:basedOn w:val="TableNormal"/>
    <w:rPr>
      <w:rFonts w:ascii="Calibri" w:eastAsia="Calibri" w:hAnsi="Calibri" w:cs="Calibri"/>
    </w:rPr>
    <w:tblPr>
      <w:tblStyleRowBandSize w:val="1"/>
      <w:tblStyleColBandSize w:val="1"/>
    </w:tblPr>
  </w:style>
  <w:style w:type="table" w:customStyle="1" w:styleId="a2">
    <w:basedOn w:val="TableNormal"/>
    <w:rPr>
      <w:rFonts w:ascii="Calibri" w:eastAsia="Calibri" w:hAnsi="Calibri" w:cs="Calibri"/>
    </w:rPr>
    <w:tblPr>
      <w:tblStyleRowBandSize w:val="1"/>
      <w:tblStyleColBandSize w:val="1"/>
    </w:tblPr>
  </w:style>
  <w:style w:type="table" w:customStyle="1" w:styleId="a3">
    <w:basedOn w:val="TableNormal"/>
    <w:rPr>
      <w:rFonts w:ascii="Calibri" w:eastAsia="Calibri" w:hAnsi="Calibri" w:cs="Calibri"/>
    </w:rPr>
    <w:tblPr>
      <w:tblStyleRowBandSize w:val="1"/>
      <w:tblStyleColBandSize w:val="1"/>
    </w:tblPr>
  </w:style>
  <w:style w:type="character" w:customStyle="1" w:styleId="UnresolvedMention1">
    <w:name w:val="Unresolved Mention1"/>
    <w:basedOn w:val="DefaultParagraphFont"/>
    <w:uiPriority w:val="99"/>
    <w:semiHidden/>
    <w:unhideWhenUsed/>
    <w:rsid w:val="00DE3B78"/>
    <w:rPr>
      <w:color w:val="605E5C"/>
      <w:shd w:val="clear" w:color="auto" w:fill="E1DFDD"/>
    </w:rPr>
  </w:style>
  <w:style w:type="character" w:styleId="UnresolvedMention">
    <w:name w:val="Unresolved Mention"/>
    <w:basedOn w:val="DefaultParagraphFont"/>
    <w:uiPriority w:val="99"/>
    <w:semiHidden/>
    <w:unhideWhenUsed/>
    <w:rsid w:val="006F7F2B"/>
    <w:rPr>
      <w:color w:val="605E5C"/>
      <w:shd w:val="clear" w:color="auto" w:fill="E1DFDD"/>
    </w:rPr>
  </w:style>
  <w:style w:type="character" w:customStyle="1" w:styleId="i0jnr">
    <w:name w:val="i0jnr"/>
    <w:basedOn w:val="DefaultParagraphFont"/>
    <w:rsid w:val="00BE6AA5"/>
  </w:style>
  <w:style w:type="character" w:customStyle="1" w:styleId="korb">
    <w:name w:val="korb_"/>
    <w:basedOn w:val="DefaultParagraphFont"/>
    <w:rsid w:val="00BE6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448729">
      <w:bodyDiv w:val="1"/>
      <w:marLeft w:val="0"/>
      <w:marRight w:val="0"/>
      <w:marTop w:val="0"/>
      <w:marBottom w:val="0"/>
      <w:divBdr>
        <w:top w:val="none" w:sz="0" w:space="0" w:color="auto"/>
        <w:left w:val="none" w:sz="0" w:space="0" w:color="auto"/>
        <w:bottom w:val="none" w:sz="0" w:space="0" w:color="auto"/>
        <w:right w:val="none" w:sz="0" w:space="0" w:color="auto"/>
      </w:divBdr>
      <w:divsChild>
        <w:div w:id="57558202">
          <w:marLeft w:val="0"/>
          <w:marRight w:val="0"/>
          <w:marTop w:val="0"/>
          <w:marBottom w:val="0"/>
          <w:divBdr>
            <w:top w:val="none" w:sz="0" w:space="0" w:color="auto"/>
            <w:left w:val="none" w:sz="0" w:space="0" w:color="auto"/>
            <w:bottom w:val="none" w:sz="0" w:space="0" w:color="auto"/>
            <w:right w:val="none" w:sz="0" w:space="0" w:color="auto"/>
          </w:divBdr>
          <w:divsChild>
            <w:div w:id="210711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98550">
      <w:bodyDiv w:val="1"/>
      <w:marLeft w:val="0"/>
      <w:marRight w:val="0"/>
      <w:marTop w:val="0"/>
      <w:marBottom w:val="0"/>
      <w:divBdr>
        <w:top w:val="none" w:sz="0" w:space="0" w:color="auto"/>
        <w:left w:val="none" w:sz="0" w:space="0" w:color="auto"/>
        <w:bottom w:val="none" w:sz="0" w:space="0" w:color="auto"/>
        <w:right w:val="none" w:sz="0" w:space="0" w:color="auto"/>
      </w:divBdr>
      <w:divsChild>
        <w:div w:id="1700164332">
          <w:marLeft w:val="0"/>
          <w:marRight w:val="0"/>
          <w:marTop w:val="0"/>
          <w:marBottom w:val="0"/>
          <w:divBdr>
            <w:top w:val="none" w:sz="0" w:space="0" w:color="auto"/>
            <w:left w:val="none" w:sz="0" w:space="0" w:color="auto"/>
            <w:bottom w:val="none" w:sz="0" w:space="0" w:color="auto"/>
            <w:right w:val="none" w:sz="0" w:space="0" w:color="auto"/>
          </w:divBdr>
          <w:divsChild>
            <w:div w:id="1965961626">
              <w:marLeft w:val="0"/>
              <w:marRight w:val="0"/>
              <w:marTop w:val="0"/>
              <w:marBottom w:val="0"/>
              <w:divBdr>
                <w:top w:val="none" w:sz="0" w:space="0" w:color="auto"/>
                <w:left w:val="none" w:sz="0" w:space="0" w:color="auto"/>
                <w:bottom w:val="none" w:sz="0" w:space="0" w:color="auto"/>
                <w:right w:val="none" w:sz="0" w:space="0" w:color="auto"/>
              </w:divBdr>
              <w:divsChild>
                <w:div w:id="1180923442">
                  <w:marLeft w:val="0"/>
                  <w:marRight w:val="0"/>
                  <w:marTop w:val="0"/>
                  <w:marBottom w:val="0"/>
                  <w:divBdr>
                    <w:top w:val="none" w:sz="0" w:space="0" w:color="auto"/>
                    <w:left w:val="none" w:sz="0" w:space="0" w:color="auto"/>
                    <w:bottom w:val="none" w:sz="0" w:space="0" w:color="auto"/>
                    <w:right w:val="none" w:sz="0" w:space="0" w:color="auto"/>
                  </w:divBdr>
                  <w:divsChild>
                    <w:div w:id="1796676802">
                      <w:marLeft w:val="0"/>
                      <w:marRight w:val="0"/>
                      <w:marTop w:val="0"/>
                      <w:marBottom w:val="0"/>
                      <w:divBdr>
                        <w:top w:val="none" w:sz="0" w:space="0" w:color="auto"/>
                        <w:left w:val="none" w:sz="0" w:space="0" w:color="auto"/>
                        <w:bottom w:val="none" w:sz="0" w:space="0" w:color="auto"/>
                        <w:right w:val="none" w:sz="0" w:space="0" w:color="auto"/>
                      </w:divBdr>
                      <w:divsChild>
                        <w:div w:id="80682244">
                          <w:marLeft w:val="0"/>
                          <w:marRight w:val="0"/>
                          <w:marTop w:val="0"/>
                          <w:marBottom w:val="0"/>
                          <w:divBdr>
                            <w:top w:val="none" w:sz="0" w:space="0" w:color="auto"/>
                            <w:left w:val="none" w:sz="0" w:space="0" w:color="auto"/>
                            <w:bottom w:val="none" w:sz="0" w:space="0" w:color="auto"/>
                            <w:right w:val="none" w:sz="0" w:space="0" w:color="auto"/>
                          </w:divBdr>
                          <w:divsChild>
                            <w:div w:id="664864742">
                              <w:marLeft w:val="0"/>
                              <w:marRight w:val="0"/>
                              <w:marTop w:val="0"/>
                              <w:marBottom w:val="0"/>
                              <w:divBdr>
                                <w:top w:val="none" w:sz="0" w:space="0" w:color="auto"/>
                                <w:left w:val="none" w:sz="0" w:space="0" w:color="auto"/>
                                <w:bottom w:val="none" w:sz="0" w:space="0" w:color="auto"/>
                                <w:right w:val="none" w:sz="0" w:space="0" w:color="auto"/>
                              </w:divBdr>
                            </w:div>
                          </w:divsChild>
                        </w:div>
                        <w:div w:id="802888402">
                          <w:marLeft w:val="0"/>
                          <w:marRight w:val="0"/>
                          <w:marTop w:val="0"/>
                          <w:marBottom w:val="0"/>
                          <w:divBdr>
                            <w:top w:val="none" w:sz="0" w:space="0" w:color="auto"/>
                            <w:left w:val="none" w:sz="0" w:space="0" w:color="auto"/>
                            <w:bottom w:val="none" w:sz="0" w:space="0" w:color="auto"/>
                            <w:right w:val="none" w:sz="0" w:space="0" w:color="auto"/>
                          </w:divBdr>
                          <w:divsChild>
                            <w:div w:id="100724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142319">
          <w:marLeft w:val="0"/>
          <w:marRight w:val="0"/>
          <w:marTop w:val="0"/>
          <w:marBottom w:val="0"/>
          <w:divBdr>
            <w:top w:val="none" w:sz="0" w:space="0" w:color="auto"/>
            <w:left w:val="none" w:sz="0" w:space="0" w:color="auto"/>
            <w:bottom w:val="none" w:sz="0" w:space="0" w:color="auto"/>
            <w:right w:val="none" w:sz="0" w:space="0" w:color="auto"/>
          </w:divBdr>
          <w:divsChild>
            <w:div w:id="1255243092">
              <w:marLeft w:val="0"/>
              <w:marRight w:val="0"/>
              <w:marTop w:val="0"/>
              <w:marBottom w:val="0"/>
              <w:divBdr>
                <w:top w:val="none" w:sz="0" w:space="0" w:color="auto"/>
                <w:left w:val="none" w:sz="0" w:space="0" w:color="auto"/>
                <w:bottom w:val="none" w:sz="0" w:space="0" w:color="auto"/>
                <w:right w:val="none" w:sz="0" w:space="0" w:color="auto"/>
              </w:divBdr>
              <w:divsChild>
                <w:div w:id="1658803948">
                  <w:marLeft w:val="0"/>
                  <w:marRight w:val="0"/>
                  <w:marTop w:val="0"/>
                  <w:marBottom w:val="0"/>
                  <w:divBdr>
                    <w:top w:val="none" w:sz="0" w:space="0" w:color="auto"/>
                    <w:left w:val="none" w:sz="0" w:space="0" w:color="auto"/>
                    <w:bottom w:val="none" w:sz="0" w:space="0" w:color="auto"/>
                    <w:right w:val="none" w:sz="0" w:space="0" w:color="auto"/>
                  </w:divBdr>
                  <w:divsChild>
                    <w:div w:id="1501047857">
                      <w:marLeft w:val="0"/>
                      <w:marRight w:val="0"/>
                      <w:marTop w:val="0"/>
                      <w:marBottom w:val="0"/>
                      <w:divBdr>
                        <w:top w:val="none" w:sz="0" w:space="0" w:color="auto"/>
                        <w:left w:val="none" w:sz="0" w:space="0" w:color="auto"/>
                        <w:bottom w:val="none" w:sz="0" w:space="0" w:color="auto"/>
                        <w:right w:val="none" w:sz="0" w:space="0" w:color="auto"/>
                      </w:divBdr>
                      <w:divsChild>
                        <w:div w:id="1262570974">
                          <w:marLeft w:val="0"/>
                          <w:marRight w:val="0"/>
                          <w:marTop w:val="0"/>
                          <w:marBottom w:val="0"/>
                          <w:divBdr>
                            <w:top w:val="none" w:sz="0" w:space="0" w:color="auto"/>
                            <w:left w:val="none" w:sz="0" w:space="0" w:color="auto"/>
                            <w:bottom w:val="none" w:sz="0" w:space="0" w:color="auto"/>
                            <w:right w:val="none" w:sz="0" w:space="0" w:color="auto"/>
                          </w:divBdr>
                          <w:divsChild>
                            <w:div w:id="368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G:\Shared%20drives\DIAN%20ARISTA\CONFERENCE\2021%20iictvt\APLIKASI%20FUNGSI%20LINEAR.mp4"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D:\UNY%20Andian\Gakkai%20Andian\2021%20ictvt\data%20penelitia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UNY%20Andian\Gakkai%20Andian\2021%20ictvt\data%20penelitia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UNY%20Andian\Gakkai%20Andian\2021%20ictvt\data%20penelitia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UNY%20Andian\Gakkai%20Andian\2021%20ictvt\data%20penelitian.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bg1">
                  <a:lumMod val="50000"/>
                </a:schemeClr>
              </a:solidFill>
              <a:ln>
                <a:noFill/>
              </a:ln>
              <a:effectLst/>
            </c:spPr>
            <c:extLst>
              <c:ext xmlns:c16="http://schemas.microsoft.com/office/drawing/2014/chart" uri="{C3380CC4-5D6E-409C-BE32-E72D297353CC}">
                <c16:uniqueId val="{00000001-2229-4E2A-A96D-E446CD389BFB}"/>
              </c:ext>
            </c:extLst>
          </c:dPt>
          <c:dPt>
            <c:idx val="1"/>
            <c:invertIfNegative val="0"/>
            <c:bubble3D val="0"/>
            <c:spPr>
              <a:solidFill>
                <a:schemeClr val="bg1">
                  <a:lumMod val="50000"/>
                </a:schemeClr>
              </a:solidFill>
              <a:ln>
                <a:noFill/>
              </a:ln>
              <a:effectLst/>
            </c:spPr>
            <c:extLst>
              <c:ext xmlns:c16="http://schemas.microsoft.com/office/drawing/2014/chart" uri="{C3380CC4-5D6E-409C-BE32-E72D297353CC}">
                <c16:uniqueId val="{00000003-2229-4E2A-A96D-E446CD389BFB}"/>
              </c:ext>
            </c:extLst>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Subscribe to an ISP and use an internet data package from a cellular provider.</c:v>
                </c:pt>
                <c:pt idx="1">
                  <c:v>
Use internet data packages from cellular providers only.</c:v>
                </c:pt>
              </c:strCache>
            </c:strRef>
          </c:cat>
          <c:val>
            <c:numRef>
              <c:f>Sheet1!$B$2:$B$3</c:f>
              <c:numCache>
                <c:formatCode>0%</c:formatCode>
                <c:ptCount val="2"/>
                <c:pt idx="0">
                  <c:v>0.72</c:v>
                </c:pt>
                <c:pt idx="1">
                  <c:v>0.28000000000000003</c:v>
                </c:pt>
              </c:numCache>
            </c:numRef>
          </c:val>
          <c:extLst>
            <c:ext xmlns:c16="http://schemas.microsoft.com/office/drawing/2014/chart" uri="{C3380CC4-5D6E-409C-BE32-E72D297353CC}">
              <c16:uniqueId val="{00000004-2229-4E2A-A96D-E446CD389BFB}"/>
            </c:ext>
          </c:extLst>
        </c:ser>
        <c:dLbls>
          <c:showLegendKey val="0"/>
          <c:showVal val="0"/>
          <c:showCatName val="0"/>
          <c:showSerName val="0"/>
          <c:showPercent val="0"/>
          <c:showBubbleSize val="0"/>
        </c:dLbls>
        <c:gapWidth val="182"/>
        <c:axId val="1343622847"/>
        <c:axId val="1343626175"/>
      </c:barChart>
      <c:catAx>
        <c:axId val="134362284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t" anchorCtr="0"/>
          <a:lstStyle/>
          <a:p>
            <a:pPr algn="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343626175"/>
        <c:crosses val="autoZero"/>
        <c:auto val="1"/>
        <c:lblAlgn val="ctr"/>
        <c:lblOffset val="100"/>
        <c:noMultiLvlLbl val="0"/>
      </c:catAx>
      <c:valAx>
        <c:axId val="1343626175"/>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3436228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Sheet1!$A$6:$A$9</c:f>
              <c:strCache>
                <c:ptCount val="4"/>
                <c:pt idx="0">
                  <c:v>Intel Core i7 or AMD Ryzen 7 Processor</c:v>
                </c:pt>
                <c:pt idx="1">
                  <c:v>Intel Core i5 or AMD Ryzen 5 Processor</c:v>
                </c:pt>
                <c:pt idx="2">
                  <c:v>Intel Core i3 or AMD Ryzen 3 Processor</c:v>
                </c:pt>
                <c:pt idx="3">
                  <c:v>Below Intel Core i3 or AMD Ryzen 3 Processor</c:v>
                </c:pt>
              </c:strCache>
            </c:strRef>
          </c:cat>
          <c:val>
            <c:numRef>
              <c:f>Sheet1!$B$6:$B$9</c:f>
              <c:numCache>
                <c:formatCode>0%</c:formatCode>
                <c:ptCount val="4"/>
                <c:pt idx="0">
                  <c:v>0.13</c:v>
                </c:pt>
                <c:pt idx="1">
                  <c:v>0.6</c:v>
                </c:pt>
                <c:pt idx="2">
                  <c:v>0.23</c:v>
                </c:pt>
                <c:pt idx="3">
                  <c:v>0.04</c:v>
                </c:pt>
              </c:numCache>
            </c:numRef>
          </c:val>
          <c:extLst>
            <c:ext xmlns:c16="http://schemas.microsoft.com/office/drawing/2014/chart" uri="{C3380CC4-5D6E-409C-BE32-E72D297353CC}">
              <c16:uniqueId val="{00000000-9067-4FF5-AC6A-B183BB0D2F8D}"/>
            </c:ext>
          </c:extLst>
        </c:ser>
        <c:dLbls>
          <c:showLegendKey val="0"/>
          <c:showVal val="0"/>
          <c:showCatName val="0"/>
          <c:showSerName val="0"/>
          <c:showPercent val="0"/>
          <c:showBubbleSize val="0"/>
        </c:dLbls>
        <c:gapWidth val="182"/>
        <c:axId val="1468453855"/>
        <c:axId val="1468455103"/>
      </c:barChart>
      <c:catAx>
        <c:axId val="146845385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468455103"/>
        <c:crosses val="autoZero"/>
        <c:auto val="1"/>
        <c:lblAlgn val="ctr"/>
        <c:lblOffset val="100"/>
        <c:noMultiLvlLbl val="0"/>
      </c:catAx>
      <c:valAx>
        <c:axId val="146845510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468453855"/>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Sheet1!$A$11:$A$13</c:f>
              <c:strCache>
                <c:ptCount val="3"/>
                <c:pt idx="0">
                  <c:v>Microsoft Office 365</c:v>
                </c:pt>
                <c:pt idx="1">
                  <c:v>Google Workspace-based collaborative application</c:v>
                </c:pt>
                <c:pt idx="2">
                  <c:v>Zoom with UNY domain (edu, unlimited)</c:v>
                </c:pt>
              </c:strCache>
            </c:strRef>
          </c:cat>
          <c:val>
            <c:numRef>
              <c:f>Sheet1!$B$11:$B$13</c:f>
              <c:numCache>
                <c:formatCode>0%</c:formatCode>
                <c:ptCount val="3"/>
                <c:pt idx="0">
                  <c:v>0.46</c:v>
                </c:pt>
                <c:pt idx="1">
                  <c:v>0.66</c:v>
                </c:pt>
                <c:pt idx="2">
                  <c:v>0.86</c:v>
                </c:pt>
              </c:numCache>
            </c:numRef>
          </c:val>
          <c:extLst>
            <c:ext xmlns:c16="http://schemas.microsoft.com/office/drawing/2014/chart" uri="{C3380CC4-5D6E-409C-BE32-E72D297353CC}">
              <c16:uniqueId val="{00000000-2E40-456C-8155-5B3E699441F7}"/>
            </c:ext>
          </c:extLst>
        </c:ser>
        <c:dLbls>
          <c:showLegendKey val="0"/>
          <c:showVal val="0"/>
          <c:showCatName val="0"/>
          <c:showSerName val="0"/>
          <c:showPercent val="0"/>
          <c:showBubbleSize val="0"/>
        </c:dLbls>
        <c:gapWidth val="182"/>
        <c:axId val="827027119"/>
        <c:axId val="827032943"/>
      </c:barChart>
      <c:catAx>
        <c:axId val="82702711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827032943"/>
        <c:crosses val="autoZero"/>
        <c:auto val="1"/>
        <c:lblAlgn val="ctr"/>
        <c:lblOffset val="100"/>
        <c:noMultiLvlLbl val="0"/>
      </c:catAx>
      <c:valAx>
        <c:axId val="82703294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27027119"/>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Sheet1!$A$15:$A$24</c:f>
              <c:strCache>
                <c:ptCount val="10"/>
                <c:pt idx="0">
                  <c:v>Microphone (condensing or clip-on microphone)</c:v>
                </c:pt>
                <c:pt idx="1">
                  <c:v>Headset (over-ear or on-ear)</c:v>
                </c:pt>
                <c:pt idx="2">
                  <c:v>Lighting (table lamp, ring light, or LED video light)</c:v>
                </c:pt>
                <c:pt idx="3">
                  <c:v>External webcam (HD)</c:v>
                </c:pt>
                <c:pt idx="4">
                  <c:v>Extended dekstop</c:v>
                </c:pt>
                <c:pt idx="5">
                  <c:v>Graphic pad/tablet</c:v>
                </c:pt>
                <c:pt idx="6">
                  <c:v>Interactive application in virtual syncronous meeting (Padlet, Miro, Kahoot, Quizizz, Mentimeter, Slido, etc)</c:v>
                </c:pt>
                <c:pt idx="7">
                  <c:v>Online project management online application (Trello, etc)</c:v>
                </c:pt>
                <c:pt idx="8">
                  <c:v>Video-audio editing software (Camtasia, Filmora, Adobe Premiere, etc)</c:v>
                </c:pt>
                <c:pt idx="9">
                  <c:v>Screen recording software (Camtasia, Filmora, Snagit, etc)</c:v>
                </c:pt>
              </c:strCache>
            </c:strRef>
          </c:cat>
          <c:val>
            <c:numRef>
              <c:f>Sheet1!$B$15:$B$24</c:f>
              <c:numCache>
                <c:formatCode>0%</c:formatCode>
                <c:ptCount val="10"/>
                <c:pt idx="0">
                  <c:v>0.59</c:v>
                </c:pt>
                <c:pt idx="1">
                  <c:v>0.96</c:v>
                </c:pt>
                <c:pt idx="2">
                  <c:v>0.56999999999999995</c:v>
                </c:pt>
                <c:pt idx="3">
                  <c:v>0.25</c:v>
                </c:pt>
                <c:pt idx="4">
                  <c:v>0.16</c:v>
                </c:pt>
                <c:pt idx="5">
                  <c:v>0.25</c:v>
                </c:pt>
                <c:pt idx="6">
                  <c:v>0.18</c:v>
                </c:pt>
                <c:pt idx="7">
                  <c:v>0.2</c:v>
                </c:pt>
                <c:pt idx="8">
                  <c:v>0.45</c:v>
                </c:pt>
                <c:pt idx="9">
                  <c:v>0.27</c:v>
                </c:pt>
              </c:numCache>
            </c:numRef>
          </c:val>
          <c:extLst>
            <c:ext xmlns:c16="http://schemas.microsoft.com/office/drawing/2014/chart" uri="{C3380CC4-5D6E-409C-BE32-E72D297353CC}">
              <c16:uniqueId val="{00000000-EF24-4159-96E5-0D41CE17E79C}"/>
            </c:ext>
          </c:extLst>
        </c:ser>
        <c:dLbls>
          <c:showLegendKey val="0"/>
          <c:showVal val="0"/>
          <c:showCatName val="0"/>
          <c:showSerName val="0"/>
          <c:showPercent val="0"/>
          <c:showBubbleSize val="0"/>
        </c:dLbls>
        <c:gapWidth val="182"/>
        <c:axId val="1343623679"/>
        <c:axId val="1343618687"/>
      </c:barChart>
      <c:catAx>
        <c:axId val="134362367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343618687"/>
        <c:crosses val="autoZero"/>
        <c:auto val="1"/>
        <c:lblAlgn val="ctr"/>
        <c:lblOffset val="100"/>
        <c:noMultiLvlLbl val="0"/>
      </c:catAx>
      <c:valAx>
        <c:axId val="1343618687"/>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343623679"/>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YcXsks4bIVE52DZJGiWpqeB9Mw==">AMUW2mV94eSjCKYT7ty58wwY5Ji1gbCcqiS8ho6bvjlBbKn7E/Uca5hHPCSeneJ7nNr+8crcNBEvOluoXjeu9SmOAb8PO+lhGZlSoJ2TetoV22vPImH3MCd/hZbO5dRq22V4mmQ2v1uF</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1BC012E-CD17-4EA1-9BF3-20FCC2BFD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2003</TotalTime>
  <Pages>8</Pages>
  <Words>23385</Words>
  <Characters>133296</Characters>
  <Application>Microsoft Office Word</Application>
  <DocSecurity>0</DocSecurity>
  <Lines>1110</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Evans</dc:creator>
  <cp:lastModifiedBy>Andian Ari</cp:lastModifiedBy>
  <cp:revision>181</cp:revision>
  <dcterms:created xsi:type="dcterms:W3CDTF">2021-08-31T14:30:00Z</dcterms:created>
  <dcterms:modified xsi:type="dcterms:W3CDTF">2021-09-08T01:32:00Z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https://csl.mendeley.com/styles/505868081/american-institute-of-physics-2</vt:lpwstr>
  </property>
  <property fmtid="{D5CDD505-2E9C-101B-9397-08002B2CF9AE}" pid="3" name="Mendeley Recent Style Name 0_1">
    <vt:lpwstr>American Institute of Physics - Andian Ari Anggraeni</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vt:lpwstr>
  </property>
  <property fmtid="{D5CDD505-2E9C-101B-9397-08002B2CF9AE}" pid="6" name="Mendeley Recent Style Id 2_1">
    <vt:lpwstr>http://www.zotero.org/styles/american-political-science-association</vt:lpwstr>
  </property>
  <property fmtid="{D5CDD505-2E9C-101B-9397-08002B2CF9AE}" pid="7" name="Mendeley Recent Style Name 2_1">
    <vt:lpwstr>American Political Science Association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6th edition</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http://csl.mendeley.com/styles/411175231/iop-454RI</vt:lpwstr>
  </property>
  <property fmtid="{D5CDD505-2E9C-101B-9397-08002B2CF9AE}" pid="15" name="Mendeley Recent Style Name 6_1">
    <vt:lpwstr>IOP AS Ahmar</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http://www.zotero.org/styles/national-library-of-medicine</vt:lpwstr>
  </property>
  <property fmtid="{D5CDD505-2E9C-101B-9397-08002B2CF9AE}" pid="19" name="Mendeley Recent Style Name 8_1">
    <vt:lpwstr>National Library of Medicine</vt:lpwstr>
  </property>
  <property fmtid="{D5CDD505-2E9C-101B-9397-08002B2CF9AE}" pid="20" name="Mendeley Recent Style Id 9_1">
    <vt:lpwstr>http://www.zotero.org/styles/vancouver-brackets</vt:lpwstr>
  </property>
  <property fmtid="{D5CDD505-2E9C-101B-9397-08002B2CF9AE}" pid="21" name="Mendeley Recent Style Name 9_1">
    <vt:lpwstr>Vancouver (brackets)</vt:lpwstr>
  </property>
  <property fmtid="{D5CDD505-2E9C-101B-9397-08002B2CF9AE}" pid="22" name="Mendeley Document_1">
    <vt:lpwstr>True</vt:lpwstr>
  </property>
  <property fmtid="{D5CDD505-2E9C-101B-9397-08002B2CF9AE}" pid="23" name="Mendeley Unique User Id_1">
    <vt:lpwstr>83fe05ef-e67f-313c-a3ce-6eae433024f7</vt:lpwstr>
  </property>
  <property fmtid="{D5CDD505-2E9C-101B-9397-08002B2CF9AE}" pid="24" name="Mendeley Citation Style_1">
    <vt:lpwstr>https://csl.mendeley.com/styles/505868081/american-institute-of-physics-2</vt:lpwstr>
  </property>
</Properties>
</file>