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38A085E0" w:rsidR="0016385D" w:rsidRPr="00075EA6" w:rsidRDefault="00E83249" w:rsidP="00090674">
      <w:pPr>
        <w:pStyle w:val="PaperTitle"/>
        <w:rPr>
          <w:b w:val="0"/>
          <w:bCs/>
          <w:sz w:val="24"/>
          <w:szCs w:val="24"/>
        </w:rPr>
      </w:pPr>
      <w:r w:rsidRPr="00E83249">
        <w:t xml:space="preserve">Evaluation </w:t>
      </w:r>
      <w:r>
        <w:t>o</w:t>
      </w:r>
      <w:r w:rsidRPr="00E83249">
        <w:t xml:space="preserve">f Online Learning Quality </w:t>
      </w:r>
      <w:r>
        <w:t>d</w:t>
      </w:r>
      <w:r w:rsidRPr="00E83249">
        <w:t xml:space="preserve">uring The Covid-19 Pandemic </w:t>
      </w:r>
      <w:r>
        <w:t>a</w:t>
      </w:r>
      <w:r w:rsidRPr="00E83249">
        <w:t>t Culinary Department</w:t>
      </w:r>
    </w:p>
    <w:p w14:paraId="548D96A3" w14:textId="38004EDF" w:rsidR="00C14B14" w:rsidRDefault="00666303" w:rsidP="2F830975">
      <w:pPr>
        <w:pStyle w:val="AuthorName"/>
        <w:rPr>
          <w:sz w:val="20"/>
          <w:lang w:val="en-GB" w:eastAsia="en-GB"/>
        </w:rPr>
      </w:pPr>
      <w:proofErr w:type="spellStart"/>
      <w:r w:rsidRPr="00666303">
        <w:t>Prihastuti</w:t>
      </w:r>
      <w:proofErr w:type="spellEnd"/>
      <w:r w:rsidRPr="00666303">
        <w:t xml:space="preserve"> Ekawatiningsih</w:t>
      </w:r>
      <w:r w:rsidRPr="00666303">
        <w:rPr>
          <w:vertAlign w:val="superscript"/>
        </w:rPr>
        <w:t>1</w:t>
      </w:r>
      <w:r w:rsidRPr="00666303">
        <w:t xml:space="preserve">, </w:t>
      </w:r>
      <w:proofErr w:type="spellStart"/>
      <w:r w:rsidRPr="00666303">
        <w:t>Endang</w:t>
      </w:r>
      <w:proofErr w:type="spellEnd"/>
      <w:r w:rsidRPr="00666303">
        <w:t xml:space="preserve"> Mulyatiningsih</w:t>
      </w:r>
      <w:r w:rsidRPr="00666303">
        <w:rPr>
          <w:vertAlign w:val="superscript"/>
        </w:rPr>
        <w:t>2</w:t>
      </w:r>
      <w:r w:rsidRPr="00666303">
        <w:t>, Sri Palupi</w:t>
      </w:r>
      <w:r w:rsidRPr="00666303">
        <w:rPr>
          <w:vertAlign w:val="superscript"/>
        </w:rPr>
        <w:t>3</w:t>
      </w:r>
      <w:r w:rsidRPr="00666303">
        <w:t xml:space="preserve">, Ambar </w:t>
      </w:r>
      <w:proofErr w:type="spellStart"/>
      <w:r w:rsidRPr="00666303">
        <w:t>Rizqi</w:t>
      </w:r>
      <w:proofErr w:type="spellEnd"/>
      <w:r w:rsidRPr="00666303">
        <w:t xml:space="preserve"> Firdausa</w:t>
      </w:r>
      <w:r w:rsidRPr="00666303">
        <w:rPr>
          <w:vertAlign w:val="superscript"/>
        </w:rPr>
        <w:t>4</w:t>
      </w:r>
    </w:p>
    <w:p w14:paraId="097AD817" w14:textId="2BC54C87" w:rsidR="00666303" w:rsidRPr="00075EA6" w:rsidRDefault="00666303" w:rsidP="00C14B14">
      <w:pPr>
        <w:pStyle w:val="AuthorAffiliation"/>
      </w:pPr>
      <w:r w:rsidRPr="00666303">
        <w:rPr>
          <w:vertAlign w:val="superscript"/>
        </w:rPr>
        <w:t>1,2,3,4</w:t>
      </w:r>
      <w:r w:rsidRPr="00666303">
        <w:t xml:space="preserve"> Faculty of Engineering, Universitas Negeri Yogyakarta, Yogyakarta, Indones</w:t>
      </w:r>
      <w:r w:rsidR="0066329F">
        <w:t>i</w:t>
      </w:r>
      <w:r w:rsidRPr="00666303">
        <w:t>a</w:t>
      </w:r>
    </w:p>
    <w:p w14:paraId="688211A1" w14:textId="62E9650C" w:rsidR="00DC6092" w:rsidRDefault="00DC6092" w:rsidP="00DC6092">
      <w:pPr>
        <w:pStyle w:val="AuthorAffiliation"/>
      </w:pPr>
    </w:p>
    <w:p w14:paraId="4CFA882B" w14:textId="12E72DB9" w:rsidR="00DC6092" w:rsidRDefault="00DC6092">
      <w:pPr>
        <w:pStyle w:val="AuthorEmail"/>
      </w:pPr>
      <w:r w:rsidRPr="00DC6092">
        <w:rPr>
          <w:vertAlign w:val="superscript"/>
        </w:rPr>
        <w:t>a)</w:t>
      </w:r>
      <w:hyperlink r:id="rId9" w:history="1">
        <w:r w:rsidRPr="00EA3AD4">
          <w:rPr>
            <w:rStyle w:val="Hyperlink"/>
          </w:rPr>
          <w:t>prihastuti@uny.ac.id</w:t>
        </w:r>
      </w:hyperlink>
    </w:p>
    <w:p w14:paraId="30E778DA" w14:textId="73F9E59A" w:rsidR="00DC6092" w:rsidRDefault="00DC6092">
      <w:pPr>
        <w:pStyle w:val="AuthorEmail"/>
      </w:pPr>
      <w:r w:rsidRPr="00DC6092">
        <w:rPr>
          <w:vertAlign w:val="superscript"/>
        </w:rPr>
        <w:t>b)</w:t>
      </w:r>
      <w:hyperlink r:id="rId10" w:history="1">
        <w:r w:rsidRPr="00EA3AD4">
          <w:rPr>
            <w:rStyle w:val="Hyperlink"/>
          </w:rPr>
          <w:t>mulyati@uny.ac.id</w:t>
        </w:r>
      </w:hyperlink>
    </w:p>
    <w:p w14:paraId="3763F119" w14:textId="586CA460" w:rsidR="00DC6092" w:rsidRDefault="00DC6092">
      <w:pPr>
        <w:pStyle w:val="AuthorEmail"/>
      </w:pPr>
      <w:r w:rsidRPr="00DC6092">
        <w:rPr>
          <w:vertAlign w:val="superscript"/>
        </w:rPr>
        <w:t>c)</w:t>
      </w:r>
      <w:hyperlink r:id="rId11" w:history="1">
        <w:r w:rsidRPr="00EA3AD4">
          <w:rPr>
            <w:rStyle w:val="Hyperlink"/>
          </w:rPr>
          <w:t>sripalupi@uny.ac.id</w:t>
        </w:r>
      </w:hyperlink>
    </w:p>
    <w:p w14:paraId="5E05E235" w14:textId="04E9E3D5" w:rsidR="003A5C85" w:rsidRPr="00075EA6" w:rsidRDefault="00DC6092" w:rsidP="00DC6092">
      <w:pPr>
        <w:pStyle w:val="AuthorEmail"/>
      </w:pPr>
      <w:r w:rsidRPr="00DC6092">
        <w:rPr>
          <w:vertAlign w:val="superscript"/>
        </w:rPr>
        <w:t>d)</w:t>
      </w:r>
      <w:hyperlink r:id="rId12" w:history="1">
        <w:r w:rsidRPr="00EA3AD4">
          <w:rPr>
            <w:rStyle w:val="Hyperlink"/>
          </w:rPr>
          <w:t>ambarfirdausa@uny.ac.id</w:t>
        </w:r>
      </w:hyperlink>
      <w:r>
        <w:t xml:space="preserve"> </w:t>
      </w:r>
    </w:p>
    <w:p w14:paraId="16A64B5C" w14:textId="77777777" w:rsidR="009012F7" w:rsidRDefault="0016385D" w:rsidP="00C14B14">
      <w:pPr>
        <w:pStyle w:val="Abstract"/>
      </w:pPr>
      <w:r w:rsidRPr="00075EA6">
        <w:rPr>
          <w:b/>
          <w:bCs/>
        </w:rPr>
        <w:t>Abstract.</w:t>
      </w:r>
      <w:r w:rsidRPr="00075EA6">
        <w:t xml:space="preserve"> </w:t>
      </w:r>
      <w:r w:rsidR="009012F7" w:rsidRPr="009012F7">
        <w:t>The Covid-19 pandemic that has lasted from March 2020 to the present (August 2021) has had an impact on the learning process. Learning activities that are mostly done face-to-face have turned into distance learning or online learning. For lecturers who are accustomed to using distance learning they do not experience many obstacles, but in the Covid-19 emergency, many lecturers and students experienced obstacles during the learning process. The main purpose of this article is to evaluate the quality of online learning using Be-Smart as the official LMS. This research was conducted at the Culinary Department, Faculty of Engineering, Universitas Negeri Yogyakarta. Sources of research data that assess the quality of online learning are S1 (bachelor) and D4 (applied bachelor) Culinary Department students. The research data was collected using an online learning quality control questionnaire developed from PPIDT. The data were analyzed descriptively quantitatively using the mean value and frequency distribution. The value of the quality of online learning uses a scale of 1-5 which shows a range of values ranging from very poor to very good. The results of the evaluation of the quality of online learning during the COVID-19 pandemic, it can be concluded that all indicators are in the very good category. Indicators of the quality of content, media, planning, processes, and also the evaluation of online learning are in the very good category. Even so, there are still some suggestions that aim to further improve the quality of learning.</w:t>
      </w:r>
      <w:r w:rsidR="009012F7">
        <w:t xml:space="preserve"> </w:t>
      </w:r>
    </w:p>
    <w:p w14:paraId="22C3F2A8" w14:textId="06DF8832" w:rsidR="0016385D" w:rsidRPr="00075EA6" w:rsidRDefault="009012F7" w:rsidP="00C14B14">
      <w:pPr>
        <w:pStyle w:val="Abstract"/>
      </w:pPr>
      <w:r>
        <w:rPr>
          <w:b/>
          <w:bCs/>
        </w:rPr>
        <w:t>Keywords:</w:t>
      </w:r>
      <w:r w:rsidRPr="00075EA6">
        <w:t xml:space="preserve"> </w:t>
      </w:r>
      <w:r>
        <w:t>Evaluation. LMS, Online Learning</w:t>
      </w:r>
    </w:p>
    <w:p w14:paraId="5240E3FB" w14:textId="3D148943" w:rsidR="003A287B" w:rsidRPr="00075EA6" w:rsidRDefault="009012F7" w:rsidP="00003D7C">
      <w:pPr>
        <w:pStyle w:val="Heading1"/>
        <w:rPr>
          <w:b w:val="0"/>
          <w:caps w:val="0"/>
          <w:sz w:val="20"/>
        </w:rPr>
      </w:pPr>
      <w:r>
        <w:t>Introduction</w:t>
      </w:r>
    </w:p>
    <w:p w14:paraId="67B4DAEE" w14:textId="77777777" w:rsidR="009012F7" w:rsidRDefault="009012F7" w:rsidP="009012F7">
      <w:pPr>
        <w:pStyle w:val="Paragraph"/>
      </w:pPr>
      <w:r>
        <w:t>The Covid-19 pandemic that has lasted from March 2020 to the present (August 2021) has had an impact on the learning process. Learning activities that are mostly done face-to-face have turned into distance learning or online learning. For lecturers who are accustomed to using distance learning (e-learning, blended, flipped) they do not experience many obstacles, but in the Covid-19 emergency, many lecturers and students experienced obstacles during the learning process. Lecturers need to be creative and innovative in developing online learning content that is relevant to student competencies and 21st century learning technology.</w:t>
      </w:r>
    </w:p>
    <w:p w14:paraId="203FCF1A" w14:textId="77777777" w:rsidR="009012F7" w:rsidRDefault="009012F7" w:rsidP="009012F7">
      <w:pPr>
        <w:pStyle w:val="Paragraph"/>
      </w:pPr>
      <w:r>
        <w:t>The Department of Culinary at Yogyakarta State University organizes online learning processes through various platforms such as Be-Smart, Google Classroom, Zoom, Google Meet, and YouTube. The Be-Smart platform is an online learning platform that is prioritized because the Institute can more easily control the implementation of learning with the permission of the lecturer in charge of the course. Since the Covid-19 pandemic, the number of courses in the Culinary Department that use the Be-Smart platform has increased, but there are still some lecturers who have not used the facilities of this platform to the fullest. This condition requires an evaluation to find out the extent of the quality of online learning during the Covid-19 pandemic in the Culinary Department, Universitas Negeri Yogyakarta.</w:t>
      </w:r>
    </w:p>
    <w:p w14:paraId="59B1DD30" w14:textId="5EDA9D5A" w:rsidR="009012F7" w:rsidRDefault="009012F7" w:rsidP="009012F7">
      <w:pPr>
        <w:pStyle w:val="Paragraph"/>
      </w:pPr>
      <w:r>
        <w:lastRenderedPageBreak/>
        <w:t xml:space="preserve">The Be-Smart platform officially uses Moodle which is a Software Learning Management System (LMS). According to </w:t>
      </w:r>
      <w:proofErr w:type="spellStart"/>
      <w:r>
        <w:t>Gede</w:t>
      </w:r>
      <w:proofErr w:type="spellEnd"/>
      <w:r w:rsidR="0066329F">
        <w:t xml:space="preserve"> </w:t>
      </w:r>
      <w:r w:rsidR="0066329F">
        <w:fldChar w:fldCharType="begin" w:fldLock="1"/>
      </w:r>
      <w:r w:rsidR="00B466E2">
        <w:instrText>ADDIN CSL_CITATION {"citationItems":[{"id":"ITEM-1","itemData":{"DOI":"10.31598/sacies.v5i2.73","ISSN":"2087-0140","abstract":"STMIK STIKOM Indonesia (STIKI) merupakan perguruan tinggi swasta yang mempunyai sarana prasarana di bidang teknologi informasi yang sangat memadai. Proses pembelajaran yang selama ini berjalan dirasa memiliki kelemahan, diantaranya terbatasnya waktu tatap muka didalam kelas sehingga materi kuliah tidak dapat diulang atau disampaikan secara tuntas, sulitnya mencari jam pengganti apabila dosen berhalangan hadir hingga tidak fokusnya mahasiswa dalam proses pembelajaran didalam kelas. Berdasarkan kelemahantersebut, penulis mengusulkan sistem e-learning untuk melengkapi proses pembelajaran yang sedang berjalan. Kegiatan penelitian dimulai dengan melakukan pendefinisian masalah yang ingin diselesaikan, melakukan pengumpulan data melalui metode observasi dan kepustakaan, analisis data sebagai dasar dalam konfigurasi LMS MOODLE. Hasil pengujian dengan metode black box menunjukkan bahwa sistem e-learning STIKI telah berjalan dengan baik dan sesuai dengan perancangan yang telah ditetapkan. Pengukuran tingkat kenyamanan pengguna dilakukan dengan memberikan kuisioner COLLES. Dari analisa hasil kuesioner, diperoleh kesimpulan bahwa secara umum tingkat kenyamanan mahasiswa dalam menggunakan sistem e-learning yang dibangun cukup tinggi.","author":[{"dropping-particle":"","family":"Pradnyana","given":"Gede Aditra","non-dropping-particle":"","parse-names":false,"suffix":""},{"dropping-particle":"","family":"Pradnyana","given":"I Made Ardwi","non-dropping-particle":"","parse-names":false,"suffix":""}],"container-title":"Jurnal Ilmu Komputer dan Sains Terapan","id":"ITEM-1","issue":"2","issued":{"date-parts":[["2015"]]},"page":"127-135","title":"Implementasi Responsive E-learning Berbasis MOODLE Untuk Menunjang Kegiatan Pembelajaran di STMIK STIKOM Indonesia","type":"article-journal","volume":"5"},"uris":["http://www.mendeley.com/documents/?uuid=da90650d-09ec-4128-92d2-aba73d592ef4"]}],"mendeley":{"formattedCitation":"&lt;sup&gt;1&lt;/sup&gt;","plainTextFormattedCitation":"1","previouslyFormattedCitation":"(Pradnyana &amp; Pradnyana, 2015)"},"properties":{"noteIndex":0},"schema":"https://github.com/citation-style-language/schema/raw/master/csl-citation.json"}</w:instrText>
      </w:r>
      <w:r w:rsidR="0066329F">
        <w:fldChar w:fldCharType="separate"/>
      </w:r>
      <w:r w:rsidR="00B466E2" w:rsidRPr="00B466E2">
        <w:rPr>
          <w:noProof/>
          <w:vertAlign w:val="superscript"/>
        </w:rPr>
        <w:t>1</w:t>
      </w:r>
      <w:r w:rsidR="0066329F">
        <w:fldChar w:fldCharType="end"/>
      </w:r>
      <w:r>
        <w:t xml:space="preserve">, Moodle has advantages because: (1) simple, efficient, lightweight and compatible with many browsers; (2) available upload and delete tools for various kinds of materials, modules, videos, assignments, quizzes and surveys; (3) free and </w:t>
      </w:r>
      <w:r>
        <w:t>open-source</w:t>
      </w:r>
      <w:r>
        <w:t xml:space="preserve"> software in Indonesia. The results of the evaluation of the</w:t>
      </w:r>
      <w:r>
        <w:t xml:space="preserve"> </w:t>
      </w:r>
      <w:r>
        <w:t>comfort level of using Moodle concluded that 85% gave a scale above 3 (happy) for each given indicator.</w:t>
      </w:r>
    </w:p>
    <w:p w14:paraId="177F4FC9" w14:textId="1F6333EB" w:rsidR="009012F7" w:rsidRDefault="009012F7" w:rsidP="009012F7">
      <w:pPr>
        <w:pStyle w:val="Paragraph"/>
      </w:pPr>
      <w:r>
        <w:t xml:space="preserve">Online learning requires students to be able to learn independently. According to </w:t>
      </w:r>
      <w:r w:rsidR="0066329F">
        <w:fldChar w:fldCharType="begin" w:fldLock="1"/>
      </w:r>
      <w:r w:rsidR="00B466E2">
        <w:instrText>ADDIN CSL_CITATION {"citationItems":[{"id":"ITEM-1","itemData":{"DOI":"10.17718/tojde.598191","ISSN":"1302-6488","abstract":"The importance of self-regulation in a MOOC has been extensively discussed in research studies that provide evidence about the significant relationship between self-regulated learning and success in an e-learning environment. Learners with high self-regulated learning are more independent in regulating their learning and have a greater probability of success in their online courses. This study identifies factors that influence self-regulated learning and determines relationships between these factors and self-regulated learning. A conceptual model is proposed for combining success factors for self-regulated learning in a MOOC environment. A research instrument based on the model was designed and administered to six hundred and twenty-two MOOC students enrolled in five universities. Relationships between relevant factors and self-regulated learning were examined using a Partial Least Squares Structural Equation Modeling (PLS-SEM) technique, and the statistical findings revealed that three factors-service quality, attitude, and course quality-influence self-regulated learning in a MOOC.","author":[{"dropping-particle":"","family":"Albelbisi","given":"Nour Awni","non-dropping-particle":"","parse-names":false,"suffix":""},{"dropping-particle":"","family":"Yusop","given":"Farrah Dina","non-dropping-particle":"","parse-names":false,"suffix":""}],"container-title":"Turkish Online Journal of Distance Education","id":"ITEM-1","issue":"July","issued":{"date-parts":[["2019"]]},"page":"1-16","title":"Factors Influencing Learners’ Self –Regulated Learning Skills in a Massive Open Online Course (MOOC) Environment","type":"article-journal"},"uris":["http://www.mendeley.com/documents/?uuid=debb0433-6899-4683-a028-804301b612d9"]}],"mendeley":{"formattedCitation":"&lt;sup&gt;2&lt;/sup&gt;","plainTextFormattedCitation":"2","previouslyFormattedCitation":"(Albelbisi &amp; Yusop, 2019)"},"properties":{"noteIndex":0},"schema":"https://github.com/citation-style-language/schema/raw/master/csl-citation.json"}</w:instrText>
      </w:r>
      <w:r w:rsidR="0066329F">
        <w:fldChar w:fldCharType="separate"/>
      </w:r>
      <w:r w:rsidR="00B466E2" w:rsidRPr="00B466E2">
        <w:rPr>
          <w:noProof/>
          <w:vertAlign w:val="superscript"/>
        </w:rPr>
        <w:t>2</w:t>
      </w:r>
      <w:r w:rsidR="0066329F">
        <w:fldChar w:fldCharType="end"/>
      </w:r>
      <w:r>
        <w:t xml:space="preserve"> there are several factors that can motivate students to study independently, namely Attitude, Quality of Courses, Quality of Information, Quality of Systems, Quality of Service, and Self-Regulated Learning.</w:t>
      </w:r>
    </w:p>
    <w:p w14:paraId="0A24813A" w14:textId="76236E68" w:rsidR="009012F7" w:rsidRDefault="009012F7" w:rsidP="009012F7">
      <w:pPr>
        <w:pStyle w:val="Paragraph"/>
      </w:pPr>
      <w:r>
        <w:t xml:space="preserve">Online learning needs to be controlled in order to maximize the achievement of learning outcomes in accordance with the targeted competency level. The Directorate of Learning determines the evaluation of the quality of learning from four components, namely evaluation of quality, process, media and evaluation of content </w:t>
      </w:r>
      <w:r w:rsidR="0066329F">
        <w:fldChar w:fldCharType="begin" w:fldLock="1"/>
      </w:r>
      <w:r w:rsidR="00B466E2">
        <w:instrText>ADDIN CSL_CITATION {"citationItems":[{"id":"ITEM-1","itemData":{"author":[{"dropping-particle":"","family":"DIKTI","given":"","non-dropping-particle":"","parse-names":false,"suffix":""},{"dropping-particle":"","family":"Pembelajaran","given":"Direktorat","non-dropping-particle":"","parse-names":false,"suffix":""}],"id":"ITEM-1","issued":{"date-parts":[["2016"]]},"publisher":"Direktorat Pembelajaran, Dikti","title":"Panduan Penjaminan Mutu Proses Pembelajaran Daring P D I T T 2016","type":"book"},"uris":["http://www.mendeley.com/documents/?uuid=9b82b675-2a03-47c1-9e7c-99d1608ad440"]}],"mendeley":{"formattedCitation":"&lt;sup&gt;3&lt;/sup&gt;","plainTextFormattedCitation":"3","previouslyFormattedCitation":"(DIKTI &amp; Pembelajaran, 2016)"},"properties":{"noteIndex":0},"schema":"https://github.com/citation-style-language/schema/raw/master/csl-citation.json"}</w:instrText>
      </w:r>
      <w:r w:rsidR="0066329F">
        <w:fldChar w:fldCharType="separate"/>
      </w:r>
      <w:r w:rsidR="00B466E2" w:rsidRPr="00B466E2">
        <w:rPr>
          <w:noProof/>
          <w:vertAlign w:val="superscript"/>
        </w:rPr>
        <w:t>3</w:t>
      </w:r>
      <w:r w:rsidR="0066329F">
        <w:fldChar w:fldCharType="end"/>
      </w:r>
      <w:r>
        <w:t>. Content quality evaluation aims to assess the quality of learning materials from content elements, material structure, reference sources, and module readability. Process evaluation aims to assess communication between lecturers and students in learning, clear learning instructions, interaction rooms, and conference facilities. Evaluation of media quality aims to assess the attractiveness of the media from the elements of appearance, interface design, and ease of access. Evaluation of quality in learning aims to ensure learning progress, provide feedback, and the quality of measurement tools.</w:t>
      </w:r>
    </w:p>
    <w:p w14:paraId="357E522E" w14:textId="185387FB" w:rsidR="009012F7" w:rsidRDefault="009012F7" w:rsidP="009012F7">
      <w:pPr>
        <w:pStyle w:val="Paragraph"/>
      </w:pPr>
      <w:r>
        <w:t>Evaluation of online learning is carried out to reveal student satisfaction with the quality of materials, media, and learning processes which include planning, implementation, and evaluation. The results of this evaluation are useful for providing feedback to lecturers in order to develop interesting online learning due to student expectations. Students who are satisfied with online learning are expected to be more motivated to learn independently because the success of online learning lies in learning independence. Students who have high self-regulated learning are more independent in managing their learning and are more likely to succeed in online learnin</w:t>
      </w:r>
      <w:r w:rsidR="0066329F">
        <w:t xml:space="preserve">g </w:t>
      </w:r>
      <w:r w:rsidR="0066329F">
        <w:fldChar w:fldCharType="begin" w:fldLock="1"/>
      </w:r>
      <w:r w:rsidR="00B466E2">
        <w:instrText>ADDIN CSL_CITATION {"citationItems":[{"id":"ITEM-1","itemData":{"DOI":"10.17718/tojde.598191","ISSN":"1302-6488","abstract":"The importance of self-regulation in a MOOC has been extensively discussed in research studies that provide evidence about the significant relationship between self-regulated learning and success in an e-learning environment. Learners with high self-regulated learning are more independent in regulating their learning and have a greater probability of success in their online courses. This study identifies factors that influence self-regulated learning and determines relationships between these factors and self-regulated learning. A conceptual model is proposed for combining success factors for self-regulated learning in a MOOC environment. A research instrument based on the model was designed and administered to six hundred and twenty-two MOOC students enrolled in five universities. Relationships between relevant factors and self-regulated learning were examined using a Partial Least Squares Structural Equation Modeling (PLS-SEM) technique, and the statistical findings revealed that three factors-service quality, attitude, and course quality-influence self-regulated learning in a MOOC.","author":[{"dropping-particle":"","family":"Albelbisi","given":"Nour Awni","non-dropping-particle":"","parse-names":false,"suffix":""},{"dropping-particle":"","family":"Yusop","given":"Farrah Dina","non-dropping-particle":"","parse-names":false,"suffix":""}],"container-title":"Turkish Online Journal of Distance Education","id":"ITEM-1","issue":"July","issued":{"date-parts":[["2019"]]},"page":"1-16","title":"Factors Influencing Learners’ Self –Regulated Learning Skills in a Massive Open Online Course (MOOC) Environment","type":"article-journal"},"uris":["http://www.mendeley.com/documents/?uuid=debb0433-6899-4683-a028-804301b612d9"]}],"mendeley":{"formattedCitation":"&lt;sup&gt;2&lt;/sup&gt;","plainTextFormattedCitation":"2","previouslyFormattedCitation":"(Albelbisi &amp; Yusop, 2019)"},"properties":{"noteIndex":0},"schema":"https://github.com/citation-style-language/schema/raw/master/csl-citation.json"}</w:instrText>
      </w:r>
      <w:r w:rsidR="0066329F">
        <w:fldChar w:fldCharType="separate"/>
      </w:r>
      <w:r w:rsidR="00B466E2" w:rsidRPr="00B466E2">
        <w:rPr>
          <w:noProof/>
          <w:vertAlign w:val="superscript"/>
        </w:rPr>
        <w:t>2</w:t>
      </w:r>
      <w:r w:rsidR="0066329F">
        <w:fldChar w:fldCharType="end"/>
      </w:r>
      <w:r>
        <w:t>.</w:t>
      </w:r>
    </w:p>
    <w:p w14:paraId="5426B127" w14:textId="1AC0DD5C" w:rsidR="009012F7" w:rsidRDefault="009012F7" w:rsidP="009012F7">
      <w:pPr>
        <w:pStyle w:val="Paragraph"/>
      </w:pPr>
      <w:r>
        <w:t>Previous research has shown that online learning is very helpful in education, but 55.6% of respondents felt it was less effective during the Covid-19 pandemic. Complaints submitted by students include too many assignments, burdensome costs and almost all students feel anxious. Students expect face-to-face learning to establish an emotional connection between students and lecturers in online learning</w:t>
      </w:r>
      <w:r w:rsidR="0066329F">
        <w:t xml:space="preserve"> </w:t>
      </w:r>
      <w:r w:rsidR="0066329F">
        <w:fldChar w:fldCharType="begin" w:fldLock="1"/>
      </w:r>
      <w:r w:rsidR="00B466E2">
        <w:instrText>ADDIN CSL_CITATION {"citationItems":[{"id":"ITEM-1","itemData":{"abstract":"WHO reports that 150 countries have seen 170,000 cases of Covid 19 and 7,000 deaths. Indonesia in June 2020 there were 52,812 cases, 2,720 deaths. The Regional Head adopted a policy of working at home, including West Sumatra and Padang City implementing Large-Scale Social Restrictions (PSBB) in early April, and June 8, 2020 entering the New Normal era. This policy affects formal education that runs online. Webinars on topics related to the Covid-19 outbreak emerged as part of non-formal education. The research objective is to look at the conditions of on- line formal learning, when the PSBB started and the new normal era. Descriptive research through the Google Form link to students in Padang randomly to obtain information in online learning. Research shows online learning is very helpful in education, but 55.6% of respondents feel less effective during the PSBB and the new normal period increases by 55.7%. Complaints are generally the large number of assignments; the cost is 78.6% burdensome and 98.6% of students are anxious. 80% of students expect e learning or blended learning. At least face-to-face learning is needed for the emotional relationship between students and lecturers in online learning. New strategies and techniques for dealing with blended learning for nonformal education need to be carried out with the discipline of health protocols.","author":[{"dropping-particle":"","family":"Siswati","given":"Sri","non-dropping-particle":"","parse-names":false,"suffix":""},{"dropping-particle":"","family":"Astiena","given":"Adila Kasni","non-dropping-particle":"","parse-names":false,"suffix":""},{"dropping-particle":"","family":"Savitri","given":"Yolanda","non-dropping-particle":"","parse-names":false,"suffix":""}],"container-title":"Journal of Nonformal Education","id":"ITEM-1","issue":"2","issued":{"date-parts":[["2020"]]},"page":"148-155","title":"Evaluation of Online-Based Student Learning: Models During New Normal Pandemic Covid-19 in Indonesia","type":"article-journal","volume":"6"},"uris":["http://www.mendeley.com/documents/?uuid=81fdb39b-ba86-45c0-81d2-1f3d54c7aee8"]}],"mendeley":{"formattedCitation":"&lt;sup&gt;4&lt;/sup&gt;","plainTextFormattedCitation":"4","previouslyFormattedCitation":"(Siswati et al., 2020)"},"properties":{"noteIndex":0},"schema":"https://github.com/citation-style-language/schema/raw/master/csl-citation.json"}</w:instrText>
      </w:r>
      <w:r w:rsidR="0066329F">
        <w:fldChar w:fldCharType="separate"/>
      </w:r>
      <w:r w:rsidR="00B466E2" w:rsidRPr="00B466E2">
        <w:rPr>
          <w:noProof/>
          <w:vertAlign w:val="superscript"/>
        </w:rPr>
        <w:t>4</w:t>
      </w:r>
      <w:r w:rsidR="0066329F">
        <w:fldChar w:fldCharType="end"/>
      </w:r>
      <w:r>
        <w:t xml:space="preserve">. Online learning is effective if students can interact with content, friends and lecturers. The availability of social interaction can eliminate feelings of isolation in online learning. Online platforms can never replace physical presence and spontaneous interaction in the classroom. Students' desire for face-to-face lectures persists </w:t>
      </w:r>
      <w:r w:rsidR="0066329F">
        <w:fldChar w:fldCharType="begin" w:fldLock="1"/>
      </w:r>
      <w:r w:rsidR="00B466E2">
        <w:instrText>ADDIN CSL_CITATION {"citationItems":[{"id":"ITEM-1","itemData":{"DOI":"10.1007/s10639-020-10100-y","ISBN":"1063902010","ISSN":"15737608","abstract":"This paper aims to explore the benefits of Blended Learning towards students’ learning experiences at an offshore campus of an Australian university located in Ho Chi Minh City, Vietnam. At the university campus, the Blended Learning practice in use is the displacement of content. Content displacement refers to a portion of the learning content and activities for a course being delivered online via the Learning Management System. Learning not only happens in face-to-face sessions at a given time but is extended to online spaces as well, happening anywhere at any time at students’ preference. The focus of this research is its usefulness and effectiveness in promoting interactions between students and their peers, their teachers, and course materials. An online survey, which was designed based on a set of validated questions, was used to collect data from sixty-six students enrolled in eight Blended Learning courses. The analysis of the survey results provides empirical evidence to the claim that students’ perception of their learning experiences at the university was beneficially impacted as a result of the Blended Learning environment in each of their classes. Specifically, factor analysis using oblique rotation method identifies a clear factor structure across survey questions, representing four dimensions of benefits: Engagement, Flexibility of learning, Online learning experience, and Self-confidence. In addition, significant differences between the clusters on these factors indicate that students vary in their responses towards the benefits of Blended Learning and their experience with a Blended Learning approach.","author":[{"dropping-particle":"","family":"Bouilheres","given":"Frederique","non-dropping-particle":"","parse-names":false,"suffix":""},{"dropping-particle":"","family":"Le","given":"Le Thi Viet Ha","non-dropping-particle":"","parse-names":false,"suffix":""},{"dropping-particle":"","family":"McDonald","given":"Scott","non-dropping-particle":"","parse-names":false,"suffix":""},{"dropping-particle":"","family":"Nkhoma","given":"Clara","non-dropping-particle":"","parse-names":false,"suffix":""},{"dropping-particle":"","family":"Jandug-Montera","given":"Lilibeth","non-dropping-particle":"","parse-names":false,"suffix":""}],"container-title":"Education and Information Technologies","id":"ITEM-1","issue":"4","issued":{"date-parts":[["2020"]]},"page":"3049-3069","publisher":"Education and Information Technologies","title":"Defining student learning experience through blended learning","type":"article-journal","volume":"25"},"uris":["http://www.mendeley.com/documents/?uuid=e4235a67-c0b1-4b02-b50b-3a7583476e63"]}],"mendeley":{"formattedCitation":"&lt;sup&gt;5&lt;/sup&gt;","plainTextFormattedCitation":"5","previouslyFormattedCitation":"(Bouilheres et al., 2020)"},"properties":{"noteIndex":0},"schema":"https://github.com/citation-style-language/schema/raw/master/csl-citation.json"}</w:instrText>
      </w:r>
      <w:r w:rsidR="0066329F">
        <w:fldChar w:fldCharType="separate"/>
      </w:r>
      <w:r w:rsidR="00B466E2" w:rsidRPr="00B466E2">
        <w:rPr>
          <w:noProof/>
          <w:vertAlign w:val="superscript"/>
        </w:rPr>
        <w:t>5</w:t>
      </w:r>
      <w:r w:rsidR="0066329F">
        <w:fldChar w:fldCharType="end"/>
      </w:r>
      <w:r>
        <w:t>. In addition, students who received individual interventions showed higher levels of learning motivation, learning attitudes and self-efficacy than students who were given classical interventions</w:t>
      </w:r>
      <w:r w:rsidR="00527D17">
        <w:t xml:space="preserve"> </w:t>
      </w:r>
      <w:r w:rsidR="0066329F">
        <w:fldChar w:fldCharType="begin" w:fldLock="1"/>
      </w:r>
      <w:r w:rsidR="00B466E2">
        <w:instrText>ADDIN CSL_CITATION {"citationItems":[{"id":"ITEM-1","itemData":{"DOI":"10.1080/10494820.2019.1636078","ISSN":"17445191","abstract":"Extensive studies have been conducted to diagnose and predict students' academic performance by analyzing a large amount of data related to their learning behaviors in a blended learning environment. But there is a lack of research examining how individualized learning interventions could improve students' academic performance in such a learning context. In this study, a quasi-experiment was designed to investigate the effect of an individualized intervention approach on students’ course performance and learning behaviors in a blended course. Forty-nine Chinese tertiary students undertaking the course were randomly assigned into two groups–the experimental and control groups. During the course, the experimental group received individualized interventions, while the control group received undifferentiated interventions. The data about these participants’ learning behaviors were collected over 15 weeks. The results indicated that, compared with the control group, the experimental group showed significantly better academic performance, a higher level of learning motivation, attitude and self-efficacy, more active learning behaviors, and fewer passive learning behaviors. The control group revealed similar online learning time, but significantly more resource utilization and forum access. It is concluded that personalized learning intervention can effectively improve students’ learning behaviors, attitude, motivation, self-efficacy, and academic performance in a blended learning environment.","author":[{"dropping-particle":"","family":"Zhang","given":"Jia Hua","non-dropping-particle":"","parse-names":false,"suffix":""},{"dropping-particle":"","family":"Zou","given":"Liu cong","non-dropping-particle":"","parse-names":false,"suffix":""},{"dropping-particle":"","family":"Miao","given":"Jia jia","non-dropping-particle":"","parse-names":false,"suffix":""},{"dropping-particle":"","family":"Zhang","given":"Ye Xing","non-dropping-particle":"","parse-names":false,"suffix":""},{"dropping-particle":"","family":"Hwang","given":"Gwo Jen","non-dropping-particle":"","parse-names":false,"suffix":""},{"dropping-particle":"","family":"Zhu","given":"Yue","non-dropping-particle":"","parse-names":false,"suffix":""}],"container-title":"Interactive Learning Environments","id":"ITEM-1","issue":"2","issued":{"date-parts":[["2020"]]},"page":"231-245","publisher":"Taylor &amp; Francis","title":"An individualized intervention approach to improving university students’ learning performance and interactive behaviors in a blended learning environment","type":"article-journal","volume":"28"},"uris":["http://www.mendeley.com/documents/?uuid=17a5668a-e0af-4593-9ec5-010e84468a23"]}],"mendeley":{"formattedCitation":"&lt;sup&gt;6&lt;/sup&gt;","plainTextFormattedCitation":"6","previouslyFormattedCitation":"(Zhang et al., 2020)"},"properties":{"noteIndex":0},"schema":"https://github.com/citation-style-language/schema/raw/master/csl-citation.json"}</w:instrText>
      </w:r>
      <w:r w:rsidR="0066329F">
        <w:fldChar w:fldCharType="separate"/>
      </w:r>
      <w:r w:rsidR="00B466E2" w:rsidRPr="00B466E2">
        <w:rPr>
          <w:noProof/>
          <w:vertAlign w:val="superscript"/>
        </w:rPr>
        <w:t>6</w:t>
      </w:r>
      <w:r w:rsidR="0066329F">
        <w:fldChar w:fldCharType="end"/>
      </w:r>
      <w:r>
        <w:t xml:space="preserve">. Learning using blended learning and flipped learning (experiment) has a positive effect on achievement, academic engagement, and the student satisfaction </w:t>
      </w:r>
      <w:r w:rsidR="00527D17">
        <w:fldChar w:fldCharType="begin" w:fldLock="1"/>
      </w:r>
      <w:r w:rsidR="00B466E2">
        <w:instrText>ADDIN CSL_CITATION {"citationItems":[{"id":"ITEM-1","itemData":{"DOI":"10.17718/TOJDE.640503","ISSN":"13026488","abstract":"In this study, a flipped classroom was compared with blended learning and face-to-face learning environments and the aim was to identify the effect of these learning environments on students' achievements, academic engagement and satisfaction levels. Based on this aim, one control and two experimental groups were formed. The students in Experiment-I learned the theoretical aspect of the course through the materials in the online learning environment which were prepared prior to the class study time in context with the \"flipped classroom\". The students in Experiment-II learned the theoretical aspect of the course in the classroom in accordance with the blended learning model and fulfilled active learning activities out of class study time. The students in the control group learned the theoretical aspect of the course in the classroom according to the current curriculum and conducted active learning activities at their homes. It was found that the scores for the students in the experimental groups with regard to academic achievement and engagement were higher than the scores for those in the control group and the differences between the groups were statistically significant. It was revealed that the students were also generally satisfied with the flipped classroom.","author":[{"dropping-particle":"","family":"Talan","given":"Tarik","non-dropping-particle":"","parse-names":false,"suffix":""},{"dropping-particle":"","family":"Gulsecen","given":"Sevinc","non-dropping-particle":"","parse-names":false,"suffix":""}],"container-title":"Turkish Online Journal of Distance Education","id":"ITEM-1","issue":"4","issued":{"date-parts":[["2019"]]},"page":"31-60","title":"The effect of a flipped classroom on students' achievements, academic engagement and satisfaction levels","type":"article-journal","volume":"20"},"uris":["http://www.mendeley.com/documents/?uuid=7b982fcf-5597-4caa-94bd-68be99fc8185"]}],"mendeley":{"formattedCitation":"&lt;sup&gt;7&lt;/sup&gt;","plainTextFormattedCitation":"7","previouslyFormattedCitation":"(Talan &amp; Gulsecen, 2019)"},"properties":{"noteIndex":0},"schema":"https://github.com/citation-style-language/schema/raw/master/csl-citation.json"}</w:instrText>
      </w:r>
      <w:r w:rsidR="00527D17">
        <w:fldChar w:fldCharType="separate"/>
      </w:r>
      <w:r w:rsidR="00B466E2" w:rsidRPr="00B466E2">
        <w:rPr>
          <w:noProof/>
          <w:vertAlign w:val="superscript"/>
        </w:rPr>
        <w:t>7</w:t>
      </w:r>
      <w:r w:rsidR="00527D17">
        <w:fldChar w:fldCharType="end"/>
      </w:r>
      <w:r>
        <w:t>.</w:t>
      </w:r>
      <w:r>
        <w:t xml:space="preserve"> </w:t>
      </w:r>
      <w:r>
        <w:t xml:space="preserve">Various studies have shown that online learning during the Covid-19 pandemic is very beneficial. Online learning will be effective if there is support for social interaction between users of the online learning platform. In addition, students also feel burdened by the many tasks, connectivity, and costs to support online learning. Unfortunately, they have not provided a more detailed explanation regarding the quality of online learning used. </w:t>
      </w:r>
    </w:p>
    <w:p w14:paraId="0616AEEC" w14:textId="7D3778EA" w:rsidR="009012F7" w:rsidRDefault="009012F7" w:rsidP="009012F7">
      <w:pPr>
        <w:pStyle w:val="Paragraph"/>
      </w:pPr>
      <w:r>
        <w:t>The main purpose of this article is to evaluate the quality of online learning using Be-Smart as the official LMS of Universitas Negeri Yogyakarta, especially in the Department of Culinary which includes the quality of learning materials, learning media, planning of learning, implementation of learning and evaluation of learning for the success of online learning.</w:t>
      </w:r>
    </w:p>
    <w:p w14:paraId="759EAB19" w14:textId="77777777" w:rsidR="009012F7" w:rsidRDefault="009012F7" w:rsidP="00827050">
      <w:pPr>
        <w:pStyle w:val="Paragraph"/>
      </w:pPr>
    </w:p>
    <w:p w14:paraId="119C9345" w14:textId="75C5CE04" w:rsidR="009012F7" w:rsidRPr="00075EA6" w:rsidRDefault="009012F7" w:rsidP="009012F7">
      <w:pPr>
        <w:pStyle w:val="Heading1"/>
        <w:rPr>
          <w:b w:val="0"/>
          <w:caps w:val="0"/>
          <w:sz w:val="20"/>
        </w:rPr>
      </w:pPr>
      <w:r>
        <w:t>method</w:t>
      </w:r>
    </w:p>
    <w:p w14:paraId="5416C565" w14:textId="77777777" w:rsidR="009012F7" w:rsidRDefault="009012F7" w:rsidP="009012F7">
      <w:pPr>
        <w:pStyle w:val="Paragraph"/>
      </w:pPr>
      <w:r>
        <w:t>This research is evaluation research that is based on the philosophy of pragmatism and is oriented towards results and impacts. The results of this evaluation study were directly used to make some practical decisions on online learning based on a quantitative approach. The research was conducted at the Culinary Department, Faculty of Engineering, Universitas Negeri Yogyakarta. This research was carried out for 6 months, starting from February to July 2021. The subjects of this research were all courses held in 2020. The subjects evaluated were limited to theoretical courses because the elements of material, media and the learning process had the same characteristics. Sources of research data that assess the quality of online learning are S1 (bachelor) and D4 (applied bachelor) Culinary Department students.</w:t>
      </w:r>
    </w:p>
    <w:p w14:paraId="2D4C9D53" w14:textId="2065D2F1" w:rsidR="009012F7" w:rsidRDefault="009012F7" w:rsidP="009012F7">
      <w:pPr>
        <w:pStyle w:val="Paragraph"/>
      </w:pPr>
      <w:r>
        <w:t xml:space="preserve">The research data was collected using an online learning quality control questionnaire developed from PPIDT (Directorate of Higher Education Learning). Questionnaire in Google Form for Culinary Department students who </w:t>
      </w:r>
      <w:r>
        <w:lastRenderedPageBreak/>
        <w:t>were selected as research samples. Data collection activities were assisted by class leaders and students who were members of the research. The data were analyzed descriptively quantitatively using the mean value and frequency distribution. The value of the quality of online learning uses a scale of 1-5 which shows a range of values ranging from very poor to very good. The quality value data is then divided into 4 categories using the standard deviation formula, namely: less, sufficient, good and very good as shown in Table 1.</w:t>
      </w:r>
    </w:p>
    <w:p w14:paraId="7D5A23F1" w14:textId="77777777" w:rsidR="007E36EC" w:rsidRDefault="007E36EC" w:rsidP="009012F7">
      <w:pPr>
        <w:pStyle w:val="Paragraph"/>
      </w:pPr>
    </w:p>
    <w:p w14:paraId="1C00438C" w14:textId="0621BDD4" w:rsidR="009012F7" w:rsidRPr="005A0E21" w:rsidRDefault="007E36EC" w:rsidP="00EB0F70">
      <w:pPr>
        <w:pStyle w:val="Paragraph"/>
        <w:spacing w:line="480" w:lineRule="auto"/>
        <w:ind w:firstLine="0"/>
        <w:jc w:val="center"/>
      </w:pPr>
      <w:r w:rsidRPr="00075EA6">
        <w:rPr>
          <w:b/>
        </w:rPr>
        <w:t xml:space="preserve">TABLE 1. </w:t>
      </w:r>
      <w:r w:rsidRPr="007E36EC">
        <w:rPr>
          <w:i/>
          <w:iCs/>
        </w:rPr>
        <w:t>Quality Category of Online Learning</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tblGrid>
      <w:tr w:rsidR="007E36EC" w:rsidRPr="00075EA6" w14:paraId="009D81A7" w14:textId="77777777" w:rsidTr="00EB4561">
        <w:trPr>
          <w:cantSplit/>
          <w:trHeight w:val="272"/>
          <w:jc w:val="center"/>
        </w:trPr>
        <w:tc>
          <w:tcPr>
            <w:tcW w:w="2790" w:type="dxa"/>
            <w:tcBorders>
              <w:top w:val="single" w:sz="4" w:space="0" w:color="auto"/>
              <w:bottom w:val="single" w:sz="4" w:space="0" w:color="auto"/>
            </w:tcBorders>
            <w:vAlign w:val="center"/>
          </w:tcPr>
          <w:p w14:paraId="5DB42D67" w14:textId="14534816" w:rsidR="007E36EC" w:rsidRPr="00075EA6" w:rsidRDefault="007E36EC" w:rsidP="00EB4561">
            <w:pPr>
              <w:jc w:val="center"/>
            </w:pPr>
            <w:r>
              <w:rPr>
                <w:b/>
                <w:sz w:val="18"/>
                <w:szCs w:val="18"/>
              </w:rPr>
              <w:t>Category</w:t>
            </w:r>
          </w:p>
        </w:tc>
        <w:tc>
          <w:tcPr>
            <w:tcW w:w="2790" w:type="dxa"/>
            <w:tcBorders>
              <w:top w:val="single" w:sz="4" w:space="0" w:color="auto"/>
              <w:bottom w:val="single" w:sz="4" w:space="0" w:color="auto"/>
            </w:tcBorders>
            <w:vAlign w:val="center"/>
          </w:tcPr>
          <w:p w14:paraId="643EA03B" w14:textId="48295E99" w:rsidR="007E36EC" w:rsidRPr="00075EA6" w:rsidRDefault="007E36EC" w:rsidP="00EB4561">
            <w:pPr>
              <w:jc w:val="center"/>
              <w:rPr>
                <w:b/>
                <w:sz w:val="18"/>
                <w:szCs w:val="18"/>
              </w:rPr>
            </w:pPr>
            <w:r>
              <w:rPr>
                <w:b/>
                <w:sz w:val="18"/>
                <w:szCs w:val="18"/>
              </w:rPr>
              <w:t>Range Scale</w:t>
            </w:r>
          </w:p>
        </w:tc>
      </w:tr>
      <w:tr w:rsidR="007E36EC" w:rsidRPr="005A0E21" w14:paraId="449808BC" w14:textId="77777777" w:rsidTr="00EB4561">
        <w:trPr>
          <w:cantSplit/>
          <w:jc w:val="center"/>
        </w:trPr>
        <w:tc>
          <w:tcPr>
            <w:tcW w:w="2790" w:type="dxa"/>
            <w:tcBorders>
              <w:top w:val="nil"/>
            </w:tcBorders>
          </w:tcPr>
          <w:p w14:paraId="3583816A" w14:textId="3174983B" w:rsidR="007E36EC" w:rsidRPr="005A0E21" w:rsidRDefault="007E36EC" w:rsidP="00EB4561">
            <w:pPr>
              <w:pStyle w:val="Paragraph"/>
            </w:pPr>
            <w:r>
              <w:t>Less</w:t>
            </w:r>
          </w:p>
        </w:tc>
        <w:tc>
          <w:tcPr>
            <w:tcW w:w="2790" w:type="dxa"/>
            <w:tcBorders>
              <w:top w:val="nil"/>
            </w:tcBorders>
          </w:tcPr>
          <w:p w14:paraId="11089D9F" w14:textId="03E94FC0" w:rsidR="007E36EC" w:rsidRPr="005A0E21" w:rsidRDefault="007E36EC" w:rsidP="00EB4561">
            <w:pPr>
              <w:jc w:val="center"/>
              <w:rPr>
                <w:sz w:val="20"/>
              </w:rPr>
            </w:pPr>
            <w:r>
              <w:rPr>
                <w:sz w:val="20"/>
              </w:rPr>
              <w:t>1,00-1,25</w:t>
            </w:r>
          </w:p>
        </w:tc>
      </w:tr>
      <w:tr w:rsidR="007E36EC" w:rsidRPr="005A0E21" w14:paraId="68174627" w14:textId="77777777" w:rsidTr="00EB4561">
        <w:trPr>
          <w:cantSplit/>
          <w:jc w:val="center"/>
        </w:trPr>
        <w:tc>
          <w:tcPr>
            <w:tcW w:w="2790" w:type="dxa"/>
            <w:tcBorders>
              <w:top w:val="nil"/>
            </w:tcBorders>
          </w:tcPr>
          <w:p w14:paraId="59A89744" w14:textId="24B1E47F" w:rsidR="007E36EC" w:rsidRPr="005A0E21" w:rsidRDefault="007E36EC" w:rsidP="007E36EC">
            <w:pPr>
              <w:pStyle w:val="Paragraph"/>
            </w:pPr>
            <w:r>
              <w:t>Sufficient</w:t>
            </w:r>
          </w:p>
        </w:tc>
        <w:tc>
          <w:tcPr>
            <w:tcW w:w="2790" w:type="dxa"/>
            <w:tcBorders>
              <w:top w:val="nil"/>
            </w:tcBorders>
          </w:tcPr>
          <w:p w14:paraId="33C001F1" w14:textId="0D2D621B" w:rsidR="007E36EC" w:rsidRPr="005A0E21" w:rsidRDefault="007E36EC" w:rsidP="00EB4561">
            <w:pPr>
              <w:jc w:val="center"/>
              <w:rPr>
                <w:sz w:val="20"/>
              </w:rPr>
            </w:pPr>
            <w:r>
              <w:rPr>
                <w:sz w:val="20"/>
              </w:rPr>
              <w:t>1,26-2,50</w:t>
            </w:r>
          </w:p>
        </w:tc>
      </w:tr>
      <w:tr w:rsidR="007E36EC" w:rsidRPr="005A0E21" w14:paraId="163C176E" w14:textId="77777777" w:rsidTr="00EB4561">
        <w:trPr>
          <w:cantSplit/>
          <w:jc w:val="center"/>
        </w:trPr>
        <w:tc>
          <w:tcPr>
            <w:tcW w:w="2790" w:type="dxa"/>
          </w:tcPr>
          <w:p w14:paraId="1793E72C" w14:textId="345EA8D7" w:rsidR="007E36EC" w:rsidRPr="005A0E21" w:rsidRDefault="007E36EC" w:rsidP="00EB4561">
            <w:pPr>
              <w:pStyle w:val="Paragraph"/>
            </w:pPr>
            <w:r>
              <w:t>Good</w:t>
            </w:r>
          </w:p>
        </w:tc>
        <w:tc>
          <w:tcPr>
            <w:tcW w:w="2790" w:type="dxa"/>
          </w:tcPr>
          <w:p w14:paraId="2018326B" w14:textId="08D6EF82" w:rsidR="007E36EC" w:rsidRPr="005A0E21" w:rsidRDefault="007E36EC" w:rsidP="00EB4561">
            <w:pPr>
              <w:jc w:val="center"/>
              <w:rPr>
                <w:sz w:val="20"/>
              </w:rPr>
            </w:pPr>
            <w:r>
              <w:rPr>
                <w:sz w:val="20"/>
              </w:rPr>
              <w:t>2,51-3,75</w:t>
            </w:r>
          </w:p>
        </w:tc>
      </w:tr>
      <w:tr w:rsidR="007E36EC" w:rsidRPr="005A0E21" w14:paraId="575DB16D" w14:textId="77777777" w:rsidTr="00EB4561">
        <w:trPr>
          <w:cantSplit/>
          <w:trHeight w:val="237"/>
          <w:jc w:val="center"/>
        </w:trPr>
        <w:tc>
          <w:tcPr>
            <w:tcW w:w="2790" w:type="dxa"/>
          </w:tcPr>
          <w:p w14:paraId="1A5B90F5" w14:textId="3FE8BD7C" w:rsidR="007E36EC" w:rsidRPr="005A0E21" w:rsidRDefault="007E36EC" w:rsidP="00EB4561">
            <w:pPr>
              <w:pStyle w:val="Paragraph"/>
            </w:pPr>
            <w:r>
              <w:t>Very good</w:t>
            </w:r>
          </w:p>
        </w:tc>
        <w:tc>
          <w:tcPr>
            <w:tcW w:w="2790" w:type="dxa"/>
          </w:tcPr>
          <w:p w14:paraId="45D4D11C" w14:textId="036740E5" w:rsidR="007E36EC" w:rsidRPr="005A0E21" w:rsidRDefault="007E36EC" w:rsidP="00EB4561">
            <w:pPr>
              <w:jc w:val="center"/>
              <w:rPr>
                <w:sz w:val="20"/>
              </w:rPr>
            </w:pPr>
            <w:r>
              <w:rPr>
                <w:sz w:val="20"/>
              </w:rPr>
              <w:t>3,76-5,00</w:t>
            </w:r>
          </w:p>
        </w:tc>
      </w:tr>
    </w:tbl>
    <w:p w14:paraId="64B33D14" w14:textId="77777777" w:rsidR="007E36EC" w:rsidRDefault="007E36EC" w:rsidP="007E36EC">
      <w:pPr>
        <w:pStyle w:val="Paragraph"/>
        <w:ind w:firstLine="0"/>
      </w:pPr>
    </w:p>
    <w:p w14:paraId="667BFE55" w14:textId="53F9789B" w:rsidR="007E36EC" w:rsidRPr="00075EA6" w:rsidRDefault="007E36EC" w:rsidP="007E36EC">
      <w:pPr>
        <w:pStyle w:val="Heading1"/>
        <w:rPr>
          <w:b w:val="0"/>
          <w:caps w:val="0"/>
          <w:sz w:val="20"/>
        </w:rPr>
      </w:pPr>
      <w:r>
        <w:t>Result and discussion</w:t>
      </w:r>
    </w:p>
    <w:p w14:paraId="331168DE" w14:textId="6B4B308C" w:rsidR="007E36EC" w:rsidRDefault="007E36EC" w:rsidP="007E36EC">
      <w:pPr>
        <w:pStyle w:val="Paragraph"/>
      </w:pPr>
      <w:r>
        <w:t>The results of the evaluation of online learning quality on the 5 learning components: material, media, planning, implementation, and evaluation are reported in the form of average values which are grouped into 4 quality categories as shown in Table 1.</w:t>
      </w:r>
      <w:r>
        <w:t xml:space="preserve"> </w:t>
      </w:r>
      <w:r>
        <w:t>The first online learning component is the quality of the material as shown in Table 2 indicating that the course content quality of the S1 lecturers is lower than that of the D4. Almost all assessment points in the D4 courses scored less than 4 even though these scores were still in the very good category. Two points that only get good marks are the provision of entertaining interludes to relieve boredom while studying. This is important during a pandemic because physical distancing policies can lead to feelings of isolation and boredom.</w:t>
      </w:r>
    </w:p>
    <w:p w14:paraId="3E925CAD" w14:textId="0FFA2F65" w:rsidR="007E36EC" w:rsidRDefault="007E36EC" w:rsidP="007E36EC">
      <w:pPr>
        <w:pStyle w:val="Paragraph"/>
        <w:ind w:firstLine="0"/>
      </w:pPr>
    </w:p>
    <w:tbl>
      <w:tblPr>
        <w:tblW w:w="8789" w:type="dxa"/>
        <w:jc w:val="center"/>
        <w:tblBorders>
          <w:bottom w:val="single" w:sz="4" w:space="0" w:color="auto"/>
        </w:tblBorders>
        <w:tblLayout w:type="fixed"/>
        <w:tblLook w:val="0000" w:firstRow="0" w:lastRow="0" w:firstColumn="0" w:lastColumn="0" w:noHBand="0" w:noVBand="0"/>
      </w:tblPr>
      <w:tblGrid>
        <w:gridCol w:w="5812"/>
        <w:gridCol w:w="1418"/>
        <w:gridCol w:w="1559"/>
      </w:tblGrid>
      <w:tr w:rsidR="007E36EC" w:rsidRPr="00075EA6" w14:paraId="169361B2" w14:textId="77777777" w:rsidTr="00EB0F70">
        <w:trPr>
          <w:cantSplit/>
          <w:trHeight w:val="429"/>
          <w:jc w:val="center"/>
        </w:trPr>
        <w:tc>
          <w:tcPr>
            <w:tcW w:w="8789" w:type="dxa"/>
            <w:gridSpan w:val="3"/>
            <w:tcBorders>
              <w:bottom w:val="nil"/>
            </w:tcBorders>
          </w:tcPr>
          <w:p w14:paraId="4ECFD7B7" w14:textId="32C96D53" w:rsidR="007E36EC" w:rsidRPr="00075EA6" w:rsidRDefault="007E36EC" w:rsidP="007E36EC">
            <w:pPr>
              <w:pStyle w:val="Paragraph"/>
              <w:spacing w:line="360" w:lineRule="auto"/>
              <w:ind w:firstLine="0"/>
              <w:jc w:val="center"/>
            </w:pPr>
            <w:r w:rsidRPr="00075EA6">
              <w:rPr>
                <w:b/>
              </w:rPr>
              <w:t xml:space="preserve">TABLE </w:t>
            </w:r>
            <w:r>
              <w:rPr>
                <w:b/>
              </w:rPr>
              <w:t>2</w:t>
            </w:r>
            <w:r w:rsidRPr="00075EA6">
              <w:rPr>
                <w:b/>
              </w:rPr>
              <w:t>.</w:t>
            </w:r>
            <w:r w:rsidRPr="007E36EC">
              <w:rPr>
                <w:i/>
                <w:iCs/>
              </w:rPr>
              <w:t xml:space="preserve"> Evaluation Result of Quality Content</w:t>
            </w:r>
          </w:p>
        </w:tc>
      </w:tr>
      <w:tr w:rsidR="00EB0F70" w:rsidRPr="00075EA6" w14:paraId="7F32F57C" w14:textId="77777777" w:rsidTr="00EB0F70">
        <w:trPr>
          <w:cantSplit/>
          <w:trHeight w:val="272"/>
          <w:jc w:val="center"/>
        </w:trPr>
        <w:tc>
          <w:tcPr>
            <w:tcW w:w="5812" w:type="dxa"/>
            <w:tcBorders>
              <w:top w:val="single" w:sz="4" w:space="0" w:color="auto"/>
              <w:bottom w:val="single" w:sz="4" w:space="0" w:color="auto"/>
            </w:tcBorders>
          </w:tcPr>
          <w:p w14:paraId="2F17B7D1" w14:textId="1C8821F8" w:rsidR="00EB0F70" w:rsidRPr="00075EA6" w:rsidRDefault="00EB0F70" w:rsidP="00EB0F70">
            <w:pPr>
              <w:jc w:val="center"/>
            </w:pPr>
            <w:r w:rsidRPr="008E1E5C">
              <w:t>Indicator</w:t>
            </w:r>
          </w:p>
        </w:tc>
        <w:tc>
          <w:tcPr>
            <w:tcW w:w="1418" w:type="dxa"/>
            <w:tcBorders>
              <w:top w:val="single" w:sz="4" w:space="0" w:color="auto"/>
              <w:bottom w:val="single" w:sz="4" w:space="0" w:color="auto"/>
            </w:tcBorders>
          </w:tcPr>
          <w:p w14:paraId="3BF391B6" w14:textId="2D8BD69A" w:rsidR="00EB0F70" w:rsidRPr="00075EA6" w:rsidRDefault="00EB0F70" w:rsidP="00EB0F70">
            <w:pPr>
              <w:jc w:val="center"/>
              <w:rPr>
                <w:b/>
                <w:sz w:val="18"/>
                <w:szCs w:val="18"/>
              </w:rPr>
            </w:pPr>
            <w:r w:rsidRPr="008E1E5C">
              <w:t>S1 Courses</w:t>
            </w:r>
          </w:p>
        </w:tc>
        <w:tc>
          <w:tcPr>
            <w:tcW w:w="1559" w:type="dxa"/>
            <w:tcBorders>
              <w:top w:val="single" w:sz="4" w:space="0" w:color="auto"/>
              <w:bottom w:val="single" w:sz="4" w:space="0" w:color="auto"/>
            </w:tcBorders>
          </w:tcPr>
          <w:p w14:paraId="0A29C338" w14:textId="68B48B90" w:rsidR="00EB0F70" w:rsidRPr="00075EA6" w:rsidRDefault="00EB0F70" w:rsidP="00EB0F70">
            <w:pPr>
              <w:jc w:val="center"/>
              <w:rPr>
                <w:b/>
                <w:sz w:val="18"/>
                <w:szCs w:val="18"/>
              </w:rPr>
            </w:pPr>
            <w:r w:rsidRPr="008E1E5C">
              <w:t>D4 Courses</w:t>
            </w:r>
          </w:p>
        </w:tc>
      </w:tr>
      <w:tr w:rsidR="00EB0F70" w:rsidRPr="005A0E21" w14:paraId="26711007" w14:textId="77777777" w:rsidTr="00EB0F70">
        <w:trPr>
          <w:cantSplit/>
          <w:jc w:val="center"/>
        </w:trPr>
        <w:tc>
          <w:tcPr>
            <w:tcW w:w="5812" w:type="dxa"/>
            <w:tcBorders>
              <w:top w:val="nil"/>
            </w:tcBorders>
          </w:tcPr>
          <w:p w14:paraId="61009473" w14:textId="65913BA6" w:rsidR="00EB0F70" w:rsidRPr="005A0E21" w:rsidRDefault="00EB0F70" w:rsidP="00EB0F70">
            <w:pPr>
              <w:pStyle w:val="Paragraph"/>
              <w:ind w:left="319" w:hanging="284"/>
              <w:jc w:val="left"/>
            </w:pPr>
            <w:r w:rsidRPr="006908FB">
              <w:t>Precise, consistent, and thorough concept</w:t>
            </w:r>
          </w:p>
        </w:tc>
        <w:tc>
          <w:tcPr>
            <w:tcW w:w="1418" w:type="dxa"/>
            <w:tcBorders>
              <w:top w:val="nil"/>
            </w:tcBorders>
          </w:tcPr>
          <w:p w14:paraId="6E4BEA19" w14:textId="66FFCADE" w:rsidR="00EB0F70" w:rsidRPr="005A0E21" w:rsidRDefault="00EB0F70" w:rsidP="00EB0F70">
            <w:pPr>
              <w:jc w:val="center"/>
              <w:rPr>
                <w:sz w:val="20"/>
              </w:rPr>
            </w:pPr>
            <w:r w:rsidRPr="00337A60">
              <w:t>3,90</w:t>
            </w:r>
          </w:p>
        </w:tc>
        <w:tc>
          <w:tcPr>
            <w:tcW w:w="1559" w:type="dxa"/>
            <w:tcBorders>
              <w:top w:val="nil"/>
            </w:tcBorders>
          </w:tcPr>
          <w:p w14:paraId="7160B79E" w14:textId="7E1699F6" w:rsidR="00EB0F70" w:rsidRPr="005A0E21" w:rsidRDefault="00EB0F70" w:rsidP="00EB0F70">
            <w:pPr>
              <w:jc w:val="center"/>
              <w:rPr>
                <w:sz w:val="20"/>
              </w:rPr>
            </w:pPr>
            <w:r w:rsidRPr="00337A60">
              <w:t>4,49</w:t>
            </w:r>
          </w:p>
        </w:tc>
      </w:tr>
      <w:tr w:rsidR="00EB0F70" w:rsidRPr="005A0E21" w14:paraId="5F84C998" w14:textId="77777777" w:rsidTr="00EB0F70">
        <w:trPr>
          <w:cantSplit/>
          <w:jc w:val="center"/>
        </w:trPr>
        <w:tc>
          <w:tcPr>
            <w:tcW w:w="5812" w:type="dxa"/>
          </w:tcPr>
          <w:p w14:paraId="5A80981C" w14:textId="0FAA3762" w:rsidR="00EB0F70" w:rsidRPr="005A0E21" w:rsidRDefault="00EB0F70" w:rsidP="00EB0F70">
            <w:pPr>
              <w:pStyle w:val="Paragraph"/>
              <w:ind w:left="319" w:hanging="284"/>
              <w:jc w:val="left"/>
            </w:pPr>
            <w:r w:rsidRPr="006908FB">
              <w:t>Simple and easy to understand language</w:t>
            </w:r>
          </w:p>
        </w:tc>
        <w:tc>
          <w:tcPr>
            <w:tcW w:w="1418" w:type="dxa"/>
          </w:tcPr>
          <w:p w14:paraId="12585386" w14:textId="441D611C" w:rsidR="00EB0F70" w:rsidRPr="005A0E21" w:rsidRDefault="00EB0F70" w:rsidP="00EB0F70">
            <w:pPr>
              <w:jc w:val="center"/>
              <w:rPr>
                <w:sz w:val="20"/>
              </w:rPr>
            </w:pPr>
            <w:r w:rsidRPr="00337A60">
              <w:t>3,83</w:t>
            </w:r>
          </w:p>
        </w:tc>
        <w:tc>
          <w:tcPr>
            <w:tcW w:w="1559" w:type="dxa"/>
          </w:tcPr>
          <w:p w14:paraId="6188FDFD" w14:textId="36235AFF" w:rsidR="00EB0F70" w:rsidRPr="005A0E21" w:rsidRDefault="00EB0F70" w:rsidP="00EB0F70">
            <w:pPr>
              <w:jc w:val="center"/>
              <w:rPr>
                <w:sz w:val="20"/>
              </w:rPr>
            </w:pPr>
            <w:r w:rsidRPr="00337A60">
              <w:t>4,35</w:t>
            </w:r>
          </w:p>
        </w:tc>
      </w:tr>
      <w:tr w:rsidR="00EB0F70" w:rsidRPr="005A0E21" w14:paraId="6D0A7C82" w14:textId="77777777" w:rsidTr="00EB0F70">
        <w:trPr>
          <w:cantSplit/>
          <w:trHeight w:val="237"/>
          <w:jc w:val="center"/>
        </w:trPr>
        <w:tc>
          <w:tcPr>
            <w:tcW w:w="5812" w:type="dxa"/>
          </w:tcPr>
          <w:p w14:paraId="0436C1A3" w14:textId="101B698B" w:rsidR="00EB0F70" w:rsidRPr="005A0E21" w:rsidRDefault="00EB0F70" w:rsidP="00EB0F70">
            <w:pPr>
              <w:pStyle w:val="Paragraph"/>
              <w:ind w:left="319" w:hanging="284"/>
              <w:jc w:val="left"/>
            </w:pPr>
            <w:r w:rsidRPr="006908FB">
              <w:t>Support achievement of real outcomes</w:t>
            </w:r>
          </w:p>
        </w:tc>
        <w:tc>
          <w:tcPr>
            <w:tcW w:w="1418" w:type="dxa"/>
          </w:tcPr>
          <w:p w14:paraId="43AF2F87" w14:textId="0566AABA" w:rsidR="00EB0F70" w:rsidRPr="005A0E21" w:rsidRDefault="00EB0F70" w:rsidP="00EB0F70">
            <w:pPr>
              <w:jc w:val="center"/>
              <w:rPr>
                <w:sz w:val="20"/>
              </w:rPr>
            </w:pPr>
            <w:r w:rsidRPr="00337A60">
              <w:t>4,06</w:t>
            </w:r>
          </w:p>
        </w:tc>
        <w:tc>
          <w:tcPr>
            <w:tcW w:w="1559" w:type="dxa"/>
          </w:tcPr>
          <w:p w14:paraId="32BF396B" w14:textId="4EB05CFD" w:rsidR="00EB0F70" w:rsidRPr="005A0E21" w:rsidRDefault="00EB0F70" w:rsidP="00EB0F70">
            <w:pPr>
              <w:jc w:val="center"/>
              <w:rPr>
                <w:sz w:val="20"/>
              </w:rPr>
            </w:pPr>
            <w:r w:rsidRPr="00337A60">
              <w:t>4,39</w:t>
            </w:r>
          </w:p>
        </w:tc>
      </w:tr>
      <w:tr w:rsidR="00EB0F70" w:rsidRPr="005A0E21" w14:paraId="2F66E8F9" w14:textId="77777777" w:rsidTr="00EB0F70">
        <w:trPr>
          <w:cantSplit/>
          <w:trHeight w:val="237"/>
          <w:jc w:val="center"/>
        </w:trPr>
        <w:tc>
          <w:tcPr>
            <w:tcW w:w="5812" w:type="dxa"/>
          </w:tcPr>
          <w:p w14:paraId="636F9178" w14:textId="06ACC328" w:rsidR="00EB0F70" w:rsidRPr="005A0E21" w:rsidRDefault="00EB0F70" w:rsidP="00EB0F70">
            <w:pPr>
              <w:pStyle w:val="Paragraph"/>
              <w:ind w:left="319" w:hanging="284"/>
              <w:jc w:val="left"/>
            </w:pPr>
            <w:r w:rsidRPr="006908FB">
              <w:t>Content with references</w:t>
            </w:r>
          </w:p>
        </w:tc>
        <w:tc>
          <w:tcPr>
            <w:tcW w:w="1418" w:type="dxa"/>
          </w:tcPr>
          <w:p w14:paraId="4A2C92EB" w14:textId="5EEC3152" w:rsidR="00EB0F70" w:rsidRPr="005A0E21" w:rsidRDefault="00EB0F70" w:rsidP="00EB0F70">
            <w:pPr>
              <w:jc w:val="center"/>
              <w:rPr>
                <w:sz w:val="20"/>
              </w:rPr>
            </w:pPr>
            <w:r w:rsidRPr="00337A60">
              <w:t>4,15</w:t>
            </w:r>
          </w:p>
        </w:tc>
        <w:tc>
          <w:tcPr>
            <w:tcW w:w="1559" w:type="dxa"/>
          </w:tcPr>
          <w:p w14:paraId="2B0D118C" w14:textId="262D07B5" w:rsidR="00EB0F70" w:rsidRPr="005A0E21" w:rsidRDefault="00EB0F70" w:rsidP="00EB0F70">
            <w:pPr>
              <w:jc w:val="center"/>
              <w:rPr>
                <w:sz w:val="20"/>
              </w:rPr>
            </w:pPr>
            <w:r w:rsidRPr="00337A60">
              <w:t>4,30</w:t>
            </w:r>
          </w:p>
        </w:tc>
      </w:tr>
      <w:tr w:rsidR="00EB0F70" w:rsidRPr="005A0E21" w14:paraId="11A61712" w14:textId="77777777" w:rsidTr="00EB0F70">
        <w:trPr>
          <w:cantSplit/>
          <w:trHeight w:val="237"/>
          <w:jc w:val="center"/>
        </w:trPr>
        <w:tc>
          <w:tcPr>
            <w:tcW w:w="5812" w:type="dxa"/>
          </w:tcPr>
          <w:p w14:paraId="1A046C61" w14:textId="2CC777DA" w:rsidR="00EB0F70" w:rsidRPr="005A0E21" w:rsidRDefault="00EB0F70" w:rsidP="00EB0F70">
            <w:pPr>
              <w:pStyle w:val="Paragraph"/>
              <w:ind w:left="319" w:hanging="284"/>
              <w:jc w:val="left"/>
            </w:pPr>
            <w:r w:rsidRPr="006908FB">
              <w:t>Interesting content to learn</w:t>
            </w:r>
          </w:p>
        </w:tc>
        <w:tc>
          <w:tcPr>
            <w:tcW w:w="1418" w:type="dxa"/>
          </w:tcPr>
          <w:p w14:paraId="36BE8980" w14:textId="288D7A54" w:rsidR="00EB0F70" w:rsidRPr="005A0E21" w:rsidRDefault="00EB0F70" w:rsidP="00EB0F70">
            <w:pPr>
              <w:jc w:val="center"/>
              <w:rPr>
                <w:sz w:val="20"/>
              </w:rPr>
            </w:pPr>
            <w:r w:rsidRPr="00337A60">
              <w:t>3,66</w:t>
            </w:r>
          </w:p>
        </w:tc>
        <w:tc>
          <w:tcPr>
            <w:tcW w:w="1559" w:type="dxa"/>
          </w:tcPr>
          <w:p w14:paraId="46ADB92F" w14:textId="569ABE9B" w:rsidR="00EB0F70" w:rsidRPr="005A0E21" w:rsidRDefault="00EB0F70" w:rsidP="00EB0F70">
            <w:pPr>
              <w:jc w:val="center"/>
              <w:rPr>
                <w:sz w:val="20"/>
              </w:rPr>
            </w:pPr>
            <w:r w:rsidRPr="00337A60">
              <w:t>4,30</w:t>
            </w:r>
          </w:p>
        </w:tc>
      </w:tr>
      <w:tr w:rsidR="00EB0F70" w:rsidRPr="005A0E21" w14:paraId="03BCA4B8" w14:textId="77777777" w:rsidTr="00EB0F70">
        <w:trPr>
          <w:cantSplit/>
          <w:trHeight w:val="237"/>
          <w:jc w:val="center"/>
        </w:trPr>
        <w:tc>
          <w:tcPr>
            <w:tcW w:w="5812" w:type="dxa"/>
          </w:tcPr>
          <w:p w14:paraId="2BCFBC98" w14:textId="7B4DA103" w:rsidR="00EB0F70" w:rsidRPr="005A0E21" w:rsidRDefault="00EB0F70" w:rsidP="00EB0F70">
            <w:pPr>
              <w:pStyle w:val="Paragraph"/>
              <w:ind w:left="319" w:hanging="284"/>
              <w:jc w:val="left"/>
            </w:pPr>
            <w:r w:rsidRPr="006908FB">
              <w:t>Provide several choices of activities and learning media</w:t>
            </w:r>
          </w:p>
        </w:tc>
        <w:tc>
          <w:tcPr>
            <w:tcW w:w="1418" w:type="dxa"/>
          </w:tcPr>
          <w:p w14:paraId="5B82EFC1" w14:textId="098F3533" w:rsidR="00EB0F70" w:rsidRPr="005A0E21" w:rsidRDefault="00EB0F70" w:rsidP="00EB0F70">
            <w:pPr>
              <w:jc w:val="center"/>
              <w:rPr>
                <w:sz w:val="20"/>
              </w:rPr>
            </w:pPr>
            <w:r w:rsidRPr="00337A60">
              <w:t>3,96</w:t>
            </w:r>
          </w:p>
        </w:tc>
        <w:tc>
          <w:tcPr>
            <w:tcW w:w="1559" w:type="dxa"/>
          </w:tcPr>
          <w:p w14:paraId="4934A577" w14:textId="55F8A6CA" w:rsidR="00EB0F70" w:rsidRPr="005A0E21" w:rsidRDefault="00EB0F70" w:rsidP="00EB0F70">
            <w:pPr>
              <w:jc w:val="center"/>
              <w:rPr>
                <w:sz w:val="20"/>
              </w:rPr>
            </w:pPr>
            <w:r w:rsidRPr="00337A60">
              <w:t>4,19</w:t>
            </w:r>
          </w:p>
        </w:tc>
      </w:tr>
      <w:tr w:rsidR="00EB0F70" w:rsidRPr="005A0E21" w14:paraId="72CA583F" w14:textId="77777777" w:rsidTr="00EB0F70">
        <w:trPr>
          <w:cantSplit/>
          <w:trHeight w:val="237"/>
          <w:jc w:val="center"/>
        </w:trPr>
        <w:tc>
          <w:tcPr>
            <w:tcW w:w="5812" w:type="dxa"/>
          </w:tcPr>
          <w:p w14:paraId="68B25C21" w14:textId="0E5AE65A" w:rsidR="00EB0F70" w:rsidRPr="005A0E21" w:rsidRDefault="00EB0F70" w:rsidP="00EB0F70">
            <w:pPr>
              <w:pStyle w:val="Paragraph"/>
              <w:ind w:left="319" w:hanging="284"/>
              <w:jc w:val="left"/>
            </w:pPr>
            <w:r w:rsidRPr="006908FB">
              <w:t>Available entertaining interludes</w:t>
            </w:r>
          </w:p>
        </w:tc>
        <w:tc>
          <w:tcPr>
            <w:tcW w:w="1418" w:type="dxa"/>
          </w:tcPr>
          <w:p w14:paraId="1D855A26" w14:textId="3F23753D" w:rsidR="00EB0F70" w:rsidRPr="005A0E21" w:rsidRDefault="00EB0F70" w:rsidP="00EB0F70">
            <w:pPr>
              <w:jc w:val="center"/>
              <w:rPr>
                <w:sz w:val="20"/>
              </w:rPr>
            </w:pPr>
            <w:r w:rsidRPr="00337A60">
              <w:t>3,58</w:t>
            </w:r>
          </w:p>
        </w:tc>
        <w:tc>
          <w:tcPr>
            <w:tcW w:w="1559" w:type="dxa"/>
          </w:tcPr>
          <w:p w14:paraId="1FE01675" w14:textId="4E55878A" w:rsidR="00EB0F70" w:rsidRPr="005A0E21" w:rsidRDefault="00EB0F70" w:rsidP="00EB0F70">
            <w:pPr>
              <w:jc w:val="center"/>
              <w:rPr>
                <w:sz w:val="20"/>
              </w:rPr>
            </w:pPr>
            <w:r w:rsidRPr="00337A60">
              <w:t>3,78</w:t>
            </w:r>
          </w:p>
        </w:tc>
      </w:tr>
      <w:tr w:rsidR="00EB0F70" w:rsidRPr="005A0E21" w14:paraId="4C02569F" w14:textId="77777777" w:rsidTr="00EB0F70">
        <w:trPr>
          <w:cantSplit/>
          <w:trHeight w:val="237"/>
          <w:jc w:val="center"/>
        </w:trPr>
        <w:tc>
          <w:tcPr>
            <w:tcW w:w="5812" w:type="dxa"/>
          </w:tcPr>
          <w:p w14:paraId="57A86F9B" w14:textId="2A7EBA35" w:rsidR="00EB0F70" w:rsidRPr="005A0E21" w:rsidRDefault="00EB0F70" w:rsidP="00EB0F70">
            <w:pPr>
              <w:pStyle w:val="Paragraph"/>
              <w:ind w:left="319" w:hanging="284"/>
              <w:jc w:val="left"/>
            </w:pPr>
            <w:r w:rsidRPr="006908FB">
              <w:t>Text, images, graphics in power point are very clear and easy to read</w:t>
            </w:r>
          </w:p>
        </w:tc>
        <w:tc>
          <w:tcPr>
            <w:tcW w:w="1418" w:type="dxa"/>
          </w:tcPr>
          <w:p w14:paraId="73CE7DEC" w14:textId="423DA5EE" w:rsidR="00EB0F70" w:rsidRPr="005A0E21" w:rsidRDefault="00EB0F70" w:rsidP="00EB0F70">
            <w:pPr>
              <w:jc w:val="center"/>
              <w:rPr>
                <w:sz w:val="20"/>
              </w:rPr>
            </w:pPr>
            <w:r w:rsidRPr="00337A60">
              <w:t>3,93</w:t>
            </w:r>
          </w:p>
        </w:tc>
        <w:tc>
          <w:tcPr>
            <w:tcW w:w="1559" w:type="dxa"/>
          </w:tcPr>
          <w:p w14:paraId="53C1C729" w14:textId="52136B69" w:rsidR="00EB0F70" w:rsidRPr="005A0E21" w:rsidRDefault="00EB0F70" w:rsidP="00EB0F70">
            <w:pPr>
              <w:jc w:val="center"/>
              <w:rPr>
                <w:sz w:val="20"/>
              </w:rPr>
            </w:pPr>
            <w:r w:rsidRPr="00337A60">
              <w:t>4,41</w:t>
            </w:r>
          </w:p>
        </w:tc>
      </w:tr>
      <w:tr w:rsidR="00EB0F70" w:rsidRPr="005A0E21" w14:paraId="436DD8A6" w14:textId="77777777" w:rsidTr="00EB0F70">
        <w:trPr>
          <w:cantSplit/>
          <w:trHeight w:val="237"/>
          <w:jc w:val="center"/>
        </w:trPr>
        <w:tc>
          <w:tcPr>
            <w:tcW w:w="5812" w:type="dxa"/>
          </w:tcPr>
          <w:p w14:paraId="10C1ECBA" w14:textId="5ABA4FE7" w:rsidR="00EB0F70" w:rsidRPr="005A0E21" w:rsidRDefault="00EB0F70" w:rsidP="00EB0F70">
            <w:pPr>
              <w:pStyle w:val="Paragraph"/>
              <w:ind w:left="319" w:hanging="284"/>
              <w:jc w:val="left"/>
            </w:pPr>
            <w:r w:rsidRPr="006908FB">
              <w:t>Background and content regulated beautiful and harmonious</w:t>
            </w:r>
          </w:p>
        </w:tc>
        <w:tc>
          <w:tcPr>
            <w:tcW w:w="1418" w:type="dxa"/>
          </w:tcPr>
          <w:p w14:paraId="7AA362AD" w14:textId="4E0C6DB7" w:rsidR="00EB0F70" w:rsidRPr="005A0E21" w:rsidRDefault="00EB0F70" w:rsidP="00EB0F70">
            <w:pPr>
              <w:jc w:val="center"/>
              <w:rPr>
                <w:sz w:val="20"/>
              </w:rPr>
            </w:pPr>
            <w:r w:rsidRPr="00337A60">
              <w:t>3,90</w:t>
            </w:r>
          </w:p>
        </w:tc>
        <w:tc>
          <w:tcPr>
            <w:tcW w:w="1559" w:type="dxa"/>
          </w:tcPr>
          <w:p w14:paraId="690D6F25" w14:textId="4DD9E5C3" w:rsidR="00EB0F70" w:rsidRPr="005A0E21" w:rsidRDefault="00EB0F70" w:rsidP="00EB0F70">
            <w:pPr>
              <w:jc w:val="center"/>
              <w:rPr>
                <w:sz w:val="20"/>
              </w:rPr>
            </w:pPr>
            <w:r w:rsidRPr="00337A60">
              <w:t>4,44</w:t>
            </w:r>
          </w:p>
        </w:tc>
      </w:tr>
      <w:tr w:rsidR="00EB0F70" w:rsidRPr="005A0E21" w14:paraId="144811D6" w14:textId="77777777" w:rsidTr="00EB0F70">
        <w:trPr>
          <w:cantSplit/>
          <w:trHeight w:val="237"/>
          <w:jc w:val="center"/>
        </w:trPr>
        <w:tc>
          <w:tcPr>
            <w:tcW w:w="5812" w:type="dxa"/>
          </w:tcPr>
          <w:p w14:paraId="6E7828E2" w14:textId="5043C4B0" w:rsidR="00EB0F70" w:rsidRPr="005A0E21" w:rsidRDefault="00EB0F70" w:rsidP="00EB0F70">
            <w:pPr>
              <w:pStyle w:val="Paragraph"/>
              <w:ind w:left="319" w:hanging="284"/>
              <w:jc w:val="left"/>
            </w:pPr>
            <w:r w:rsidRPr="006908FB">
              <w:t>Easy to find, fast and accurate navigation</w:t>
            </w:r>
          </w:p>
        </w:tc>
        <w:tc>
          <w:tcPr>
            <w:tcW w:w="1418" w:type="dxa"/>
          </w:tcPr>
          <w:p w14:paraId="12C5573F" w14:textId="3B505357" w:rsidR="00EB0F70" w:rsidRPr="005A0E21" w:rsidRDefault="00EB0F70" w:rsidP="00EB0F70">
            <w:pPr>
              <w:jc w:val="center"/>
              <w:rPr>
                <w:sz w:val="20"/>
              </w:rPr>
            </w:pPr>
            <w:r w:rsidRPr="00337A60">
              <w:t>3,98</w:t>
            </w:r>
          </w:p>
        </w:tc>
        <w:tc>
          <w:tcPr>
            <w:tcW w:w="1559" w:type="dxa"/>
          </w:tcPr>
          <w:p w14:paraId="37B0CA27" w14:textId="139A00DB" w:rsidR="00EB0F70" w:rsidRPr="005A0E21" w:rsidRDefault="00EB0F70" w:rsidP="00EB0F70">
            <w:pPr>
              <w:jc w:val="center"/>
              <w:rPr>
                <w:sz w:val="20"/>
              </w:rPr>
            </w:pPr>
            <w:r w:rsidRPr="00337A60">
              <w:t>4,25</w:t>
            </w:r>
          </w:p>
        </w:tc>
      </w:tr>
      <w:tr w:rsidR="00EB0F70" w:rsidRPr="005A0E21" w14:paraId="20410CB5" w14:textId="77777777" w:rsidTr="00EB0F70">
        <w:trPr>
          <w:cantSplit/>
          <w:trHeight w:val="237"/>
          <w:jc w:val="center"/>
        </w:trPr>
        <w:tc>
          <w:tcPr>
            <w:tcW w:w="5812" w:type="dxa"/>
          </w:tcPr>
          <w:p w14:paraId="2BE10627" w14:textId="45618FF6" w:rsidR="00EB0F70" w:rsidRPr="005A0E21" w:rsidRDefault="00EB0F70" w:rsidP="00EB0F70">
            <w:pPr>
              <w:pStyle w:val="Paragraph"/>
              <w:ind w:left="319" w:hanging="284"/>
              <w:jc w:val="left"/>
            </w:pPr>
            <w:r w:rsidRPr="006908FB">
              <w:t>Not too much learning load</w:t>
            </w:r>
          </w:p>
        </w:tc>
        <w:tc>
          <w:tcPr>
            <w:tcW w:w="1418" w:type="dxa"/>
          </w:tcPr>
          <w:p w14:paraId="72B5BD9D" w14:textId="161F99A4" w:rsidR="00EB0F70" w:rsidRPr="005A0E21" w:rsidRDefault="00EB0F70" w:rsidP="00EB0F70">
            <w:pPr>
              <w:jc w:val="center"/>
              <w:rPr>
                <w:sz w:val="20"/>
              </w:rPr>
            </w:pPr>
            <w:r w:rsidRPr="00337A60">
              <w:t>3,85</w:t>
            </w:r>
          </w:p>
        </w:tc>
        <w:tc>
          <w:tcPr>
            <w:tcW w:w="1559" w:type="dxa"/>
          </w:tcPr>
          <w:p w14:paraId="413819C2" w14:textId="5555F860" w:rsidR="00EB0F70" w:rsidRPr="005A0E21" w:rsidRDefault="00EB0F70" w:rsidP="00EB0F70">
            <w:pPr>
              <w:jc w:val="center"/>
              <w:rPr>
                <w:sz w:val="20"/>
              </w:rPr>
            </w:pPr>
            <w:r w:rsidRPr="00337A60">
              <w:t>4,18</w:t>
            </w:r>
          </w:p>
        </w:tc>
      </w:tr>
      <w:tr w:rsidR="00EB0F70" w:rsidRPr="005A0E21" w14:paraId="7710B8C8" w14:textId="77777777" w:rsidTr="00EB0F70">
        <w:trPr>
          <w:cantSplit/>
          <w:trHeight w:val="237"/>
          <w:jc w:val="center"/>
        </w:trPr>
        <w:tc>
          <w:tcPr>
            <w:tcW w:w="5812" w:type="dxa"/>
          </w:tcPr>
          <w:p w14:paraId="7A913E70" w14:textId="4ADCA962" w:rsidR="00EB0F70" w:rsidRPr="005A0E21" w:rsidRDefault="00EB0F70" w:rsidP="00EB0F70">
            <w:pPr>
              <w:pStyle w:val="Paragraph"/>
              <w:ind w:left="319" w:hanging="284"/>
              <w:jc w:val="left"/>
            </w:pPr>
            <w:r w:rsidRPr="006908FB">
              <w:t>Average evaluation of learning content quality</w:t>
            </w:r>
          </w:p>
        </w:tc>
        <w:tc>
          <w:tcPr>
            <w:tcW w:w="1418" w:type="dxa"/>
          </w:tcPr>
          <w:p w14:paraId="311541DB" w14:textId="5E2665DF" w:rsidR="00EB0F70" w:rsidRPr="005A0E21" w:rsidRDefault="00EB0F70" w:rsidP="00EB0F70">
            <w:pPr>
              <w:jc w:val="center"/>
              <w:rPr>
                <w:sz w:val="20"/>
              </w:rPr>
            </w:pPr>
            <w:r w:rsidRPr="00337A60">
              <w:t>3,89</w:t>
            </w:r>
          </w:p>
        </w:tc>
        <w:tc>
          <w:tcPr>
            <w:tcW w:w="1559" w:type="dxa"/>
          </w:tcPr>
          <w:p w14:paraId="178C2915" w14:textId="021F048A" w:rsidR="00EB0F70" w:rsidRPr="005A0E21" w:rsidRDefault="00EB0F70" w:rsidP="00EB0F70">
            <w:pPr>
              <w:jc w:val="center"/>
              <w:rPr>
                <w:sz w:val="20"/>
              </w:rPr>
            </w:pPr>
            <w:r w:rsidRPr="00337A60">
              <w:t>4,28</w:t>
            </w:r>
          </w:p>
        </w:tc>
      </w:tr>
    </w:tbl>
    <w:p w14:paraId="0BF8E14E" w14:textId="77777777" w:rsidR="007E36EC" w:rsidRDefault="007E36EC" w:rsidP="007E36EC">
      <w:pPr>
        <w:pStyle w:val="Paragraph"/>
        <w:ind w:firstLine="0"/>
      </w:pPr>
    </w:p>
    <w:p w14:paraId="5CE9C50A" w14:textId="77777777" w:rsidR="007E36EC" w:rsidRDefault="007E36EC" w:rsidP="00827050">
      <w:pPr>
        <w:pStyle w:val="Paragraph"/>
      </w:pPr>
    </w:p>
    <w:p w14:paraId="12C7419C" w14:textId="1CA4F179" w:rsidR="00EB0F70" w:rsidRDefault="00EB0F70" w:rsidP="00EB0F70">
      <w:pPr>
        <w:pStyle w:val="Paragraph"/>
      </w:pPr>
      <w:r>
        <w:t xml:space="preserve">The quality of online learning content is in the Very Good category with an average value of 3.89 (S1) and 4.28 (D4). Students expect online learning content to be interesting and there will be entertainment breaks so it doesn't get boring. According to the Directorate of Higher Education Learning, good learning content is free from errors and presented without bias. Statements of claims or conclusions must be accompanied by data as evidence or logical arguments. Learning content is in accordance with the needs and characteristics of learning outcomes </w:t>
      </w:r>
      <w:r w:rsidR="009A3EEB">
        <w:fldChar w:fldCharType="begin" w:fldLock="1"/>
      </w:r>
      <w:r w:rsidR="00B466E2">
        <w:instrText>ADDIN CSL_CITATION {"citationItems":[{"id":"ITEM-1","itemData":{"author":[{"dropping-particle":"","family":"DIKTI","given":"","non-dropping-particle":"","parse-names":false,"suffix":""},{"dropping-particle":"","family":"Pembelajaran","given":"Direktorat","non-dropping-particle":"","parse-names":false,"suffix":""}],"id":"ITEM-1","issued":{"date-parts":[["2016"]]},"publisher":"Direktorat Pembelajaran, Dikti","title":"Panduan Penjaminan Mutu Proses Pembelajaran Daring P D I T T 2016","type":"book"},"uris":["http://www.mendeley.com/documents/?uuid=9b82b675-2a03-47c1-9e7c-99d1608ad440"]}],"mendeley":{"formattedCitation":"&lt;sup&gt;3&lt;/sup&gt;","plainTextFormattedCitation":"3","previouslyFormattedCitation":"(DIKTI &amp; Pembelajaran, 2016)"},"properties":{"noteIndex":0},"schema":"https://github.com/citation-style-language/schema/raw/master/csl-citation.json"}</w:instrText>
      </w:r>
      <w:r w:rsidR="009A3EEB">
        <w:fldChar w:fldCharType="separate"/>
      </w:r>
      <w:r w:rsidR="00B466E2" w:rsidRPr="00B466E2">
        <w:rPr>
          <w:noProof/>
          <w:vertAlign w:val="superscript"/>
        </w:rPr>
        <w:t>3</w:t>
      </w:r>
      <w:r w:rsidR="009A3EEB">
        <w:fldChar w:fldCharType="end"/>
      </w:r>
      <w:r>
        <w:t xml:space="preserve">. </w:t>
      </w:r>
      <w:proofErr w:type="spellStart"/>
      <w:r>
        <w:t>Endang</w:t>
      </w:r>
      <w:proofErr w:type="spellEnd"/>
      <w:r>
        <w:t xml:space="preserve"> </w:t>
      </w:r>
      <w:proofErr w:type="spellStart"/>
      <w:r>
        <w:t>Mulyatiningsih</w:t>
      </w:r>
      <w:proofErr w:type="spellEnd"/>
      <w:r>
        <w:t xml:space="preserve"> </w:t>
      </w:r>
      <w:r w:rsidR="009A3EEB">
        <w:fldChar w:fldCharType="begin" w:fldLock="1"/>
      </w:r>
      <w:r w:rsidR="00B466E2">
        <w:instrText>ADDIN CSL_CITATION {"citationItems":[{"id":"ITEM-1","itemData":{"author":[{"dropping-particle":"","family":"Mulyatiningsih","given":"Endang","non-dropping-particle":"","parse-names":false,"suffix":""}],"container-title":"Naskah Pidato Pengukuhan GB","id":"ITEM-1","issued":{"date-parts":[["2020"]]},"title":"EVALUASI PEMBELAJARAN DALAM JARINGAN PADA MASA PANDEMI VIRUS CORONA 2019","type":"article-journal"},"uris":["http://www.mendeley.com/documents/?uuid=9dde23ac-71c7-4ca6-9cfd-12996c0fc6c2"]}],"mendeley":{"formattedCitation":"&lt;sup&gt;8&lt;/sup&gt;","plainTextFormattedCitation":"8","previouslyFormattedCitation":"(Mulyatiningsih, 2020)"},"properties":{"noteIndex":0},"schema":"https://github.com/citation-style-language/schema/raw/master/csl-citation.json"}</w:instrText>
      </w:r>
      <w:r w:rsidR="009A3EEB">
        <w:fldChar w:fldCharType="separate"/>
      </w:r>
      <w:r w:rsidR="00B466E2" w:rsidRPr="00B466E2">
        <w:rPr>
          <w:noProof/>
          <w:vertAlign w:val="superscript"/>
        </w:rPr>
        <w:t>8</w:t>
      </w:r>
      <w:r w:rsidR="009A3EEB">
        <w:fldChar w:fldCharType="end"/>
      </w:r>
      <w:r>
        <w:t xml:space="preserve"> found that full online learning content actually causes low student participation rates because the learning burden is felt too heavy. Learning content that only contains simple modules, videos and assignments can actually cause student participation in learning to approach 100%. </w:t>
      </w:r>
    </w:p>
    <w:p w14:paraId="012CCA7A" w14:textId="6FA33413" w:rsidR="00EB0F70" w:rsidRDefault="00EB0F70" w:rsidP="00EB0F70">
      <w:pPr>
        <w:pStyle w:val="Paragraph"/>
      </w:pPr>
      <w:r>
        <w:lastRenderedPageBreak/>
        <w:t>Another research found that in online learning, the learning goals and expectations of each course are clearly conveyed to students, the provision of high-quality learning materials, and efforts to improve collaborative learning can contribute significantly to student achievement</w:t>
      </w:r>
      <w:r w:rsidR="009A3EEB">
        <w:t xml:space="preserve"> </w:t>
      </w:r>
      <w:r w:rsidR="009A3EEB">
        <w:fldChar w:fldCharType="begin" w:fldLock="1"/>
      </w:r>
      <w:r w:rsidR="00B466E2">
        <w:instrText>ADDIN CSL_CITATION {"citationItems":[{"id":"ITEM-1","itemData":{"DOI":"10.1007/s40692-020-00164-7","ISBN":"0123456789","ISSN":"21979995","abstract":"Significant enhancement in students’ learning performance has been noticed in blended learning courses. Yet, the differential effect of blended learning as a function of disciplinary difference has not widely been explored. Moreover, studies on the critical factors related to students’ performance measured by objective course grades are recognized to a lesser extent compared with those using self-reported or perceived learning achievement. In the present study, the effect of blended learning in hard and soft courses is discerned. Factors related to students’ performance measured by final course grades are unraveled, controlling for the effects of gender and prior learning achievement. The participants (N = 571) are students following blended learning courses at a public university in Vietnam. A questionnaire is employed to collect data, which is subject to confirmatory factor analysis and hierarchical regression analyses. The results show that students in soft disciplines obtain higher grades than peers in hard disciplines. Clear goals and expectations, material quality, and collaborative learning are significant predictors of students’ performance.","author":[{"dropping-particle":"","family":"Vo","given":"Minh Hien","non-dropping-particle":"","parse-names":false,"suffix":""},{"dropping-particle":"","family":"Zhu","given":"Chang","non-dropping-particle":"","parse-names":false,"suffix":""},{"dropping-particle":"","family":"Diep","given":"Anh Nguyet","non-dropping-particle":"","parse-names":false,"suffix":""}],"container-title":"Journal of Computers in Education","id":"ITEM-1","issue":"4","issued":{"date-parts":[["2020"]]},"page":"487-510","publisher":"Springer Berlin Heidelberg","title":"Students’ performance in blended learning: disciplinary difference and instructional design factors","type":"article-journal","volume":"7"},"uris":["http://www.mendeley.com/documents/?uuid=d9a84dcb-e05c-4f4a-9091-af52b749b776"]}],"mendeley":{"formattedCitation":"&lt;sup&gt;9&lt;/sup&gt;","plainTextFormattedCitation":"9","previouslyFormattedCitation":"(Vo et al., 2020)"},"properties":{"noteIndex":0},"schema":"https://github.com/citation-style-language/schema/raw/master/csl-citation.json"}</w:instrText>
      </w:r>
      <w:r w:rsidR="009A3EEB">
        <w:fldChar w:fldCharType="separate"/>
      </w:r>
      <w:r w:rsidR="00B466E2" w:rsidRPr="00B466E2">
        <w:rPr>
          <w:noProof/>
          <w:vertAlign w:val="superscript"/>
        </w:rPr>
        <w:t>9</w:t>
      </w:r>
      <w:r w:rsidR="009A3EEB">
        <w:fldChar w:fldCharType="end"/>
      </w:r>
      <w:r>
        <w:t xml:space="preserve">. Low quality e-learning content can lead to an increase in knowledge but no change in attitudes and skills in the workplace after learning </w:t>
      </w:r>
      <w:r w:rsidR="009A3EEB">
        <w:fldChar w:fldCharType="begin" w:fldLock="1"/>
      </w:r>
      <w:r w:rsidR="00B466E2">
        <w:instrText>ADDIN CSL_CITATION {"citationItems":[{"id":"ITEM-1","itemData":{"DOI":"10.2196/preprints.10982","author":[{"dropping-particle":"","family":"Alturkistani","given":"Abrar","non-dropping-particle":"","parse-names":false,"suffix":""},{"dropping-particle":"","family":"Car","given":"Josip","non-dropping-particle":"","parse-names":false,"suffix":""},{"dropping-particle":"","family":"Wells","given":"Glenn","non-dropping-particle":"","parse-names":false,"suffix":""},{"dropping-particle":"","family":"Meinert","given":"Edward","non-dropping-particle":"","parse-names":false,"suffix":""}],"container-title":"Research gate","id":"ITEM-1","issue":"May","issued":{"date-parts":[["2018"]]},"title":"Corresponding Author : An evaluation of a Massive Open Online Course ( MOOC ) about data science for continuing education in healthcare","type":"article-journal"},"uris":["http://www.mendeley.com/documents/?uuid=da62282c-19ce-4dec-a8fc-44751ffa8ca3"]}],"mendeley":{"formattedCitation":"&lt;sup&gt;10&lt;/sup&gt;","plainTextFormattedCitation":"10","previouslyFormattedCitation":"(Alturkistani et al., 2018)"},"properties":{"noteIndex":0},"schema":"https://github.com/citation-style-language/schema/raw/master/csl-citation.json"}</w:instrText>
      </w:r>
      <w:r w:rsidR="009A3EEB">
        <w:fldChar w:fldCharType="separate"/>
      </w:r>
      <w:r w:rsidR="00B466E2" w:rsidRPr="00B466E2">
        <w:rPr>
          <w:noProof/>
          <w:vertAlign w:val="superscript"/>
        </w:rPr>
        <w:t>10</w:t>
      </w:r>
      <w:r w:rsidR="009A3EEB">
        <w:fldChar w:fldCharType="end"/>
      </w:r>
      <w:r>
        <w:t>. Based on this study, the components of online learning content have very good quality. Lecturers have the ability to compose content according to student expectations and learning outcomes.</w:t>
      </w:r>
    </w:p>
    <w:p w14:paraId="22D39AB8" w14:textId="2EAA1BC5" w:rsidR="00EB0F70" w:rsidRDefault="00EB0F70" w:rsidP="00EB0F70">
      <w:pPr>
        <w:pStyle w:val="Paragraph"/>
      </w:pPr>
      <w:r>
        <w:t>The second component is learning media. Learning media serves to help students understand the material better. Media that are often used by lecturers are PowerPoint and video. The average value of the learning media used by the lecturer is in the Table 3. Student assessments on the quality of learning media are still consistent with previous content quality assessments. Students considered that the learning media was less interesting and the media did not contain new knowledge that aroused the desire to learn. These two things got the lowest score among the other items. Based on the data from Table 3, the lowest learning media quality indicators are shown in the attractiveness of the media (interesting media) and the ability of the media to increase learning enthusiasm (contains new knowledge that increases enthusiasm for learning).</w:t>
      </w:r>
    </w:p>
    <w:p w14:paraId="4EF8147B" w14:textId="77777777" w:rsidR="00EB0F70" w:rsidRDefault="00EB0F70" w:rsidP="00EB0F70">
      <w:pPr>
        <w:pStyle w:val="Paragraph"/>
      </w:pPr>
    </w:p>
    <w:tbl>
      <w:tblPr>
        <w:tblW w:w="8789" w:type="dxa"/>
        <w:jc w:val="center"/>
        <w:tblBorders>
          <w:bottom w:val="single" w:sz="4" w:space="0" w:color="auto"/>
        </w:tblBorders>
        <w:tblLayout w:type="fixed"/>
        <w:tblLook w:val="0000" w:firstRow="0" w:lastRow="0" w:firstColumn="0" w:lastColumn="0" w:noHBand="0" w:noVBand="0"/>
      </w:tblPr>
      <w:tblGrid>
        <w:gridCol w:w="5812"/>
        <w:gridCol w:w="1418"/>
        <w:gridCol w:w="1559"/>
      </w:tblGrid>
      <w:tr w:rsidR="00EB0F70" w:rsidRPr="00075EA6" w14:paraId="5BE1B00F" w14:textId="77777777" w:rsidTr="00EB4561">
        <w:trPr>
          <w:cantSplit/>
          <w:trHeight w:val="429"/>
          <w:jc w:val="center"/>
        </w:trPr>
        <w:tc>
          <w:tcPr>
            <w:tcW w:w="8789" w:type="dxa"/>
            <w:gridSpan w:val="3"/>
            <w:tcBorders>
              <w:bottom w:val="nil"/>
            </w:tcBorders>
          </w:tcPr>
          <w:p w14:paraId="1323B4F4" w14:textId="4F49BA47" w:rsidR="00EB0F70" w:rsidRPr="00075EA6" w:rsidRDefault="00EB0F70" w:rsidP="00EB4561">
            <w:pPr>
              <w:pStyle w:val="Paragraph"/>
              <w:spacing w:line="360" w:lineRule="auto"/>
              <w:ind w:firstLine="0"/>
              <w:jc w:val="center"/>
            </w:pPr>
            <w:r w:rsidRPr="00075EA6">
              <w:rPr>
                <w:b/>
              </w:rPr>
              <w:t xml:space="preserve">TABLE </w:t>
            </w:r>
            <w:r>
              <w:rPr>
                <w:b/>
              </w:rPr>
              <w:t>3</w:t>
            </w:r>
            <w:r w:rsidRPr="00075EA6">
              <w:rPr>
                <w:b/>
              </w:rPr>
              <w:t>.</w:t>
            </w:r>
            <w:r w:rsidRPr="007E36EC">
              <w:rPr>
                <w:i/>
                <w:iCs/>
              </w:rPr>
              <w:t xml:space="preserve"> </w:t>
            </w:r>
            <w:r w:rsidRPr="00EB0F70">
              <w:rPr>
                <w:i/>
                <w:iCs/>
              </w:rPr>
              <w:t>Evaluation Result of Media Quality</w:t>
            </w:r>
          </w:p>
        </w:tc>
      </w:tr>
      <w:tr w:rsidR="00EB0F70" w:rsidRPr="00075EA6" w14:paraId="0F8EAE2D" w14:textId="77777777" w:rsidTr="00EB4561">
        <w:trPr>
          <w:cantSplit/>
          <w:trHeight w:val="272"/>
          <w:jc w:val="center"/>
        </w:trPr>
        <w:tc>
          <w:tcPr>
            <w:tcW w:w="5812" w:type="dxa"/>
            <w:tcBorders>
              <w:top w:val="single" w:sz="4" w:space="0" w:color="auto"/>
              <w:bottom w:val="single" w:sz="4" w:space="0" w:color="auto"/>
            </w:tcBorders>
          </w:tcPr>
          <w:p w14:paraId="7C2C0ADC" w14:textId="77777777" w:rsidR="00EB0F70" w:rsidRPr="00075EA6" w:rsidRDefault="00EB0F70" w:rsidP="00EB4561">
            <w:pPr>
              <w:jc w:val="center"/>
            </w:pPr>
            <w:r w:rsidRPr="008E1E5C">
              <w:t>Indicator</w:t>
            </w:r>
          </w:p>
        </w:tc>
        <w:tc>
          <w:tcPr>
            <w:tcW w:w="1418" w:type="dxa"/>
            <w:tcBorders>
              <w:top w:val="single" w:sz="4" w:space="0" w:color="auto"/>
              <w:bottom w:val="single" w:sz="4" w:space="0" w:color="auto"/>
            </w:tcBorders>
          </w:tcPr>
          <w:p w14:paraId="40A98AD7" w14:textId="77777777" w:rsidR="00EB0F70" w:rsidRPr="00075EA6" w:rsidRDefault="00EB0F70" w:rsidP="00EB4561">
            <w:pPr>
              <w:jc w:val="center"/>
              <w:rPr>
                <w:b/>
                <w:sz w:val="18"/>
                <w:szCs w:val="18"/>
              </w:rPr>
            </w:pPr>
            <w:r w:rsidRPr="008E1E5C">
              <w:t>S1 Courses</w:t>
            </w:r>
          </w:p>
        </w:tc>
        <w:tc>
          <w:tcPr>
            <w:tcW w:w="1559" w:type="dxa"/>
            <w:tcBorders>
              <w:top w:val="single" w:sz="4" w:space="0" w:color="auto"/>
              <w:bottom w:val="single" w:sz="4" w:space="0" w:color="auto"/>
            </w:tcBorders>
          </w:tcPr>
          <w:p w14:paraId="434029C1" w14:textId="77777777" w:rsidR="00EB0F70" w:rsidRPr="00075EA6" w:rsidRDefault="00EB0F70" w:rsidP="00EB4561">
            <w:pPr>
              <w:jc w:val="center"/>
              <w:rPr>
                <w:b/>
                <w:sz w:val="18"/>
                <w:szCs w:val="18"/>
              </w:rPr>
            </w:pPr>
            <w:r w:rsidRPr="008E1E5C">
              <w:t>D4 Courses</w:t>
            </w:r>
          </w:p>
        </w:tc>
      </w:tr>
      <w:tr w:rsidR="00EB0F70" w:rsidRPr="005A0E21" w14:paraId="101A38C5" w14:textId="77777777" w:rsidTr="00EB4561">
        <w:trPr>
          <w:cantSplit/>
          <w:jc w:val="center"/>
        </w:trPr>
        <w:tc>
          <w:tcPr>
            <w:tcW w:w="5812" w:type="dxa"/>
            <w:tcBorders>
              <w:top w:val="nil"/>
            </w:tcBorders>
          </w:tcPr>
          <w:p w14:paraId="6FBCBEC0" w14:textId="2943220B" w:rsidR="00EB0F70" w:rsidRPr="005A0E21" w:rsidRDefault="00EB0F70" w:rsidP="00EB0F70">
            <w:pPr>
              <w:pStyle w:val="Paragraph"/>
              <w:ind w:left="319" w:hanging="284"/>
              <w:jc w:val="left"/>
            </w:pPr>
            <w:r w:rsidRPr="008C6CA7">
              <w:t>Able to clarify the delivery of material</w:t>
            </w:r>
          </w:p>
        </w:tc>
        <w:tc>
          <w:tcPr>
            <w:tcW w:w="1418" w:type="dxa"/>
            <w:tcBorders>
              <w:top w:val="nil"/>
            </w:tcBorders>
          </w:tcPr>
          <w:p w14:paraId="36EEB3C0" w14:textId="0F7DB7BF" w:rsidR="00EB0F70" w:rsidRPr="005A0E21" w:rsidRDefault="00EB0F70" w:rsidP="00EB0F70">
            <w:pPr>
              <w:jc w:val="center"/>
              <w:rPr>
                <w:sz w:val="20"/>
              </w:rPr>
            </w:pPr>
            <w:r w:rsidRPr="008C6CA7">
              <w:t>4,00</w:t>
            </w:r>
          </w:p>
        </w:tc>
        <w:tc>
          <w:tcPr>
            <w:tcW w:w="1559" w:type="dxa"/>
            <w:tcBorders>
              <w:top w:val="nil"/>
            </w:tcBorders>
          </w:tcPr>
          <w:p w14:paraId="7E72AB15" w14:textId="64FED341" w:rsidR="00EB0F70" w:rsidRPr="005A0E21" w:rsidRDefault="00EB0F70" w:rsidP="00EB0F70">
            <w:pPr>
              <w:jc w:val="center"/>
              <w:rPr>
                <w:sz w:val="20"/>
              </w:rPr>
            </w:pPr>
            <w:r w:rsidRPr="008C6CA7">
              <w:t>4,34</w:t>
            </w:r>
          </w:p>
        </w:tc>
      </w:tr>
      <w:tr w:rsidR="00EB0F70" w:rsidRPr="005A0E21" w14:paraId="30096197" w14:textId="77777777" w:rsidTr="00EB4561">
        <w:trPr>
          <w:cantSplit/>
          <w:jc w:val="center"/>
        </w:trPr>
        <w:tc>
          <w:tcPr>
            <w:tcW w:w="5812" w:type="dxa"/>
          </w:tcPr>
          <w:p w14:paraId="5900A605" w14:textId="1EFB5FA6" w:rsidR="00EB0F70" w:rsidRPr="005A0E21" w:rsidRDefault="00EB0F70" w:rsidP="00EB0F70">
            <w:pPr>
              <w:pStyle w:val="Paragraph"/>
              <w:ind w:left="319" w:hanging="284"/>
              <w:jc w:val="left"/>
            </w:pPr>
            <w:r w:rsidRPr="008C6CA7">
              <w:t>Uses relatively new technology</w:t>
            </w:r>
          </w:p>
        </w:tc>
        <w:tc>
          <w:tcPr>
            <w:tcW w:w="1418" w:type="dxa"/>
          </w:tcPr>
          <w:p w14:paraId="08EE0076" w14:textId="2C912086" w:rsidR="00EB0F70" w:rsidRPr="005A0E21" w:rsidRDefault="00EB0F70" w:rsidP="00EB0F70">
            <w:pPr>
              <w:jc w:val="center"/>
              <w:rPr>
                <w:sz w:val="20"/>
              </w:rPr>
            </w:pPr>
            <w:r w:rsidRPr="008C6CA7">
              <w:t>4,19</w:t>
            </w:r>
          </w:p>
        </w:tc>
        <w:tc>
          <w:tcPr>
            <w:tcW w:w="1559" w:type="dxa"/>
          </w:tcPr>
          <w:p w14:paraId="2D945EE6" w14:textId="56997784" w:rsidR="00EB0F70" w:rsidRPr="005A0E21" w:rsidRDefault="00EB0F70" w:rsidP="00EB0F70">
            <w:pPr>
              <w:jc w:val="center"/>
              <w:rPr>
                <w:sz w:val="20"/>
              </w:rPr>
            </w:pPr>
            <w:r w:rsidRPr="008C6CA7">
              <w:t>4,25</w:t>
            </w:r>
          </w:p>
        </w:tc>
      </w:tr>
      <w:tr w:rsidR="00EB0F70" w:rsidRPr="005A0E21" w14:paraId="35695A85" w14:textId="77777777" w:rsidTr="00EB4561">
        <w:trPr>
          <w:cantSplit/>
          <w:trHeight w:val="237"/>
          <w:jc w:val="center"/>
        </w:trPr>
        <w:tc>
          <w:tcPr>
            <w:tcW w:w="5812" w:type="dxa"/>
          </w:tcPr>
          <w:p w14:paraId="72F1B4FF" w14:textId="588ADDB1" w:rsidR="00EB0F70" w:rsidRPr="005A0E21" w:rsidRDefault="00EB0F70" w:rsidP="00EB0F70">
            <w:pPr>
              <w:pStyle w:val="Paragraph"/>
              <w:ind w:left="319" w:hanging="284"/>
              <w:jc w:val="left"/>
            </w:pPr>
            <w:r w:rsidRPr="008C6CA7">
              <w:t xml:space="preserve">Interesting media </w:t>
            </w:r>
          </w:p>
        </w:tc>
        <w:tc>
          <w:tcPr>
            <w:tcW w:w="1418" w:type="dxa"/>
          </w:tcPr>
          <w:p w14:paraId="3DB97DFE" w14:textId="6267A7DD" w:rsidR="00EB0F70" w:rsidRPr="005A0E21" w:rsidRDefault="00EB0F70" w:rsidP="00EB0F70">
            <w:pPr>
              <w:jc w:val="center"/>
              <w:rPr>
                <w:sz w:val="20"/>
              </w:rPr>
            </w:pPr>
            <w:r w:rsidRPr="008C6CA7">
              <w:t>3,64</w:t>
            </w:r>
          </w:p>
        </w:tc>
        <w:tc>
          <w:tcPr>
            <w:tcW w:w="1559" w:type="dxa"/>
          </w:tcPr>
          <w:p w14:paraId="10234DB9" w14:textId="3D9FBDF3" w:rsidR="00EB0F70" w:rsidRPr="005A0E21" w:rsidRDefault="00EB0F70" w:rsidP="00EB0F70">
            <w:pPr>
              <w:jc w:val="center"/>
              <w:rPr>
                <w:sz w:val="20"/>
              </w:rPr>
            </w:pPr>
            <w:r w:rsidRPr="008C6CA7">
              <w:t>4,08</w:t>
            </w:r>
          </w:p>
        </w:tc>
      </w:tr>
      <w:tr w:rsidR="00EB0F70" w:rsidRPr="005A0E21" w14:paraId="3D0C6197" w14:textId="77777777" w:rsidTr="00EB4561">
        <w:trPr>
          <w:cantSplit/>
          <w:trHeight w:val="237"/>
          <w:jc w:val="center"/>
        </w:trPr>
        <w:tc>
          <w:tcPr>
            <w:tcW w:w="5812" w:type="dxa"/>
          </w:tcPr>
          <w:p w14:paraId="25C26F84" w14:textId="3446E600" w:rsidR="00EB0F70" w:rsidRPr="005A0E21" w:rsidRDefault="00EB0F70" w:rsidP="00EB0F70">
            <w:pPr>
              <w:pStyle w:val="Paragraph"/>
              <w:ind w:left="319" w:hanging="284"/>
              <w:jc w:val="left"/>
            </w:pPr>
            <w:r w:rsidRPr="008C6CA7">
              <w:t>Contains new knowledge that increases enthusiasm for learning</w:t>
            </w:r>
          </w:p>
        </w:tc>
        <w:tc>
          <w:tcPr>
            <w:tcW w:w="1418" w:type="dxa"/>
          </w:tcPr>
          <w:p w14:paraId="2F3CF492" w14:textId="1EF255DC" w:rsidR="00EB0F70" w:rsidRPr="005A0E21" w:rsidRDefault="00EB0F70" w:rsidP="00EB0F70">
            <w:pPr>
              <w:jc w:val="center"/>
              <w:rPr>
                <w:sz w:val="20"/>
              </w:rPr>
            </w:pPr>
            <w:r w:rsidRPr="008C6CA7">
              <w:t>3,69</w:t>
            </w:r>
          </w:p>
        </w:tc>
        <w:tc>
          <w:tcPr>
            <w:tcW w:w="1559" w:type="dxa"/>
          </w:tcPr>
          <w:p w14:paraId="507F41CE" w14:textId="51D493D1" w:rsidR="00EB0F70" w:rsidRPr="005A0E21" w:rsidRDefault="00EB0F70" w:rsidP="00EB0F70">
            <w:pPr>
              <w:jc w:val="center"/>
              <w:rPr>
                <w:sz w:val="20"/>
              </w:rPr>
            </w:pPr>
            <w:r w:rsidRPr="008C6CA7">
              <w:t>4,18</w:t>
            </w:r>
          </w:p>
        </w:tc>
      </w:tr>
      <w:tr w:rsidR="00EB0F70" w:rsidRPr="005A0E21" w14:paraId="4FE49F9B" w14:textId="77777777" w:rsidTr="00EB4561">
        <w:trPr>
          <w:cantSplit/>
          <w:trHeight w:val="237"/>
          <w:jc w:val="center"/>
        </w:trPr>
        <w:tc>
          <w:tcPr>
            <w:tcW w:w="5812" w:type="dxa"/>
          </w:tcPr>
          <w:p w14:paraId="1F08AAF6" w14:textId="633789EC" w:rsidR="00EB0F70" w:rsidRPr="005A0E21" w:rsidRDefault="00EB0F70" w:rsidP="00EB0F70">
            <w:pPr>
              <w:pStyle w:val="Paragraph"/>
              <w:ind w:left="319" w:hanging="284"/>
              <w:jc w:val="left"/>
            </w:pPr>
            <w:r w:rsidRPr="008C6CA7">
              <w:t>Can be selected according to interest, skip, pause, and repeat</w:t>
            </w:r>
          </w:p>
        </w:tc>
        <w:tc>
          <w:tcPr>
            <w:tcW w:w="1418" w:type="dxa"/>
          </w:tcPr>
          <w:p w14:paraId="2A934F53" w14:textId="64B30A22" w:rsidR="00EB0F70" w:rsidRPr="005A0E21" w:rsidRDefault="00EB0F70" w:rsidP="00EB0F70">
            <w:pPr>
              <w:jc w:val="center"/>
              <w:rPr>
                <w:sz w:val="20"/>
              </w:rPr>
            </w:pPr>
            <w:r w:rsidRPr="008C6CA7">
              <w:t>3,98</w:t>
            </w:r>
          </w:p>
        </w:tc>
        <w:tc>
          <w:tcPr>
            <w:tcW w:w="1559" w:type="dxa"/>
          </w:tcPr>
          <w:p w14:paraId="7056E037" w14:textId="4398ADAB" w:rsidR="00EB0F70" w:rsidRPr="005A0E21" w:rsidRDefault="00EB0F70" w:rsidP="00EB0F70">
            <w:pPr>
              <w:jc w:val="center"/>
              <w:rPr>
                <w:sz w:val="20"/>
              </w:rPr>
            </w:pPr>
            <w:r w:rsidRPr="008C6CA7">
              <w:t>4,14</w:t>
            </w:r>
          </w:p>
        </w:tc>
      </w:tr>
      <w:tr w:rsidR="00EB0F70" w:rsidRPr="005A0E21" w14:paraId="1F86F890" w14:textId="77777777" w:rsidTr="00EB4561">
        <w:trPr>
          <w:cantSplit/>
          <w:trHeight w:val="237"/>
          <w:jc w:val="center"/>
        </w:trPr>
        <w:tc>
          <w:tcPr>
            <w:tcW w:w="5812" w:type="dxa"/>
          </w:tcPr>
          <w:p w14:paraId="10CBE071" w14:textId="534B4180" w:rsidR="00EB0F70" w:rsidRPr="005A0E21" w:rsidRDefault="00EB0F70" w:rsidP="00EB0F70">
            <w:pPr>
              <w:pStyle w:val="Paragraph"/>
              <w:ind w:left="319" w:hanging="284"/>
              <w:jc w:val="left"/>
            </w:pPr>
            <w:r w:rsidRPr="008C6CA7">
              <w:t>Relevant to the material presented</w:t>
            </w:r>
          </w:p>
        </w:tc>
        <w:tc>
          <w:tcPr>
            <w:tcW w:w="1418" w:type="dxa"/>
          </w:tcPr>
          <w:p w14:paraId="786E0E70" w14:textId="091CB72D" w:rsidR="00EB0F70" w:rsidRPr="005A0E21" w:rsidRDefault="00EB0F70" w:rsidP="00EB0F70">
            <w:pPr>
              <w:jc w:val="center"/>
              <w:rPr>
                <w:sz w:val="20"/>
              </w:rPr>
            </w:pPr>
            <w:r w:rsidRPr="008C6CA7">
              <w:t>4,15</w:t>
            </w:r>
          </w:p>
        </w:tc>
        <w:tc>
          <w:tcPr>
            <w:tcW w:w="1559" w:type="dxa"/>
          </w:tcPr>
          <w:p w14:paraId="312CD227" w14:textId="2DABED80" w:rsidR="00EB0F70" w:rsidRPr="005A0E21" w:rsidRDefault="00EB0F70" w:rsidP="00EB0F70">
            <w:pPr>
              <w:jc w:val="center"/>
              <w:rPr>
                <w:sz w:val="20"/>
              </w:rPr>
            </w:pPr>
            <w:r w:rsidRPr="008C6CA7">
              <w:t>4,33</w:t>
            </w:r>
          </w:p>
        </w:tc>
      </w:tr>
      <w:tr w:rsidR="00EB0F70" w:rsidRPr="005A0E21" w14:paraId="2D462782" w14:textId="77777777" w:rsidTr="00EB4561">
        <w:trPr>
          <w:cantSplit/>
          <w:trHeight w:val="237"/>
          <w:jc w:val="center"/>
        </w:trPr>
        <w:tc>
          <w:tcPr>
            <w:tcW w:w="5812" w:type="dxa"/>
          </w:tcPr>
          <w:p w14:paraId="17FA705A" w14:textId="37C30B29" w:rsidR="00EB0F70" w:rsidRPr="005A0E21" w:rsidRDefault="00EB0F70" w:rsidP="00EB0F70">
            <w:pPr>
              <w:pStyle w:val="Paragraph"/>
              <w:ind w:left="319" w:hanging="284"/>
              <w:jc w:val="left"/>
            </w:pPr>
            <w:r w:rsidRPr="008C6CA7">
              <w:t>Available in several options: video/ppt/module</w:t>
            </w:r>
          </w:p>
        </w:tc>
        <w:tc>
          <w:tcPr>
            <w:tcW w:w="1418" w:type="dxa"/>
          </w:tcPr>
          <w:p w14:paraId="7DB4DD78" w14:textId="508FFE8F" w:rsidR="00EB0F70" w:rsidRPr="005A0E21" w:rsidRDefault="00EB0F70" w:rsidP="00EB0F70">
            <w:pPr>
              <w:jc w:val="center"/>
              <w:rPr>
                <w:sz w:val="20"/>
              </w:rPr>
            </w:pPr>
            <w:r w:rsidRPr="008C6CA7">
              <w:t>4,19</w:t>
            </w:r>
          </w:p>
        </w:tc>
        <w:tc>
          <w:tcPr>
            <w:tcW w:w="1559" w:type="dxa"/>
          </w:tcPr>
          <w:p w14:paraId="1EA14E50" w14:textId="3F25858C" w:rsidR="00EB0F70" w:rsidRPr="005A0E21" w:rsidRDefault="00EB0F70" w:rsidP="00EB0F70">
            <w:pPr>
              <w:jc w:val="center"/>
              <w:rPr>
                <w:sz w:val="20"/>
              </w:rPr>
            </w:pPr>
            <w:r w:rsidRPr="008C6CA7">
              <w:t>4,15</w:t>
            </w:r>
          </w:p>
        </w:tc>
      </w:tr>
      <w:tr w:rsidR="00EB0F70" w:rsidRPr="005A0E21" w14:paraId="2DD63598" w14:textId="77777777" w:rsidTr="00EB4561">
        <w:trPr>
          <w:cantSplit/>
          <w:trHeight w:val="237"/>
          <w:jc w:val="center"/>
        </w:trPr>
        <w:tc>
          <w:tcPr>
            <w:tcW w:w="5812" w:type="dxa"/>
          </w:tcPr>
          <w:p w14:paraId="776674E6" w14:textId="1D811E48" w:rsidR="00EB0F70" w:rsidRPr="005A0E21" w:rsidRDefault="00EB0F70" w:rsidP="00EB0F70">
            <w:pPr>
              <w:pStyle w:val="Paragraph"/>
              <w:ind w:left="319" w:hanging="284"/>
              <w:jc w:val="left"/>
            </w:pPr>
            <w:r w:rsidRPr="008C6CA7">
              <w:t>Easy to access and operate</w:t>
            </w:r>
          </w:p>
        </w:tc>
        <w:tc>
          <w:tcPr>
            <w:tcW w:w="1418" w:type="dxa"/>
          </w:tcPr>
          <w:p w14:paraId="309F911E" w14:textId="7D738280" w:rsidR="00EB0F70" w:rsidRPr="005A0E21" w:rsidRDefault="00EB0F70" w:rsidP="00EB0F70">
            <w:pPr>
              <w:jc w:val="center"/>
              <w:rPr>
                <w:sz w:val="20"/>
              </w:rPr>
            </w:pPr>
            <w:r w:rsidRPr="008C6CA7">
              <w:t>4,29</w:t>
            </w:r>
          </w:p>
        </w:tc>
        <w:tc>
          <w:tcPr>
            <w:tcW w:w="1559" w:type="dxa"/>
          </w:tcPr>
          <w:p w14:paraId="748F0596" w14:textId="53625A3E" w:rsidR="00EB0F70" w:rsidRPr="005A0E21" w:rsidRDefault="00EB0F70" w:rsidP="00EB0F70">
            <w:pPr>
              <w:jc w:val="center"/>
              <w:rPr>
                <w:sz w:val="20"/>
              </w:rPr>
            </w:pPr>
            <w:r w:rsidRPr="008C6CA7">
              <w:t>4,30</w:t>
            </w:r>
          </w:p>
        </w:tc>
      </w:tr>
      <w:tr w:rsidR="00EB0F70" w:rsidRPr="005A0E21" w14:paraId="20A48B2B" w14:textId="77777777" w:rsidTr="00EB4561">
        <w:trPr>
          <w:cantSplit/>
          <w:trHeight w:val="237"/>
          <w:jc w:val="center"/>
        </w:trPr>
        <w:tc>
          <w:tcPr>
            <w:tcW w:w="5812" w:type="dxa"/>
          </w:tcPr>
          <w:p w14:paraId="0DD2C37E" w14:textId="7F2CCC2B" w:rsidR="00EB0F70" w:rsidRPr="005A0E21" w:rsidRDefault="00EB0F70" w:rsidP="00EB0F70">
            <w:pPr>
              <w:pStyle w:val="Paragraph"/>
              <w:ind w:left="319" w:hanging="284"/>
              <w:jc w:val="left"/>
            </w:pPr>
            <w:r w:rsidRPr="008C6CA7">
              <w:t>The use of fonts, size, and colors seem beautiful and immaculate</w:t>
            </w:r>
          </w:p>
        </w:tc>
        <w:tc>
          <w:tcPr>
            <w:tcW w:w="1418" w:type="dxa"/>
          </w:tcPr>
          <w:p w14:paraId="69A25FE2" w14:textId="74A1910B" w:rsidR="00EB0F70" w:rsidRPr="005A0E21" w:rsidRDefault="00EB0F70" w:rsidP="00EB0F70">
            <w:pPr>
              <w:jc w:val="center"/>
              <w:rPr>
                <w:sz w:val="20"/>
              </w:rPr>
            </w:pPr>
            <w:r w:rsidRPr="008C6CA7">
              <w:t>3,96</w:t>
            </w:r>
          </w:p>
        </w:tc>
        <w:tc>
          <w:tcPr>
            <w:tcW w:w="1559" w:type="dxa"/>
          </w:tcPr>
          <w:p w14:paraId="15455A43" w14:textId="754643E9" w:rsidR="00EB0F70" w:rsidRPr="005A0E21" w:rsidRDefault="00EB0F70" w:rsidP="00EB0F70">
            <w:pPr>
              <w:jc w:val="center"/>
              <w:rPr>
                <w:sz w:val="20"/>
              </w:rPr>
            </w:pPr>
            <w:r w:rsidRPr="008C6CA7">
              <w:t>4,26</w:t>
            </w:r>
          </w:p>
        </w:tc>
      </w:tr>
      <w:tr w:rsidR="00EB0F70" w:rsidRPr="005A0E21" w14:paraId="5D83C102" w14:textId="77777777" w:rsidTr="00EB4561">
        <w:trPr>
          <w:cantSplit/>
          <w:trHeight w:val="237"/>
          <w:jc w:val="center"/>
        </w:trPr>
        <w:tc>
          <w:tcPr>
            <w:tcW w:w="5812" w:type="dxa"/>
          </w:tcPr>
          <w:p w14:paraId="637BA764" w14:textId="23A837A9" w:rsidR="00EB0F70" w:rsidRPr="005A0E21" w:rsidRDefault="00EB0F70" w:rsidP="00EB0F70">
            <w:pPr>
              <w:pStyle w:val="Paragraph"/>
              <w:ind w:left="319" w:hanging="284"/>
              <w:jc w:val="left"/>
            </w:pPr>
            <w:r w:rsidRPr="008C6CA7">
              <w:t>Average evaluation of learning media quality</w:t>
            </w:r>
          </w:p>
        </w:tc>
        <w:tc>
          <w:tcPr>
            <w:tcW w:w="1418" w:type="dxa"/>
          </w:tcPr>
          <w:p w14:paraId="19D19F11" w14:textId="076C052C" w:rsidR="00EB0F70" w:rsidRPr="005A0E21" w:rsidRDefault="00EB0F70" w:rsidP="00EB0F70">
            <w:pPr>
              <w:jc w:val="center"/>
              <w:rPr>
                <w:sz w:val="20"/>
              </w:rPr>
            </w:pPr>
            <w:r w:rsidRPr="008C6CA7">
              <w:t>4,01</w:t>
            </w:r>
          </w:p>
        </w:tc>
        <w:tc>
          <w:tcPr>
            <w:tcW w:w="1559" w:type="dxa"/>
          </w:tcPr>
          <w:p w14:paraId="19D00CB2" w14:textId="560F13FE" w:rsidR="00EB0F70" w:rsidRPr="005A0E21" w:rsidRDefault="00EB0F70" w:rsidP="00EB0F70">
            <w:pPr>
              <w:jc w:val="center"/>
              <w:rPr>
                <w:sz w:val="20"/>
              </w:rPr>
            </w:pPr>
            <w:r w:rsidRPr="008C6CA7">
              <w:t>4,22</w:t>
            </w:r>
          </w:p>
        </w:tc>
      </w:tr>
    </w:tbl>
    <w:p w14:paraId="09E341D9" w14:textId="58DC3680" w:rsidR="00EB0F70" w:rsidRDefault="00EB0F70" w:rsidP="00EB0F70">
      <w:pPr>
        <w:pStyle w:val="Paragraph"/>
        <w:ind w:firstLine="0"/>
      </w:pPr>
    </w:p>
    <w:p w14:paraId="4BE4F836" w14:textId="4F75DC53" w:rsidR="00EB0F70" w:rsidRDefault="00EB0F70" w:rsidP="00EB0F70">
      <w:pPr>
        <w:pStyle w:val="Paragraph"/>
      </w:pPr>
      <w:r w:rsidRPr="00EB0F70">
        <w:t xml:space="preserve">According to </w:t>
      </w:r>
      <w:proofErr w:type="spellStart"/>
      <w:r w:rsidRPr="00EB0F70">
        <w:t>Rusman</w:t>
      </w:r>
      <w:proofErr w:type="spellEnd"/>
      <w:r w:rsidRPr="00EB0F70">
        <w:t xml:space="preserve"> </w:t>
      </w:r>
      <w:r w:rsidR="009A3EEB">
        <w:fldChar w:fldCharType="begin" w:fldLock="1"/>
      </w:r>
      <w:r w:rsidR="00B466E2">
        <w:instrText>ADDIN CSL_CITATION {"citationItems":[{"id":"ITEM-1","itemData":{"ISBN":"978-979-769-313-8","abstract":"Pengembangan Model-model Pembelajaran merupakan suatu keniscayaan yang harus dipersiapkan dan dilakukan guru dalam kegiatan pembelajaran. Hal ini dikarenakan setiap siswa memiliki tipe interest yang berbeda-beda dalam menerima materi pelajaran yang disampaikan guru. Siswa ada yang memiliki tipe auditif, yaitu senang mendengarkan penjelasan dari guru, tipe visual yaitu senang belajar melalui melihat dengan perantara media pembelajaran, dan ada siswa yang tipe kinestetik, yaitu senang belajar melalui pengalaman langsung. Oleh karena itu guru harus mampu mengembangkan model-model pembelajaran secara bervariasi agar menyentuh semua interest individu siswa. Kegiatan pembelajaran dapat dilakukan secara klasikal, tetapi sentuhan guru harus tetap individual. Tugas guru bukan semata-mata mengajar (teacher centered), tetapi lebih pada membelajarkan siswa (children centered). Belajar pada hakekatnya adalah proses interaksi terhadap semua situasi yang ada di sekitar individu siswa. Belajar merupakan suatu proses yang diarahkan pada pencapaian tujuan dan proses berbuat melalui berbagai pengalaman belajar yang dipersiapkan dan dilakukan guru. Oleh karena itu pembelajaran harus mengaktifkan siswa, menyenangkan, syarat nilai dan bermakna bagi kehidupan siswa. Melalui buku ini dipaparkan beberapa hal berkenaan dengan model-model pembelajaran, antar lain: Standar Proses Satuan Pendidikan Dasar dan Menengah, Menjadi Guru Profesional, Model-model Pembelajaran, Model-model Desain Pembelajaran, Model Pembelajaran Kontekstual (CTL), Model Pembelajaran Kooperatif, Model Pembelajaran Berbasis Masalah, Model Pembelajaran Tematik, Model Pembelajaran Berbasis Komputer, Model Pembelajaran PAKEM, Model Pembelajaran Berbasis Web (E-learning), Model Pembelajaran Mandiri, dan Model Pembelajaran yang Mengaktifkan Siswa. Kehadiran buku ini diharapkan dapat bermanfaat bagi para pendidik (guru, gadik, instruktur, widyaiswara, dan ustadz) dan tenaga kependidikan, serta bagi para mahasiswa kependidikan S1, S2, dan S3 yang sedang belajar dan mendalami bidang kajian model-model pembelajaran.","author":[{"dropping-particle":"","family":"Rusman","given":"","non-dropping-particle":"","parse-names":false,"suffix":""}],"edition":"2","id":"ITEM-1","issued":{"date-parts":[["2018"]]},"number-of-pages":"434","publisher":"RajaGrafindo Persada","publisher-place":"Jakarta","title":"Model-Model Pembelajaran","type":"book"},"uris":["http://www.mendeley.com/documents/?uuid=5c261875-6c8a-45db-ac45-d31cc9ab27ae"]}],"mendeley":{"formattedCitation":"&lt;sup&gt;11&lt;/sup&gt;","plainTextFormattedCitation":"11","previouslyFormattedCitation":"(Rusman, 2018)"},"properties":{"noteIndex":0},"schema":"https://github.com/citation-style-language/schema/raw/master/csl-citation.json"}</w:instrText>
      </w:r>
      <w:r w:rsidR="009A3EEB">
        <w:fldChar w:fldCharType="separate"/>
      </w:r>
      <w:r w:rsidR="00B466E2" w:rsidRPr="00B466E2">
        <w:rPr>
          <w:noProof/>
          <w:vertAlign w:val="superscript"/>
        </w:rPr>
        <w:t>11</w:t>
      </w:r>
      <w:r w:rsidR="009A3EEB">
        <w:fldChar w:fldCharType="end"/>
      </w:r>
      <w:r w:rsidR="009A3EEB">
        <w:t xml:space="preserve"> </w:t>
      </w:r>
      <w:r w:rsidRPr="00EB0F70">
        <w:t xml:space="preserve">students' understanding of the material can be helped by interesting learning media. The results of other studies show that the performance of students who learn through short duration videos achieve better results on cognitive achievement and retention of learning effects in the long term </w:t>
      </w:r>
      <w:r w:rsidR="009A3EEB">
        <w:fldChar w:fldCharType="begin" w:fldLock="1"/>
      </w:r>
      <w:r w:rsidR="00B466E2">
        <w:instrText>ADDIN CSL_CITATION {"citationItems":[{"id":"ITEM-1","itemData":{"DOI":"10.17718/tojde.803360","ISSN":"1302-6488","abstract":"The importance of using the interactive video has been widely recognized in e-learning courses. However, there are several variables that can affect learners’ engagement and their learning through watching digital interactive videos. the main purpose of this study is to examine whether long interactive videos can improve students’ performance in tests, retention of learning in the long term, and reduce the cognitive load compared to medium and short videos. An experimental research was conducted on a sample of (63) students of the Faculty of Education at Imam Abdul Rahman University bin Faisal who are registered to study both the courses of Education Technology (EDUM 195N), and Design and Production of Multimedia (EDUM 330N). A three-group experimental design was used. The results were analyzed and interpreted in the light of cognitive load theory and Cognitive Theory of Multimedia Learning. In light of the research findings, the researcher presented a set of recommendations for use in the design and development of content of interactive digital video-based learning environments. The research results can mainly benefit stakeholders and education practitioners, specifically universities, schools, and companies in providing interactive digital video-based learning and training in e-learning and distance learning environments.","author":[{"dropping-particle":"","family":"Afify","given":"Mohammed Kamal","non-dropping-particle":"","parse-names":false,"suffix":""}],"container-title":"Turkish Online Journal of Distance Education","id":"ITEM-1","issue":"4","issued":{"date-parts":[["2020","10"]]},"page":"68-89","title":"Effect of interactive video length within e-learning environment on cognitive load, cognitif achievment and retention of learning","type":"article-journal","volume":"21"},"uris":["http://www.mendeley.com/documents/?uuid=e44dea67-364f-47f6-a667-0d6e20c3aa93"]}],"mendeley":{"formattedCitation":"&lt;sup&gt;12&lt;/sup&gt;","plainTextFormattedCitation":"12","previouslyFormattedCitation":"(Afify, 2020)"},"properties":{"noteIndex":0},"schema":"https://github.com/citation-style-language/schema/raw/master/csl-citation.json"}</w:instrText>
      </w:r>
      <w:r w:rsidR="009A3EEB">
        <w:fldChar w:fldCharType="separate"/>
      </w:r>
      <w:r w:rsidR="00B466E2" w:rsidRPr="00B466E2">
        <w:rPr>
          <w:noProof/>
          <w:vertAlign w:val="superscript"/>
        </w:rPr>
        <w:t>12</w:t>
      </w:r>
      <w:r w:rsidR="009A3EEB">
        <w:fldChar w:fldCharType="end"/>
      </w:r>
      <w:r w:rsidRPr="00EB0F70">
        <w:t>. Attractive media is expected to extend the concentration of learning so as to foster great effort and will. The duration of concentration varies from individual to individual and the average concentration of students is about twenty minutes without a break. Concentration cannot last long because it causes mental and physical fatigue so it needs to be trained. A happy student, good physical condition, suitable learning environment, high learning motivation</w:t>
      </w:r>
      <w:r>
        <w:t xml:space="preserve"> </w:t>
      </w:r>
      <w:r>
        <w:t xml:space="preserve">can ensure high performance and concentration on learning longer. Students who are sad, demotivated, tired and surrounded by noise will require a lot of effort and energy </w:t>
      </w:r>
      <w:r w:rsidR="009A3EEB">
        <w:fldChar w:fldCharType="begin" w:fldLock="1"/>
      </w:r>
      <w:r w:rsidR="00B466E2">
        <w:instrText>ADDIN CSL_CITATION {"citationItems":[{"id":"ITEM-1","itemData":{"DOI":"10.17718/tojde.382666","ISSN":"13026488","abstract":"Learners' concentration is an essential factor for learning and acquisition. The duration of concentration varies from one individual to another. Some learners have a long duration of concentration; whereas, others have a short one. Leaving the learner in front of a screen for a random duration is a strategy that does not optimize online learning. In this perspective, we have implemented an approach based on three intelligent agents customizing and adapting the learning time according to the learner's concentration time. The first agent is called \"Detector Agent\" (DA).The task of this agent is to measure the learner's concentration time and to detect the factors that may influence it. The second agent is named \"Scheduler Agent\" (SA). Its function is to cut the time of a session in proportion to the concentration time measured by DA and to program relaxing breaks in order to regenerate the degree of concentration. And finally, the third agent is called \"Rectifier Agent\" (RA). The latter is responsible for rectifying the factors that negatively influence the concentration of the learners. These agents continuously communicate between each other in order to ensure an efficient treatment. The experienced results show that the approach contributes effectively in the acquisition and the performance of learners. Success rates have risen sharply and the learners express a growing satisfaction.","author":[{"dropping-particle":"","family":"Kamsa","given":"Imane","non-dropping-particle":"","parse-names":false,"suffix":""},{"dropping-particle":"","family":"Elouahbi","given":"Rachid","non-dropping-particle":"","parse-names":false,"suffix":""},{"dropping-particle":"","family":"Khoukhi","given":"Fatima","non-dropping-particle":"El","parse-names":false,"suffix":""}],"container-title":"Turkish Online Journal of Distance Education","id":"ITEM-1","issue":"1","issued":{"date-parts":[["2018"]]},"page":"62-74","title":"Study smart not hard","type":"article-journal","volume":"19"},"uris":["http://www.mendeley.com/documents/?uuid=fd3bb8de-aa75-40fa-a674-49b8b201ea05"]}],"mendeley":{"formattedCitation":"&lt;sup&gt;13&lt;/sup&gt;","plainTextFormattedCitation":"13","previouslyFormattedCitation":"(Kamsa et al., 2018)"},"properties":{"noteIndex":0},"schema":"https://github.com/citation-style-language/schema/raw/master/csl-citation.json"}</w:instrText>
      </w:r>
      <w:r w:rsidR="009A3EEB">
        <w:fldChar w:fldCharType="separate"/>
      </w:r>
      <w:r w:rsidR="00B466E2" w:rsidRPr="00B466E2">
        <w:rPr>
          <w:noProof/>
          <w:vertAlign w:val="superscript"/>
        </w:rPr>
        <w:t>13</w:t>
      </w:r>
      <w:r w:rsidR="009A3EEB">
        <w:fldChar w:fldCharType="end"/>
      </w:r>
      <w:r>
        <w:t>. The indicators of learning media made by S1 lecturers are good but need to be improved to be more attractive so that students can receive maximum learning.</w:t>
      </w:r>
    </w:p>
    <w:p w14:paraId="2D60A65D" w14:textId="1CFA8C94" w:rsidR="00EB0F70" w:rsidRDefault="00EB0F70" w:rsidP="00EB0F70">
      <w:pPr>
        <w:pStyle w:val="Paragraph"/>
      </w:pPr>
      <w:r>
        <w:t>The third component is online learning planning. The data presented in table 4 shows the average value of each learning planning indicator is very good, so there is nothing that needs to be revised again. For lecturers who teach first-year courses, there may still be some who need to add external learning resources to make them more varied.</w:t>
      </w:r>
    </w:p>
    <w:p w14:paraId="52EFDAEA" w14:textId="77777777" w:rsidR="00EB0F70" w:rsidRDefault="00EB0F70" w:rsidP="00EB0F70">
      <w:pPr>
        <w:pStyle w:val="Paragraph"/>
      </w:pPr>
    </w:p>
    <w:tbl>
      <w:tblPr>
        <w:tblW w:w="8789" w:type="dxa"/>
        <w:jc w:val="center"/>
        <w:tblBorders>
          <w:bottom w:val="single" w:sz="4" w:space="0" w:color="auto"/>
        </w:tblBorders>
        <w:tblLayout w:type="fixed"/>
        <w:tblLook w:val="0000" w:firstRow="0" w:lastRow="0" w:firstColumn="0" w:lastColumn="0" w:noHBand="0" w:noVBand="0"/>
      </w:tblPr>
      <w:tblGrid>
        <w:gridCol w:w="5812"/>
        <w:gridCol w:w="1418"/>
        <w:gridCol w:w="1559"/>
      </w:tblGrid>
      <w:tr w:rsidR="00EB0F70" w:rsidRPr="00075EA6" w14:paraId="6D4657D3" w14:textId="77777777" w:rsidTr="00EB4561">
        <w:trPr>
          <w:cantSplit/>
          <w:trHeight w:val="429"/>
          <w:jc w:val="center"/>
        </w:trPr>
        <w:tc>
          <w:tcPr>
            <w:tcW w:w="8789" w:type="dxa"/>
            <w:gridSpan w:val="3"/>
            <w:tcBorders>
              <w:bottom w:val="nil"/>
            </w:tcBorders>
          </w:tcPr>
          <w:p w14:paraId="653CEC69" w14:textId="31512337" w:rsidR="00EB0F70" w:rsidRPr="00075EA6" w:rsidRDefault="00EB0F70" w:rsidP="00EB4561">
            <w:pPr>
              <w:pStyle w:val="Paragraph"/>
              <w:spacing w:line="360" w:lineRule="auto"/>
              <w:ind w:firstLine="0"/>
              <w:jc w:val="center"/>
            </w:pPr>
            <w:r w:rsidRPr="00075EA6">
              <w:rPr>
                <w:b/>
              </w:rPr>
              <w:t xml:space="preserve">TABLE </w:t>
            </w:r>
            <w:r w:rsidR="00D132BF">
              <w:rPr>
                <w:b/>
              </w:rPr>
              <w:t>4</w:t>
            </w:r>
            <w:r w:rsidRPr="00075EA6">
              <w:rPr>
                <w:b/>
              </w:rPr>
              <w:t>.</w:t>
            </w:r>
            <w:r w:rsidRPr="007E36EC">
              <w:rPr>
                <w:i/>
                <w:iCs/>
              </w:rPr>
              <w:t xml:space="preserve"> </w:t>
            </w:r>
            <w:r w:rsidRPr="00EB0F70">
              <w:rPr>
                <w:i/>
                <w:iCs/>
              </w:rPr>
              <w:t>Evaluation Result of Planning Quality</w:t>
            </w:r>
          </w:p>
        </w:tc>
      </w:tr>
      <w:tr w:rsidR="00EB0F70" w:rsidRPr="00075EA6" w14:paraId="043B4038" w14:textId="77777777" w:rsidTr="00EB4561">
        <w:trPr>
          <w:cantSplit/>
          <w:trHeight w:val="272"/>
          <w:jc w:val="center"/>
        </w:trPr>
        <w:tc>
          <w:tcPr>
            <w:tcW w:w="5812" w:type="dxa"/>
            <w:tcBorders>
              <w:top w:val="single" w:sz="4" w:space="0" w:color="auto"/>
              <w:bottom w:val="single" w:sz="4" w:space="0" w:color="auto"/>
            </w:tcBorders>
          </w:tcPr>
          <w:p w14:paraId="3EA43822" w14:textId="77777777" w:rsidR="00EB0F70" w:rsidRPr="00075EA6" w:rsidRDefault="00EB0F70" w:rsidP="00EB4561">
            <w:pPr>
              <w:jc w:val="center"/>
            </w:pPr>
            <w:r w:rsidRPr="008E1E5C">
              <w:t>Indicator</w:t>
            </w:r>
          </w:p>
        </w:tc>
        <w:tc>
          <w:tcPr>
            <w:tcW w:w="1418" w:type="dxa"/>
            <w:tcBorders>
              <w:top w:val="single" w:sz="4" w:space="0" w:color="auto"/>
              <w:bottom w:val="single" w:sz="4" w:space="0" w:color="auto"/>
            </w:tcBorders>
          </w:tcPr>
          <w:p w14:paraId="3D0A3B35" w14:textId="77777777" w:rsidR="00EB0F70" w:rsidRPr="00075EA6" w:rsidRDefault="00EB0F70" w:rsidP="00EB4561">
            <w:pPr>
              <w:jc w:val="center"/>
              <w:rPr>
                <w:b/>
                <w:sz w:val="18"/>
                <w:szCs w:val="18"/>
              </w:rPr>
            </w:pPr>
            <w:r w:rsidRPr="008E1E5C">
              <w:t>S1 Courses</w:t>
            </w:r>
          </w:p>
        </w:tc>
        <w:tc>
          <w:tcPr>
            <w:tcW w:w="1559" w:type="dxa"/>
            <w:tcBorders>
              <w:top w:val="single" w:sz="4" w:space="0" w:color="auto"/>
              <w:bottom w:val="single" w:sz="4" w:space="0" w:color="auto"/>
            </w:tcBorders>
          </w:tcPr>
          <w:p w14:paraId="4C8E2556" w14:textId="77777777" w:rsidR="00EB0F70" w:rsidRPr="00075EA6" w:rsidRDefault="00EB0F70" w:rsidP="00EB4561">
            <w:pPr>
              <w:jc w:val="center"/>
              <w:rPr>
                <w:b/>
                <w:sz w:val="18"/>
                <w:szCs w:val="18"/>
              </w:rPr>
            </w:pPr>
            <w:r w:rsidRPr="008E1E5C">
              <w:t>D4 Courses</w:t>
            </w:r>
          </w:p>
        </w:tc>
      </w:tr>
      <w:tr w:rsidR="00EB0F70" w:rsidRPr="005A0E21" w14:paraId="6D5DD802" w14:textId="77777777" w:rsidTr="00EB4561">
        <w:trPr>
          <w:cantSplit/>
          <w:jc w:val="center"/>
        </w:trPr>
        <w:tc>
          <w:tcPr>
            <w:tcW w:w="5812" w:type="dxa"/>
            <w:tcBorders>
              <w:top w:val="nil"/>
            </w:tcBorders>
          </w:tcPr>
          <w:p w14:paraId="701B4E00" w14:textId="0D31B593" w:rsidR="00EB0F70" w:rsidRPr="005A0E21" w:rsidRDefault="00EB0F70" w:rsidP="00EB0F70">
            <w:pPr>
              <w:pStyle w:val="Paragraph"/>
              <w:ind w:left="319" w:hanging="284"/>
              <w:jc w:val="left"/>
            </w:pPr>
            <w:r w:rsidRPr="005429EA">
              <w:t>The lesson plan is presented at the beginning</w:t>
            </w:r>
          </w:p>
        </w:tc>
        <w:tc>
          <w:tcPr>
            <w:tcW w:w="1418" w:type="dxa"/>
            <w:tcBorders>
              <w:top w:val="nil"/>
            </w:tcBorders>
          </w:tcPr>
          <w:p w14:paraId="628C55E7" w14:textId="470F78BC" w:rsidR="00EB0F70" w:rsidRPr="005A0E21" w:rsidRDefault="00EB0F70" w:rsidP="00EB0F70">
            <w:pPr>
              <w:jc w:val="center"/>
              <w:rPr>
                <w:sz w:val="20"/>
              </w:rPr>
            </w:pPr>
            <w:r w:rsidRPr="005429EA">
              <w:t>4,45</w:t>
            </w:r>
          </w:p>
        </w:tc>
        <w:tc>
          <w:tcPr>
            <w:tcW w:w="1559" w:type="dxa"/>
            <w:tcBorders>
              <w:top w:val="nil"/>
            </w:tcBorders>
          </w:tcPr>
          <w:p w14:paraId="3CC85B28" w14:textId="379794D6" w:rsidR="00EB0F70" w:rsidRPr="005A0E21" w:rsidRDefault="00EB0F70" w:rsidP="00EB0F70">
            <w:pPr>
              <w:jc w:val="center"/>
              <w:rPr>
                <w:sz w:val="20"/>
              </w:rPr>
            </w:pPr>
            <w:r w:rsidRPr="005429EA">
              <w:t>4,51</w:t>
            </w:r>
          </w:p>
        </w:tc>
      </w:tr>
      <w:tr w:rsidR="00EB0F70" w:rsidRPr="005A0E21" w14:paraId="54EF5F81" w14:textId="77777777" w:rsidTr="00EB4561">
        <w:trPr>
          <w:cantSplit/>
          <w:jc w:val="center"/>
        </w:trPr>
        <w:tc>
          <w:tcPr>
            <w:tcW w:w="5812" w:type="dxa"/>
          </w:tcPr>
          <w:p w14:paraId="4434B3B2" w14:textId="4D35AA69" w:rsidR="00EB0F70" w:rsidRPr="005A0E21" w:rsidRDefault="00EB0F70" w:rsidP="00EB0F70">
            <w:pPr>
              <w:pStyle w:val="Paragraph"/>
              <w:ind w:left="319" w:hanging="284"/>
              <w:jc w:val="left"/>
            </w:pPr>
            <w:r w:rsidRPr="005429EA">
              <w:t>Instructions are delivered clearly and completely</w:t>
            </w:r>
          </w:p>
        </w:tc>
        <w:tc>
          <w:tcPr>
            <w:tcW w:w="1418" w:type="dxa"/>
          </w:tcPr>
          <w:p w14:paraId="34DE8DF4" w14:textId="1ED761BA" w:rsidR="00EB0F70" w:rsidRPr="005A0E21" w:rsidRDefault="00EB0F70" w:rsidP="00EB0F70">
            <w:pPr>
              <w:jc w:val="center"/>
              <w:rPr>
                <w:sz w:val="20"/>
              </w:rPr>
            </w:pPr>
            <w:r w:rsidRPr="005429EA">
              <w:t>4,30</w:t>
            </w:r>
          </w:p>
        </w:tc>
        <w:tc>
          <w:tcPr>
            <w:tcW w:w="1559" w:type="dxa"/>
          </w:tcPr>
          <w:p w14:paraId="58F89EC2" w14:textId="47CCDF68" w:rsidR="00EB0F70" w:rsidRPr="005A0E21" w:rsidRDefault="00EB0F70" w:rsidP="00EB0F70">
            <w:pPr>
              <w:jc w:val="center"/>
              <w:rPr>
                <w:sz w:val="20"/>
              </w:rPr>
            </w:pPr>
            <w:r w:rsidRPr="005429EA">
              <w:t>4,38</w:t>
            </w:r>
          </w:p>
        </w:tc>
      </w:tr>
      <w:tr w:rsidR="00EB0F70" w:rsidRPr="005A0E21" w14:paraId="5B0C0AA4" w14:textId="77777777" w:rsidTr="00EB4561">
        <w:trPr>
          <w:cantSplit/>
          <w:trHeight w:val="237"/>
          <w:jc w:val="center"/>
        </w:trPr>
        <w:tc>
          <w:tcPr>
            <w:tcW w:w="5812" w:type="dxa"/>
          </w:tcPr>
          <w:p w14:paraId="7E2FA855" w14:textId="19A37386" w:rsidR="00EB0F70" w:rsidRPr="005A0E21" w:rsidRDefault="00EB0F70" w:rsidP="00EB0F70">
            <w:pPr>
              <w:pStyle w:val="Paragraph"/>
              <w:ind w:left="319" w:hanging="284"/>
              <w:jc w:val="left"/>
            </w:pPr>
            <w:r w:rsidRPr="005429EA">
              <w:t xml:space="preserve">The composition of the material is relevant to the learning outcomes </w:t>
            </w:r>
          </w:p>
        </w:tc>
        <w:tc>
          <w:tcPr>
            <w:tcW w:w="1418" w:type="dxa"/>
          </w:tcPr>
          <w:p w14:paraId="0559C83B" w14:textId="2E938DE2" w:rsidR="00EB0F70" w:rsidRPr="005A0E21" w:rsidRDefault="00EB0F70" w:rsidP="00EB0F70">
            <w:pPr>
              <w:jc w:val="center"/>
              <w:rPr>
                <w:sz w:val="20"/>
              </w:rPr>
            </w:pPr>
            <w:r w:rsidRPr="005429EA">
              <w:t>4,24</w:t>
            </w:r>
          </w:p>
        </w:tc>
        <w:tc>
          <w:tcPr>
            <w:tcW w:w="1559" w:type="dxa"/>
          </w:tcPr>
          <w:p w14:paraId="606342F1" w14:textId="6DB6E566" w:rsidR="00EB0F70" w:rsidRPr="005A0E21" w:rsidRDefault="00EB0F70" w:rsidP="00EB0F70">
            <w:pPr>
              <w:jc w:val="center"/>
              <w:rPr>
                <w:sz w:val="20"/>
              </w:rPr>
            </w:pPr>
            <w:r w:rsidRPr="005429EA">
              <w:t>4,36</w:t>
            </w:r>
          </w:p>
        </w:tc>
      </w:tr>
      <w:tr w:rsidR="00EB0F70" w:rsidRPr="005A0E21" w14:paraId="3B74E06F" w14:textId="77777777" w:rsidTr="00EB4561">
        <w:trPr>
          <w:cantSplit/>
          <w:trHeight w:val="237"/>
          <w:jc w:val="center"/>
        </w:trPr>
        <w:tc>
          <w:tcPr>
            <w:tcW w:w="5812" w:type="dxa"/>
          </w:tcPr>
          <w:p w14:paraId="78010F6A" w14:textId="1C8B7324" w:rsidR="00EB0F70" w:rsidRPr="005A0E21" w:rsidRDefault="00EB0F70" w:rsidP="00EB0F70">
            <w:pPr>
              <w:pStyle w:val="Paragraph"/>
              <w:ind w:left="319" w:hanging="284"/>
              <w:jc w:val="left"/>
            </w:pPr>
            <w:r w:rsidRPr="005429EA">
              <w:t xml:space="preserve">Learning stages are arranged systematically </w:t>
            </w:r>
          </w:p>
        </w:tc>
        <w:tc>
          <w:tcPr>
            <w:tcW w:w="1418" w:type="dxa"/>
          </w:tcPr>
          <w:p w14:paraId="5BB94D8B" w14:textId="2CCCF3F0" w:rsidR="00EB0F70" w:rsidRPr="005A0E21" w:rsidRDefault="00EB0F70" w:rsidP="00EB0F70">
            <w:pPr>
              <w:jc w:val="center"/>
              <w:rPr>
                <w:sz w:val="20"/>
              </w:rPr>
            </w:pPr>
            <w:r w:rsidRPr="005429EA">
              <w:t>4,05</w:t>
            </w:r>
          </w:p>
        </w:tc>
        <w:tc>
          <w:tcPr>
            <w:tcW w:w="1559" w:type="dxa"/>
          </w:tcPr>
          <w:p w14:paraId="6EE0A708" w14:textId="4DB6F915" w:rsidR="00EB0F70" w:rsidRPr="005A0E21" w:rsidRDefault="00EB0F70" w:rsidP="00EB0F70">
            <w:pPr>
              <w:jc w:val="center"/>
              <w:rPr>
                <w:sz w:val="20"/>
              </w:rPr>
            </w:pPr>
            <w:r w:rsidRPr="005429EA">
              <w:t>4,39</w:t>
            </w:r>
          </w:p>
        </w:tc>
      </w:tr>
      <w:tr w:rsidR="00EB0F70" w:rsidRPr="005A0E21" w14:paraId="75AD9C66" w14:textId="77777777" w:rsidTr="00EB4561">
        <w:trPr>
          <w:cantSplit/>
          <w:trHeight w:val="237"/>
          <w:jc w:val="center"/>
        </w:trPr>
        <w:tc>
          <w:tcPr>
            <w:tcW w:w="5812" w:type="dxa"/>
          </w:tcPr>
          <w:p w14:paraId="0DD2C5FD" w14:textId="7F7E6B9F" w:rsidR="00EB0F70" w:rsidRPr="005A0E21" w:rsidRDefault="00EB0F70" w:rsidP="00EB0F70">
            <w:pPr>
              <w:pStyle w:val="Paragraph"/>
              <w:ind w:left="319" w:hanging="284"/>
              <w:jc w:val="left"/>
            </w:pPr>
            <w:r w:rsidRPr="005429EA">
              <w:t>Varied learning, material enrichment is available from external learning sources</w:t>
            </w:r>
          </w:p>
        </w:tc>
        <w:tc>
          <w:tcPr>
            <w:tcW w:w="1418" w:type="dxa"/>
          </w:tcPr>
          <w:p w14:paraId="6A022F35" w14:textId="2FF3C087" w:rsidR="00EB0F70" w:rsidRPr="005A0E21" w:rsidRDefault="00EB0F70" w:rsidP="00EB0F70">
            <w:pPr>
              <w:jc w:val="center"/>
              <w:rPr>
                <w:sz w:val="20"/>
              </w:rPr>
            </w:pPr>
            <w:r w:rsidRPr="005429EA">
              <w:t>3,99</w:t>
            </w:r>
          </w:p>
        </w:tc>
        <w:tc>
          <w:tcPr>
            <w:tcW w:w="1559" w:type="dxa"/>
          </w:tcPr>
          <w:p w14:paraId="70D9FC36" w14:textId="352DC7FF" w:rsidR="00EB0F70" w:rsidRPr="005A0E21" w:rsidRDefault="00EB0F70" w:rsidP="00EB0F70">
            <w:pPr>
              <w:jc w:val="center"/>
              <w:rPr>
                <w:sz w:val="20"/>
              </w:rPr>
            </w:pPr>
            <w:r w:rsidRPr="005429EA">
              <w:t>4,20</w:t>
            </w:r>
          </w:p>
        </w:tc>
      </w:tr>
      <w:tr w:rsidR="00EB0F70" w:rsidRPr="005A0E21" w14:paraId="0153AB82" w14:textId="77777777" w:rsidTr="00EB4561">
        <w:trPr>
          <w:cantSplit/>
          <w:trHeight w:val="237"/>
          <w:jc w:val="center"/>
        </w:trPr>
        <w:tc>
          <w:tcPr>
            <w:tcW w:w="5812" w:type="dxa"/>
          </w:tcPr>
          <w:p w14:paraId="2055EDC4" w14:textId="385E4A05" w:rsidR="00EB0F70" w:rsidRPr="005A0E21" w:rsidRDefault="00EB0F70" w:rsidP="00EB0F70">
            <w:pPr>
              <w:pStyle w:val="Paragraph"/>
              <w:ind w:left="319" w:hanging="284"/>
              <w:jc w:val="left"/>
            </w:pPr>
            <w:r w:rsidRPr="005429EA">
              <w:lastRenderedPageBreak/>
              <w:t>Learning rules are available in the study contract</w:t>
            </w:r>
          </w:p>
        </w:tc>
        <w:tc>
          <w:tcPr>
            <w:tcW w:w="1418" w:type="dxa"/>
          </w:tcPr>
          <w:p w14:paraId="1B8F43A9" w14:textId="144A6721" w:rsidR="00EB0F70" w:rsidRPr="005A0E21" w:rsidRDefault="00EB0F70" w:rsidP="00EB0F70">
            <w:pPr>
              <w:jc w:val="center"/>
              <w:rPr>
                <w:sz w:val="20"/>
              </w:rPr>
            </w:pPr>
            <w:r w:rsidRPr="005429EA">
              <w:t>4,06</w:t>
            </w:r>
          </w:p>
        </w:tc>
        <w:tc>
          <w:tcPr>
            <w:tcW w:w="1559" w:type="dxa"/>
          </w:tcPr>
          <w:p w14:paraId="62235A7F" w14:textId="05631124" w:rsidR="00EB0F70" w:rsidRPr="005A0E21" w:rsidRDefault="00EB0F70" w:rsidP="00EB0F70">
            <w:pPr>
              <w:jc w:val="center"/>
              <w:rPr>
                <w:sz w:val="20"/>
              </w:rPr>
            </w:pPr>
            <w:r w:rsidRPr="005429EA">
              <w:t>4,26</w:t>
            </w:r>
          </w:p>
        </w:tc>
      </w:tr>
      <w:tr w:rsidR="00EB0F70" w:rsidRPr="005A0E21" w14:paraId="655B02CF" w14:textId="77777777" w:rsidTr="00EB4561">
        <w:trPr>
          <w:cantSplit/>
          <w:trHeight w:val="237"/>
          <w:jc w:val="center"/>
        </w:trPr>
        <w:tc>
          <w:tcPr>
            <w:tcW w:w="5812" w:type="dxa"/>
          </w:tcPr>
          <w:p w14:paraId="01E746E3" w14:textId="449555BD" w:rsidR="00EB0F70" w:rsidRPr="005A0E21" w:rsidRDefault="00EB0F70" w:rsidP="00EB0F70">
            <w:pPr>
              <w:pStyle w:val="Paragraph"/>
              <w:ind w:left="319" w:hanging="284"/>
              <w:jc w:val="left"/>
            </w:pPr>
            <w:r w:rsidRPr="005429EA">
              <w:t>References relevant to the latest scientific developments</w:t>
            </w:r>
          </w:p>
        </w:tc>
        <w:tc>
          <w:tcPr>
            <w:tcW w:w="1418" w:type="dxa"/>
          </w:tcPr>
          <w:p w14:paraId="20972FD6" w14:textId="30070E53" w:rsidR="00EB0F70" w:rsidRPr="005A0E21" w:rsidRDefault="00EB0F70" w:rsidP="00EB0F70">
            <w:pPr>
              <w:jc w:val="center"/>
              <w:rPr>
                <w:sz w:val="20"/>
              </w:rPr>
            </w:pPr>
            <w:r w:rsidRPr="005429EA">
              <w:t>4,01</w:t>
            </w:r>
          </w:p>
        </w:tc>
        <w:tc>
          <w:tcPr>
            <w:tcW w:w="1559" w:type="dxa"/>
          </w:tcPr>
          <w:p w14:paraId="6312DAA6" w14:textId="19BD57C0" w:rsidR="00EB0F70" w:rsidRPr="005A0E21" w:rsidRDefault="00EB0F70" w:rsidP="00EB0F70">
            <w:pPr>
              <w:jc w:val="center"/>
              <w:rPr>
                <w:sz w:val="20"/>
              </w:rPr>
            </w:pPr>
            <w:r w:rsidRPr="005429EA">
              <w:t>4,23</w:t>
            </w:r>
          </w:p>
        </w:tc>
      </w:tr>
      <w:tr w:rsidR="00EB0F70" w:rsidRPr="005A0E21" w14:paraId="171D30CC" w14:textId="77777777" w:rsidTr="00EB4561">
        <w:trPr>
          <w:cantSplit/>
          <w:trHeight w:val="237"/>
          <w:jc w:val="center"/>
        </w:trPr>
        <w:tc>
          <w:tcPr>
            <w:tcW w:w="5812" w:type="dxa"/>
          </w:tcPr>
          <w:p w14:paraId="6F87A1F4" w14:textId="0FDC332D" w:rsidR="00EB0F70" w:rsidRPr="005A0E21" w:rsidRDefault="00EB0F70" w:rsidP="00EB0F70">
            <w:pPr>
              <w:pStyle w:val="Paragraph"/>
              <w:ind w:left="319" w:hanging="284"/>
              <w:jc w:val="left"/>
            </w:pPr>
            <w:r w:rsidRPr="005429EA">
              <w:t>Average evaluation of planning quality</w:t>
            </w:r>
          </w:p>
        </w:tc>
        <w:tc>
          <w:tcPr>
            <w:tcW w:w="1418" w:type="dxa"/>
          </w:tcPr>
          <w:p w14:paraId="415CF6EA" w14:textId="0DA3F155" w:rsidR="00EB0F70" w:rsidRPr="005A0E21" w:rsidRDefault="00EB0F70" w:rsidP="00EB0F70">
            <w:pPr>
              <w:jc w:val="center"/>
              <w:rPr>
                <w:sz w:val="20"/>
              </w:rPr>
            </w:pPr>
            <w:r w:rsidRPr="005429EA">
              <w:t>4,16</w:t>
            </w:r>
          </w:p>
        </w:tc>
        <w:tc>
          <w:tcPr>
            <w:tcW w:w="1559" w:type="dxa"/>
          </w:tcPr>
          <w:p w14:paraId="267950CB" w14:textId="656E1541" w:rsidR="00EB0F70" w:rsidRPr="005A0E21" w:rsidRDefault="00EB0F70" w:rsidP="00EB0F70">
            <w:pPr>
              <w:jc w:val="center"/>
              <w:rPr>
                <w:sz w:val="20"/>
              </w:rPr>
            </w:pPr>
            <w:r w:rsidRPr="005429EA">
              <w:t>4,33</w:t>
            </w:r>
          </w:p>
        </w:tc>
      </w:tr>
    </w:tbl>
    <w:p w14:paraId="59759BDE" w14:textId="0FE96E77" w:rsidR="00EB0F70" w:rsidRPr="00D132BF" w:rsidRDefault="00EB0F70" w:rsidP="00EB0F70">
      <w:pPr>
        <w:pStyle w:val="Paragraph"/>
        <w:ind w:firstLine="0"/>
      </w:pPr>
    </w:p>
    <w:p w14:paraId="093F8468" w14:textId="71A861C3" w:rsidR="00EB0F70" w:rsidRPr="00D132BF" w:rsidRDefault="00EB0F70" w:rsidP="00EB0F70">
      <w:pPr>
        <w:pStyle w:val="Paragraph"/>
      </w:pPr>
      <w:r w:rsidRPr="00D132BF">
        <w:t xml:space="preserve">The fourth component is the process of learning. The data in Table 5 shows that there are things that need to be improved, including: a more enjoyable way of delivering learning materials. </w:t>
      </w:r>
      <w:proofErr w:type="spellStart"/>
      <w:r w:rsidRPr="00D132BF">
        <w:t>Derya</w:t>
      </w:r>
      <w:proofErr w:type="spellEnd"/>
      <w:r w:rsidRPr="00D132BF">
        <w:t xml:space="preserve"> explained that blogs have the potential to transform teaching and learning activities into a learning community. The results of this study indicate that students who feel part of the learning community, have positive experiences in feedback via blogs, or</w:t>
      </w:r>
      <w:r w:rsidR="00D132BF" w:rsidRPr="00D132BF">
        <w:t xml:space="preserve"> </w:t>
      </w:r>
      <w:r w:rsidR="00D132BF" w:rsidRPr="00D132BF">
        <w:t xml:space="preserve">participate in teaching and learning activities will have a better learning experience </w:t>
      </w:r>
      <w:r w:rsidR="00D132BF" w:rsidRPr="00D132BF">
        <w:fldChar w:fldCharType="begin" w:fldLock="1"/>
      </w:r>
      <w:r w:rsidR="00B466E2">
        <w:instrText>ADDIN CSL_CITATION {"citationItems":[{"id":"ITEM-1","itemData":{"author":[{"dropping-particle":"","family":"Derya","given":"Melih","non-dropping-particle":"","parse-names":false,"suffix":""},{"dropping-particle":"","family":"Orcid","given":"Gurer","non-dropping-particle":"","parse-names":false,"suffix":""}],"id":"ITEM-1","issue":"October","issued":{"date-parts":[["2020"]]},"page":"237-250","title":"SENSE OF COMMUNITY , PEER FEEDBACK AND COURSE ENGAGEMENT AS PREDICTORS OF LEARNING IN","type":"article-journal"},"uris":["http://www.mendeley.com/documents/?uuid=f0a96639-42c7-47fb-999c-0f97f9462126"]}],"mendeley":{"formattedCitation":"&lt;sup&gt;14&lt;/sup&gt;","plainTextFormattedCitation":"14","previouslyFormattedCitation":"(Derya &amp; Orcid, 2020)"},"properties":{"noteIndex":0},"schema":"https://github.com/citation-style-language/schema/raw/master/csl-citation.json"}</w:instrText>
      </w:r>
      <w:r w:rsidR="00D132BF" w:rsidRPr="00D132BF">
        <w:fldChar w:fldCharType="separate"/>
      </w:r>
      <w:r w:rsidR="00B466E2" w:rsidRPr="00B466E2">
        <w:rPr>
          <w:noProof/>
          <w:vertAlign w:val="superscript"/>
        </w:rPr>
        <w:t>14</w:t>
      </w:r>
      <w:r w:rsidR="00D132BF" w:rsidRPr="00D132BF">
        <w:fldChar w:fldCharType="end"/>
      </w:r>
      <w:r w:rsidR="00D132BF" w:rsidRPr="00D132BF">
        <w:t>. Based on this, lecturers can present an online learning atmosphere to be like a community. Students will feel that online learning becomes more comfortable in the community because they can interact with other people such as lecturers or other students. On the other hand, online learning requires students to learn independently, so if they find several learning problems, the lecturer also needs to pay attention and provide solutions.</w:t>
      </w:r>
    </w:p>
    <w:p w14:paraId="7A4F61EB" w14:textId="526C7685" w:rsidR="00D132BF" w:rsidRDefault="00D132BF" w:rsidP="00D132BF">
      <w:pPr>
        <w:pStyle w:val="Paragraph"/>
        <w:ind w:firstLine="0"/>
        <w:rPr>
          <w:sz w:val="22"/>
          <w:szCs w:val="22"/>
        </w:rPr>
      </w:pPr>
    </w:p>
    <w:tbl>
      <w:tblPr>
        <w:tblW w:w="8789" w:type="dxa"/>
        <w:jc w:val="center"/>
        <w:tblBorders>
          <w:bottom w:val="single" w:sz="4" w:space="0" w:color="auto"/>
        </w:tblBorders>
        <w:tblLayout w:type="fixed"/>
        <w:tblLook w:val="0000" w:firstRow="0" w:lastRow="0" w:firstColumn="0" w:lastColumn="0" w:noHBand="0" w:noVBand="0"/>
      </w:tblPr>
      <w:tblGrid>
        <w:gridCol w:w="5812"/>
        <w:gridCol w:w="1418"/>
        <w:gridCol w:w="1559"/>
      </w:tblGrid>
      <w:tr w:rsidR="00D132BF" w:rsidRPr="00075EA6" w14:paraId="01EBBF3F" w14:textId="77777777" w:rsidTr="00EB4561">
        <w:trPr>
          <w:cantSplit/>
          <w:trHeight w:val="429"/>
          <w:jc w:val="center"/>
        </w:trPr>
        <w:tc>
          <w:tcPr>
            <w:tcW w:w="8789" w:type="dxa"/>
            <w:gridSpan w:val="3"/>
            <w:tcBorders>
              <w:bottom w:val="nil"/>
            </w:tcBorders>
          </w:tcPr>
          <w:p w14:paraId="75DEDDB1" w14:textId="7EACBEB5" w:rsidR="00D132BF" w:rsidRPr="00075EA6" w:rsidRDefault="00D132BF" w:rsidP="00EB4561">
            <w:pPr>
              <w:pStyle w:val="Paragraph"/>
              <w:spacing w:line="360" w:lineRule="auto"/>
              <w:ind w:firstLine="0"/>
              <w:jc w:val="center"/>
            </w:pPr>
            <w:r w:rsidRPr="00075EA6">
              <w:rPr>
                <w:b/>
              </w:rPr>
              <w:t xml:space="preserve">TABLE </w:t>
            </w:r>
            <w:r>
              <w:rPr>
                <w:b/>
              </w:rPr>
              <w:t>5</w:t>
            </w:r>
            <w:r w:rsidRPr="00075EA6">
              <w:rPr>
                <w:b/>
              </w:rPr>
              <w:t>.</w:t>
            </w:r>
            <w:r w:rsidRPr="007E36EC">
              <w:rPr>
                <w:i/>
                <w:iCs/>
              </w:rPr>
              <w:t xml:space="preserve"> </w:t>
            </w:r>
            <w:r w:rsidRPr="00D132BF">
              <w:rPr>
                <w:i/>
                <w:iCs/>
              </w:rPr>
              <w:t>Evaluation Result of Process Quality</w:t>
            </w:r>
          </w:p>
        </w:tc>
      </w:tr>
      <w:tr w:rsidR="00D132BF" w:rsidRPr="00075EA6" w14:paraId="46AA27A5" w14:textId="77777777" w:rsidTr="00EB4561">
        <w:trPr>
          <w:cantSplit/>
          <w:trHeight w:val="272"/>
          <w:jc w:val="center"/>
        </w:trPr>
        <w:tc>
          <w:tcPr>
            <w:tcW w:w="5812" w:type="dxa"/>
            <w:tcBorders>
              <w:top w:val="single" w:sz="4" w:space="0" w:color="auto"/>
              <w:bottom w:val="single" w:sz="4" w:space="0" w:color="auto"/>
            </w:tcBorders>
          </w:tcPr>
          <w:p w14:paraId="4C1495C0" w14:textId="77777777" w:rsidR="00D132BF" w:rsidRPr="00075EA6" w:rsidRDefault="00D132BF" w:rsidP="00EB4561">
            <w:pPr>
              <w:jc w:val="center"/>
            </w:pPr>
            <w:r w:rsidRPr="008E1E5C">
              <w:t>Indicator</w:t>
            </w:r>
          </w:p>
        </w:tc>
        <w:tc>
          <w:tcPr>
            <w:tcW w:w="1418" w:type="dxa"/>
            <w:tcBorders>
              <w:top w:val="single" w:sz="4" w:space="0" w:color="auto"/>
              <w:bottom w:val="single" w:sz="4" w:space="0" w:color="auto"/>
            </w:tcBorders>
          </w:tcPr>
          <w:p w14:paraId="4CC1B3A1" w14:textId="77777777" w:rsidR="00D132BF" w:rsidRPr="00075EA6" w:rsidRDefault="00D132BF" w:rsidP="00EB4561">
            <w:pPr>
              <w:jc w:val="center"/>
              <w:rPr>
                <w:b/>
                <w:sz w:val="18"/>
                <w:szCs w:val="18"/>
              </w:rPr>
            </w:pPr>
            <w:r w:rsidRPr="008E1E5C">
              <w:t>S1 Courses</w:t>
            </w:r>
          </w:p>
        </w:tc>
        <w:tc>
          <w:tcPr>
            <w:tcW w:w="1559" w:type="dxa"/>
            <w:tcBorders>
              <w:top w:val="single" w:sz="4" w:space="0" w:color="auto"/>
              <w:bottom w:val="single" w:sz="4" w:space="0" w:color="auto"/>
            </w:tcBorders>
          </w:tcPr>
          <w:p w14:paraId="3E14FFE7" w14:textId="77777777" w:rsidR="00D132BF" w:rsidRPr="00075EA6" w:rsidRDefault="00D132BF" w:rsidP="00EB4561">
            <w:pPr>
              <w:jc w:val="center"/>
              <w:rPr>
                <w:b/>
                <w:sz w:val="18"/>
                <w:szCs w:val="18"/>
              </w:rPr>
            </w:pPr>
            <w:r w:rsidRPr="008E1E5C">
              <w:t>D4 Courses</w:t>
            </w:r>
          </w:p>
        </w:tc>
      </w:tr>
      <w:tr w:rsidR="00D132BF" w:rsidRPr="005A0E21" w14:paraId="1F48E88D" w14:textId="77777777" w:rsidTr="00EB4561">
        <w:trPr>
          <w:cantSplit/>
          <w:jc w:val="center"/>
        </w:trPr>
        <w:tc>
          <w:tcPr>
            <w:tcW w:w="5812" w:type="dxa"/>
            <w:tcBorders>
              <w:top w:val="nil"/>
            </w:tcBorders>
          </w:tcPr>
          <w:p w14:paraId="08BFBFE8" w14:textId="27FB94BE" w:rsidR="00D132BF" w:rsidRPr="005A0E21" w:rsidRDefault="00D132BF" w:rsidP="00D132BF">
            <w:pPr>
              <w:pStyle w:val="Paragraph"/>
              <w:ind w:left="319" w:hanging="284"/>
              <w:jc w:val="left"/>
            </w:pPr>
            <w:r w:rsidRPr="00E60ECB">
              <w:t xml:space="preserve">Easy to follow instructions on the material </w:t>
            </w:r>
          </w:p>
        </w:tc>
        <w:tc>
          <w:tcPr>
            <w:tcW w:w="1418" w:type="dxa"/>
            <w:tcBorders>
              <w:top w:val="nil"/>
            </w:tcBorders>
          </w:tcPr>
          <w:p w14:paraId="3F31EE63" w14:textId="7985FE35" w:rsidR="00D132BF" w:rsidRPr="005A0E21" w:rsidRDefault="00D132BF" w:rsidP="00D132BF">
            <w:pPr>
              <w:jc w:val="center"/>
              <w:rPr>
                <w:sz w:val="20"/>
              </w:rPr>
            </w:pPr>
            <w:r w:rsidRPr="00E60ECB">
              <w:t>4,01</w:t>
            </w:r>
          </w:p>
        </w:tc>
        <w:tc>
          <w:tcPr>
            <w:tcW w:w="1559" w:type="dxa"/>
            <w:tcBorders>
              <w:top w:val="nil"/>
            </w:tcBorders>
          </w:tcPr>
          <w:p w14:paraId="79933443" w14:textId="24763882" w:rsidR="00D132BF" w:rsidRPr="005A0E21" w:rsidRDefault="00D132BF" w:rsidP="00D132BF">
            <w:pPr>
              <w:jc w:val="center"/>
              <w:rPr>
                <w:sz w:val="20"/>
              </w:rPr>
            </w:pPr>
            <w:r w:rsidRPr="00E60ECB">
              <w:t>4,38</w:t>
            </w:r>
          </w:p>
        </w:tc>
      </w:tr>
      <w:tr w:rsidR="00D132BF" w:rsidRPr="005A0E21" w14:paraId="12C1FDF0" w14:textId="77777777" w:rsidTr="00EB4561">
        <w:trPr>
          <w:cantSplit/>
          <w:jc w:val="center"/>
        </w:trPr>
        <w:tc>
          <w:tcPr>
            <w:tcW w:w="5812" w:type="dxa"/>
          </w:tcPr>
          <w:p w14:paraId="4B0E2697" w14:textId="66629370" w:rsidR="00D132BF" w:rsidRPr="005A0E21" w:rsidRDefault="00D132BF" w:rsidP="00D132BF">
            <w:pPr>
              <w:pStyle w:val="Paragraph"/>
              <w:ind w:left="319" w:hanging="284"/>
              <w:jc w:val="left"/>
            </w:pPr>
            <w:r w:rsidRPr="00E60ECB">
              <w:t>How to deliver enjoyable learning</w:t>
            </w:r>
          </w:p>
        </w:tc>
        <w:tc>
          <w:tcPr>
            <w:tcW w:w="1418" w:type="dxa"/>
          </w:tcPr>
          <w:p w14:paraId="78EB3FA0" w14:textId="6EBF2313" w:rsidR="00D132BF" w:rsidRPr="005A0E21" w:rsidRDefault="00D132BF" w:rsidP="00D132BF">
            <w:pPr>
              <w:jc w:val="center"/>
              <w:rPr>
                <w:sz w:val="20"/>
              </w:rPr>
            </w:pPr>
            <w:r w:rsidRPr="00E60ECB">
              <w:t>3,65</w:t>
            </w:r>
          </w:p>
        </w:tc>
        <w:tc>
          <w:tcPr>
            <w:tcW w:w="1559" w:type="dxa"/>
          </w:tcPr>
          <w:p w14:paraId="73F4D5FB" w14:textId="35B1859E" w:rsidR="00D132BF" w:rsidRPr="005A0E21" w:rsidRDefault="00D132BF" w:rsidP="00D132BF">
            <w:pPr>
              <w:jc w:val="center"/>
              <w:rPr>
                <w:sz w:val="20"/>
              </w:rPr>
            </w:pPr>
            <w:r w:rsidRPr="00E60ECB">
              <w:t>4,26</w:t>
            </w:r>
          </w:p>
        </w:tc>
      </w:tr>
      <w:tr w:rsidR="00D132BF" w:rsidRPr="005A0E21" w14:paraId="1F761697" w14:textId="77777777" w:rsidTr="00EB4561">
        <w:trPr>
          <w:cantSplit/>
          <w:trHeight w:val="237"/>
          <w:jc w:val="center"/>
        </w:trPr>
        <w:tc>
          <w:tcPr>
            <w:tcW w:w="5812" w:type="dxa"/>
          </w:tcPr>
          <w:p w14:paraId="3737AE7D" w14:textId="765FBFA8" w:rsidR="00D132BF" w:rsidRPr="005A0E21" w:rsidRDefault="00D132BF" w:rsidP="00D132BF">
            <w:pPr>
              <w:pStyle w:val="Paragraph"/>
              <w:ind w:left="319" w:hanging="284"/>
              <w:jc w:val="left"/>
            </w:pPr>
            <w:r w:rsidRPr="00E60ECB">
              <w:t>Provide interaction opportunities</w:t>
            </w:r>
          </w:p>
        </w:tc>
        <w:tc>
          <w:tcPr>
            <w:tcW w:w="1418" w:type="dxa"/>
          </w:tcPr>
          <w:p w14:paraId="6E2DC421" w14:textId="52489840" w:rsidR="00D132BF" w:rsidRPr="005A0E21" w:rsidRDefault="00D132BF" w:rsidP="00D132BF">
            <w:pPr>
              <w:jc w:val="center"/>
              <w:rPr>
                <w:sz w:val="20"/>
              </w:rPr>
            </w:pPr>
            <w:r w:rsidRPr="00E60ECB">
              <w:t>4,23</w:t>
            </w:r>
          </w:p>
        </w:tc>
        <w:tc>
          <w:tcPr>
            <w:tcW w:w="1559" w:type="dxa"/>
          </w:tcPr>
          <w:p w14:paraId="6CCA1435" w14:textId="4605B1C8" w:rsidR="00D132BF" w:rsidRPr="005A0E21" w:rsidRDefault="00D132BF" w:rsidP="00D132BF">
            <w:pPr>
              <w:jc w:val="center"/>
              <w:rPr>
                <w:sz w:val="20"/>
              </w:rPr>
            </w:pPr>
            <w:r w:rsidRPr="00E60ECB">
              <w:t>4,29</w:t>
            </w:r>
          </w:p>
        </w:tc>
      </w:tr>
      <w:tr w:rsidR="00D132BF" w:rsidRPr="005A0E21" w14:paraId="18E9BA66" w14:textId="77777777" w:rsidTr="00EB4561">
        <w:trPr>
          <w:cantSplit/>
          <w:trHeight w:val="237"/>
          <w:jc w:val="center"/>
        </w:trPr>
        <w:tc>
          <w:tcPr>
            <w:tcW w:w="5812" w:type="dxa"/>
          </w:tcPr>
          <w:p w14:paraId="104D5089" w14:textId="63821A06" w:rsidR="00D132BF" w:rsidRPr="005A0E21" w:rsidRDefault="00D132BF" w:rsidP="00D132BF">
            <w:pPr>
              <w:pStyle w:val="Paragraph"/>
              <w:ind w:left="319" w:hanging="284"/>
              <w:jc w:val="left"/>
            </w:pPr>
            <w:r w:rsidRPr="00E60ECB">
              <w:t>Available opportunities for self-repeated learning</w:t>
            </w:r>
          </w:p>
        </w:tc>
        <w:tc>
          <w:tcPr>
            <w:tcW w:w="1418" w:type="dxa"/>
          </w:tcPr>
          <w:p w14:paraId="01175BA9" w14:textId="112D4641" w:rsidR="00D132BF" w:rsidRPr="005A0E21" w:rsidRDefault="00D132BF" w:rsidP="00D132BF">
            <w:pPr>
              <w:jc w:val="center"/>
              <w:rPr>
                <w:sz w:val="20"/>
              </w:rPr>
            </w:pPr>
            <w:r w:rsidRPr="00E60ECB">
              <w:t>4,34</w:t>
            </w:r>
          </w:p>
        </w:tc>
        <w:tc>
          <w:tcPr>
            <w:tcW w:w="1559" w:type="dxa"/>
          </w:tcPr>
          <w:p w14:paraId="7824053C" w14:textId="10ECD893" w:rsidR="00D132BF" w:rsidRPr="005A0E21" w:rsidRDefault="00D132BF" w:rsidP="00D132BF">
            <w:pPr>
              <w:jc w:val="center"/>
              <w:rPr>
                <w:sz w:val="20"/>
              </w:rPr>
            </w:pPr>
            <w:r w:rsidRPr="00E60ECB">
              <w:t>4,29</w:t>
            </w:r>
          </w:p>
        </w:tc>
      </w:tr>
      <w:tr w:rsidR="00D132BF" w:rsidRPr="005A0E21" w14:paraId="46A03274" w14:textId="77777777" w:rsidTr="00EB4561">
        <w:trPr>
          <w:cantSplit/>
          <w:trHeight w:val="237"/>
          <w:jc w:val="center"/>
        </w:trPr>
        <w:tc>
          <w:tcPr>
            <w:tcW w:w="5812" w:type="dxa"/>
          </w:tcPr>
          <w:p w14:paraId="59A093C6" w14:textId="693D3247" w:rsidR="00D132BF" w:rsidRPr="005A0E21" w:rsidRDefault="00D132BF" w:rsidP="00D132BF">
            <w:pPr>
              <w:pStyle w:val="Paragraph"/>
              <w:ind w:left="319" w:hanging="284"/>
              <w:jc w:val="left"/>
            </w:pPr>
            <w:r w:rsidRPr="00E60ECB">
              <w:t xml:space="preserve">Available feedback on assignments and practice is </w:t>
            </w:r>
          </w:p>
        </w:tc>
        <w:tc>
          <w:tcPr>
            <w:tcW w:w="1418" w:type="dxa"/>
          </w:tcPr>
          <w:p w14:paraId="00520008" w14:textId="6BBEB471" w:rsidR="00D132BF" w:rsidRPr="005A0E21" w:rsidRDefault="00D132BF" w:rsidP="00D132BF">
            <w:pPr>
              <w:jc w:val="center"/>
              <w:rPr>
                <w:sz w:val="20"/>
              </w:rPr>
            </w:pPr>
            <w:r w:rsidRPr="00E60ECB">
              <w:t>4,01</w:t>
            </w:r>
          </w:p>
        </w:tc>
        <w:tc>
          <w:tcPr>
            <w:tcW w:w="1559" w:type="dxa"/>
          </w:tcPr>
          <w:p w14:paraId="64D7D200" w14:textId="0E1D4D69" w:rsidR="00D132BF" w:rsidRPr="005A0E21" w:rsidRDefault="00D132BF" w:rsidP="00D132BF">
            <w:pPr>
              <w:jc w:val="center"/>
              <w:rPr>
                <w:sz w:val="20"/>
              </w:rPr>
            </w:pPr>
            <w:r w:rsidRPr="00E60ECB">
              <w:t>4,24</w:t>
            </w:r>
          </w:p>
        </w:tc>
      </w:tr>
      <w:tr w:rsidR="00D132BF" w:rsidRPr="005A0E21" w14:paraId="4B9D462F" w14:textId="77777777" w:rsidTr="00EB4561">
        <w:trPr>
          <w:cantSplit/>
          <w:trHeight w:val="237"/>
          <w:jc w:val="center"/>
        </w:trPr>
        <w:tc>
          <w:tcPr>
            <w:tcW w:w="5812" w:type="dxa"/>
          </w:tcPr>
          <w:p w14:paraId="0ABC55F3" w14:textId="152F8073" w:rsidR="00D132BF" w:rsidRPr="005A0E21" w:rsidRDefault="00D132BF" w:rsidP="00D132BF">
            <w:pPr>
              <w:pStyle w:val="Paragraph"/>
              <w:ind w:left="319" w:hanging="284"/>
              <w:jc w:val="left"/>
            </w:pPr>
            <w:r w:rsidRPr="00E60ECB">
              <w:t>Command to read the material before learning activities</w:t>
            </w:r>
          </w:p>
        </w:tc>
        <w:tc>
          <w:tcPr>
            <w:tcW w:w="1418" w:type="dxa"/>
          </w:tcPr>
          <w:p w14:paraId="7639FB87" w14:textId="5A5F844F" w:rsidR="00D132BF" w:rsidRPr="005A0E21" w:rsidRDefault="00D132BF" w:rsidP="00D132BF">
            <w:pPr>
              <w:jc w:val="center"/>
              <w:rPr>
                <w:sz w:val="20"/>
              </w:rPr>
            </w:pPr>
            <w:r w:rsidRPr="00E60ECB">
              <w:t>3,90</w:t>
            </w:r>
          </w:p>
        </w:tc>
        <w:tc>
          <w:tcPr>
            <w:tcW w:w="1559" w:type="dxa"/>
          </w:tcPr>
          <w:p w14:paraId="29736959" w14:textId="1D639DF2" w:rsidR="00D132BF" w:rsidRPr="005A0E21" w:rsidRDefault="00D132BF" w:rsidP="00D132BF">
            <w:pPr>
              <w:jc w:val="center"/>
              <w:rPr>
                <w:sz w:val="20"/>
              </w:rPr>
            </w:pPr>
            <w:r w:rsidRPr="00E60ECB">
              <w:t>4,08</w:t>
            </w:r>
          </w:p>
        </w:tc>
      </w:tr>
      <w:tr w:rsidR="00D132BF" w:rsidRPr="005A0E21" w14:paraId="56E629B1" w14:textId="77777777" w:rsidTr="00EB4561">
        <w:trPr>
          <w:cantSplit/>
          <w:trHeight w:val="237"/>
          <w:jc w:val="center"/>
        </w:trPr>
        <w:tc>
          <w:tcPr>
            <w:tcW w:w="5812" w:type="dxa"/>
          </w:tcPr>
          <w:p w14:paraId="6B9A6485" w14:textId="11AF1F30" w:rsidR="00D132BF" w:rsidRPr="005A0E21" w:rsidRDefault="00D132BF" w:rsidP="00D132BF">
            <w:pPr>
              <w:pStyle w:val="Paragraph"/>
              <w:ind w:left="319" w:hanging="284"/>
              <w:jc w:val="left"/>
            </w:pPr>
            <w:r w:rsidRPr="00E60ECB">
              <w:t>Students have the opportunity to find knowledge/solve problems in their own way</w:t>
            </w:r>
          </w:p>
        </w:tc>
        <w:tc>
          <w:tcPr>
            <w:tcW w:w="1418" w:type="dxa"/>
          </w:tcPr>
          <w:p w14:paraId="1D0F2E4A" w14:textId="064C38DA" w:rsidR="00D132BF" w:rsidRPr="005A0E21" w:rsidRDefault="00D132BF" w:rsidP="00D132BF">
            <w:pPr>
              <w:jc w:val="center"/>
              <w:rPr>
                <w:sz w:val="20"/>
              </w:rPr>
            </w:pPr>
            <w:r w:rsidRPr="00E60ECB">
              <w:t>4,19</w:t>
            </w:r>
          </w:p>
        </w:tc>
        <w:tc>
          <w:tcPr>
            <w:tcW w:w="1559" w:type="dxa"/>
          </w:tcPr>
          <w:p w14:paraId="6A6F9CFB" w14:textId="352DB074" w:rsidR="00D132BF" w:rsidRPr="005A0E21" w:rsidRDefault="00D132BF" w:rsidP="00D132BF">
            <w:pPr>
              <w:jc w:val="center"/>
              <w:rPr>
                <w:sz w:val="20"/>
              </w:rPr>
            </w:pPr>
            <w:r w:rsidRPr="00E60ECB">
              <w:t>4,26</w:t>
            </w:r>
          </w:p>
        </w:tc>
      </w:tr>
      <w:tr w:rsidR="00D132BF" w:rsidRPr="005A0E21" w14:paraId="6BF9306F" w14:textId="77777777" w:rsidTr="00EB4561">
        <w:trPr>
          <w:cantSplit/>
          <w:trHeight w:val="237"/>
          <w:jc w:val="center"/>
        </w:trPr>
        <w:tc>
          <w:tcPr>
            <w:tcW w:w="5812" w:type="dxa"/>
          </w:tcPr>
          <w:p w14:paraId="56DA4357" w14:textId="34D720E4" w:rsidR="00D132BF" w:rsidRPr="005A0E21" w:rsidRDefault="00D132BF" w:rsidP="00D132BF">
            <w:pPr>
              <w:pStyle w:val="Paragraph"/>
              <w:ind w:left="319" w:hanging="284"/>
              <w:jc w:val="left"/>
            </w:pPr>
            <w:r w:rsidRPr="00E60ECB">
              <w:t>Lecturers provide study assistance to students who have learning problems</w:t>
            </w:r>
          </w:p>
        </w:tc>
        <w:tc>
          <w:tcPr>
            <w:tcW w:w="1418" w:type="dxa"/>
          </w:tcPr>
          <w:p w14:paraId="0E564ADB" w14:textId="3C15A0FF" w:rsidR="00D132BF" w:rsidRPr="005A0E21" w:rsidRDefault="00D132BF" w:rsidP="00D132BF">
            <w:pPr>
              <w:jc w:val="center"/>
              <w:rPr>
                <w:sz w:val="20"/>
              </w:rPr>
            </w:pPr>
            <w:r w:rsidRPr="00E60ECB">
              <w:t>3,81</w:t>
            </w:r>
          </w:p>
        </w:tc>
        <w:tc>
          <w:tcPr>
            <w:tcW w:w="1559" w:type="dxa"/>
          </w:tcPr>
          <w:p w14:paraId="1F827CC4" w14:textId="24CE2C22" w:rsidR="00D132BF" w:rsidRPr="005A0E21" w:rsidRDefault="00D132BF" w:rsidP="00D132BF">
            <w:pPr>
              <w:jc w:val="center"/>
              <w:rPr>
                <w:sz w:val="20"/>
              </w:rPr>
            </w:pPr>
            <w:r w:rsidRPr="00E60ECB">
              <w:t>4,23</w:t>
            </w:r>
          </w:p>
        </w:tc>
      </w:tr>
      <w:tr w:rsidR="00D132BF" w:rsidRPr="005A0E21" w14:paraId="5B2BFB12" w14:textId="77777777" w:rsidTr="00EB4561">
        <w:trPr>
          <w:cantSplit/>
          <w:trHeight w:val="237"/>
          <w:jc w:val="center"/>
        </w:trPr>
        <w:tc>
          <w:tcPr>
            <w:tcW w:w="5812" w:type="dxa"/>
          </w:tcPr>
          <w:p w14:paraId="63112FB3" w14:textId="0849581B" w:rsidR="00D132BF" w:rsidRPr="005429EA" w:rsidRDefault="00D132BF" w:rsidP="00D132BF">
            <w:pPr>
              <w:pStyle w:val="Paragraph"/>
              <w:ind w:left="319" w:hanging="284"/>
              <w:jc w:val="left"/>
            </w:pPr>
            <w:r w:rsidRPr="00E60ECB">
              <w:t xml:space="preserve">Provide a discussion forum </w:t>
            </w:r>
          </w:p>
        </w:tc>
        <w:tc>
          <w:tcPr>
            <w:tcW w:w="1418" w:type="dxa"/>
          </w:tcPr>
          <w:p w14:paraId="255FC4BD" w14:textId="00C5C9A5" w:rsidR="00D132BF" w:rsidRPr="005429EA" w:rsidRDefault="00D132BF" w:rsidP="00D132BF">
            <w:pPr>
              <w:jc w:val="center"/>
            </w:pPr>
            <w:r w:rsidRPr="00E60ECB">
              <w:t>4,10</w:t>
            </w:r>
          </w:p>
        </w:tc>
        <w:tc>
          <w:tcPr>
            <w:tcW w:w="1559" w:type="dxa"/>
          </w:tcPr>
          <w:p w14:paraId="660B50E9" w14:textId="3ED57D82" w:rsidR="00D132BF" w:rsidRPr="005429EA" w:rsidRDefault="00D132BF" w:rsidP="00D132BF">
            <w:pPr>
              <w:jc w:val="center"/>
            </w:pPr>
            <w:r w:rsidRPr="00E60ECB">
              <w:t>4,31</w:t>
            </w:r>
          </w:p>
        </w:tc>
      </w:tr>
      <w:tr w:rsidR="00D132BF" w:rsidRPr="005A0E21" w14:paraId="74ABEEF6" w14:textId="77777777" w:rsidTr="00EB4561">
        <w:trPr>
          <w:cantSplit/>
          <w:trHeight w:val="237"/>
          <w:jc w:val="center"/>
        </w:trPr>
        <w:tc>
          <w:tcPr>
            <w:tcW w:w="5812" w:type="dxa"/>
          </w:tcPr>
          <w:p w14:paraId="414BC81E" w14:textId="1474B2BB" w:rsidR="00D132BF" w:rsidRPr="005429EA" w:rsidRDefault="00D132BF" w:rsidP="00D132BF">
            <w:pPr>
              <w:pStyle w:val="Paragraph"/>
              <w:ind w:left="319" w:hanging="284"/>
              <w:jc w:val="left"/>
            </w:pPr>
            <w:r w:rsidRPr="00E60ECB">
              <w:t>Material delivered</w:t>
            </w:r>
            <w:r>
              <w:t xml:space="preserve"> </w:t>
            </w:r>
            <w:r w:rsidRPr="00E60ECB">
              <w:t>synchronously and asynchronously</w:t>
            </w:r>
          </w:p>
        </w:tc>
        <w:tc>
          <w:tcPr>
            <w:tcW w:w="1418" w:type="dxa"/>
          </w:tcPr>
          <w:p w14:paraId="1348F3EE" w14:textId="14373B23" w:rsidR="00D132BF" w:rsidRPr="005429EA" w:rsidRDefault="00D132BF" w:rsidP="00D132BF">
            <w:pPr>
              <w:jc w:val="center"/>
            </w:pPr>
            <w:r w:rsidRPr="00E60ECB">
              <w:t>4,19</w:t>
            </w:r>
          </w:p>
        </w:tc>
        <w:tc>
          <w:tcPr>
            <w:tcW w:w="1559" w:type="dxa"/>
          </w:tcPr>
          <w:p w14:paraId="70C29A72" w14:textId="25E47B32" w:rsidR="00D132BF" w:rsidRPr="005429EA" w:rsidRDefault="00D132BF" w:rsidP="00D132BF">
            <w:pPr>
              <w:jc w:val="center"/>
            </w:pPr>
            <w:r w:rsidRPr="00E60ECB">
              <w:t>4,20</w:t>
            </w:r>
          </w:p>
        </w:tc>
      </w:tr>
      <w:tr w:rsidR="00D132BF" w:rsidRPr="005A0E21" w14:paraId="1AC171AB" w14:textId="77777777" w:rsidTr="00EB4561">
        <w:trPr>
          <w:cantSplit/>
          <w:trHeight w:val="237"/>
          <w:jc w:val="center"/>
        </w:trPr>
        <w:tc>
          <w:tcPr>
            <w:tcW w:w="5812" w:type="dxa"/>
          </w:tcPr>
          <w:p w14:paraId="02FB54C6" w14:textId="7EDBBC41" w:rsidR="00D132BF" w:rsidRPr="005429EA" w:rsidRDefault="00D132BF" w:rsidP="00D132BF">
            <w:pPr>
              <w:pStyle w:val="Paragraph"/>
              <w:ind w:left="319" w:hanging="284"/>
              <w:jc w:val="left"/>
            </w:pPr>
            <w:r w:rsidRPr="00D132BF">
              <w:t>Average evaluation of learning progress quality</w:t>
            </w:r>
            <w:r w:rsidRPr="00D132BF">
              <w:tab/>
            </w:r>
          </w:p>
        </w:tc>
        <w:tc>
          <w:tcPr>
            <w:tcW w:w="1418" w:type="dxa"/>
          </w:tcPr>
          <w:p w14:paraId="7EEFD7B7" w14:textId="2BC61C1B" w:rsidR="00D132BF" w:rsidRPr="005429EA" w:rsidRDefault="00D132BF" w:rsidP="00D132BF">
            <w:pPr>
              <w:jc w:val="center"/>
            </w:pPr>
            <w:r w:rsidRPr="00F75352">
              <w:t>4,04</w:t>
            </w:r>
          </w:p>
        </w:tc>
        <w:tc>
          <w:tcPr>
            <w:tcW w:w="1559" w:type="dxa"/>
          </w:tcPr>
          <w:p w14:paraId="523372A1" w14:textId="6A310415" w:rsidR="00D132BF" w:rsidRPr="005429EA" w:rsidRDefault="00D132BF" w:rsidP="00D132BF">
            <w:pPr>
              <w:jc w:val="center"/>
            </w:pPr>
            <w:r w:rsidRPr="00F75352">
              <w:t>4,25</w:t>
            </w:r>
          </w:p>
        </w:tc>
      </w:tr>
    </w:tbl>
    <w:p w14:paraId="260BB9CA" w14:textId="2AE33C52" w:rsidR="00D132BF" w:rsidRDefault="00D132BF" w:rsidP="00D132BF">
      <w:pPr>
        <w:pStyle w:val="Paragraph"/>
        <w:ind w:firstLine="0"/>
        <w:rPr>
          <w:sz w:val="22"/>
          <w:szCs w:val="22"/>
        </w:rPr>
      </w:pPr>
    </w:p>
    <w:p w14:paraId="01196081" w14:textId="3368D0FB" w:rsidR="00D132BF" w:rsidRPr="00D132BF" w:rsidRDefault="00D132BF" w:rsidP="00D132BF">
      <w:pPr>
        <w:spacing w:line="276" w:lineRule="auto"/>
        <w:ind w:firstLine="567"/>
        <w:jc w:val="both"/>
        <w:rPr>
          <w:sz w:val="20"/>
        </w:rPr>
      </w:pPr>
      <w:r w:rsidRPr="00D132BF">
        <w:rPr>
          <w:sz w:val="20"/>
        </w:rPr>
        <w:t xml:space="preserve">Although most of the evaluation indicators for the lecturer's learning process are very good, it turns out that Gamage's research results </w:t>
      </w:r>
      <w:r w:rsidR="009A3EEB">
        <w:rPr>
          <w:sz w:val="20"/>
        </w:rPr>
        <w:fldChar w:fldCharType="begin" w:fldLock="1"/>
      </w:r>
      <w:r w:rsidR="00B466E2">
        <w:rPr>
          <w:sz w:val="20"/>
        </w:rPr>
        <w:instrText>ADDIN CSL_CITATION {"citationItems":[{"id":"ITEM-1","itemData":{"ISBN":"9789868473584","abstract":"Massive Open Online Courses (MOOCs) are trending education technology, delivering learning experience to worldwide students. Although some state that it has sound pedagogy, others are skeptical of its effectiveness and whether it assists to provide 21st century skills. Drop outs of the MOOCs keep remaining at higher percentages while the problems of isolated learning, less interactivity and less collaborative MOOC models are lasting. Using survey methods, this doctoral research preliminarily explored whether MOOCs provide 21 st century skills, and also identified what factors affects the effectiveness of MOOCs. Then we built an effectiveness framework for MOOCs where we can identify design interventions and evaluate improvements. MOOCs form a new phenomenon which needs more experiments and understanding to provide best learning models for the lifelong learning community. Therefore, as next steps, we further sought exploring learning interventions to improve the effectiveness of MOOCs using the dimensions we found in the framework. In the preliminary stage we used Grounded Theory (GT) methodology in discovering the factors affecting the effectiveness of MOOCs. In next steps, this research needs practical understanding, design and application of learning theories in a new learning environment. We intend to incorporate Design Based Research (DBR) methodology and Human Computer Interaction (HCI) methodologies. Our intention is to discover a novel pedagogical design which will enhance the learning experience in MOOCs, thus implement and evaluate a prototype of a learning intervention where MOOC platforms can be utilized to increase the effectiveness.","author":[{"dropping-particle":"","family":"Gamage","given":"Dilrukshi","non-dropping-particle":"","parse-names":false,"suffix":""},{"dropping-particle":"","family":"Perera","given":"Indika","non-dropping-particle":"","parse-names":false,"suffix":""},{"dropping-particle":"","family":"Fernando","given":"Shantha","non-dropping-particle":"","parse-names":false,"suffix":""}],"container-title":"ICCE 2016 - 24th International Conference on Computers in Education: Think Global Act Local - Doctoral Student Consortia Proceedings","id":"ITEM-1","issued":{"date-parts":[["2016"]]},"page":"5-8","title":"Improving effectiveness of MOOCs","type":"article-journal"},"uris":["http://www.mendeley.com/documents/?uuid=033320b3-de26-4713-937b-7318e0adfb92"]}],"mendeley":{"formattedCitation":"&lt;sup&gt;15&lt;/sup&gt;","plainTextFormattedCitation":"15","previouslyFormattedCitation":"(Gamage et al., 2016)"},"properties":{"noteIndex":0},"schema":"https://github.com/citation-style-language/schema/raw/master/csl-citation.json"}</w:instrText>
      </w:r>
      <w:r w:rsidR="009A3EEB">
        <w:rPr>
          <w:sz w:val="20"/>
        </w:rPr>
        <w:fldChar w:fldCharType="separate"/>
      </w:r>
      <w:r w:rsidR="00B466E2" w:rsidRPr="00B466E2">
        <w:rPr>
          <w:noProof/>
          <w:sz w:val="20"/>
          <w:vertAlign w:val="superscript"/>
        </w:rPr>
        <w:t>15</w:t>
      </w:r>
      <w:r w:rsidR="009A3EEB">
        <w:rPr>
          <w:sz w:val="20"/>
        </w:rPr>
        <w:fldChar w:fldCharType="end"/>
      </w:r>
      <w:r w:rsidRPr="00D132BF">
        <w:rPr>
          <w:sz w:val="20"/>
        </w:rPr>
        <w:t xml:space="preserve"> show that online learning still faces many challenges such as very low completion rates, students complain of being isolated, low motivation to learn so they are lazy. to work on</w:t>
      </w:r>
      <w:r w:rsidRPr="00D132BF">
        <w:rPr>
          <w:sz w:val="20"/>
        </w:rPr>
        <w:t xml:space="preserve"> </w:t>
      </w:r>
      <w:r w:rsidRPr="00D132BF">
        <w:rPr>
          <w:sz w:val="20"/>
        </w:rPr>
        <w:t xml:space="preserve">assignments or lecture materials that are of low quality. The nature of self-awareness which is high shows the responsibility of student learning. Duval stated that the attribution of success and failure is moderated by self-awareness and the ability to improve it, when self-focus is high, success is associated with internal factors because of his ability while failure is accepted as a result of his inability. After experiencing failure, people who experience high self-focus are willing to improve their abilities. When self-focus is low, failure is always associated with external factors that do not take sides with him or blame others for the cause of his failure </w:t>
      </w:r>
      <w:r w:rsidRPr="00D132BF">
        <w:rPr>
          <w:sz w:val="20"/>
        </w:rPr>
        <w:fldChar w:fldCharType="begin" w:fldLock="1"/>
      </w:r>
      <w:r w:rsidR="00B466E2">
        <w:rPr>
          <w:sz w:val="20"/>
        </w:rPr>
        <w:instrText>ADDIN CSL_CITATION {"citationItems":[{"id":"ITEM-1","itemData":{"DOI":"10.1037/0022-3514.82.1.49","ISBN":"0022-3514","ISSN":"00223514","PMID":"11811633","abstract":"Evidence for the self-serving bias (attributing success internally and failure externally) is inconsistent. Although internal success attributions are consistently found, researchers find both internal and external attributions for failure. The authors explain these disparate effects by considering the intersection of 2 systems, a system comparing self against standards and a causal attribution system. It was predicted that success and failure attributions are moderated by self-awareness and by the ability to improve. When self-focus is high (a) success is attributed internally, (b) failure is attributed internally when people can improve, (c) failure is attributed externally when people cannot improve, and (d) these attributions affect state self-esteem. Implications for the self-serving bias are discussed.","author":[{"dropping-particle":"","family":"Duval","given":"Thomas Shelley","non-dropping-particle":"","parse-names":false,"suffix":""},{"dropping-particle":"","family":"Silvia","given":"Paul J.","non-dropping-particle":"","parse-names":false,"suffix":""}],"container-title":"Journal of Personality and Social Psychology","id":"ITEM-1","issue":"1","issued":{"date-parts":[["2002"]]},"page":"49-61","title":"Self-awareness, probability of improvement, and the self-serving bias","type":"article-journal","volume":"82"},"uris":["http://www.mendeley.com/documents/?uuid=70da7be6-635c-4125-b566-08365e338a1e"]}],"mendeley":{"formattedCitation":"&lt;sup&gt;16&lt;/sup&gt;","plainTextFormattedCitation":"16","previouslyFormattedCitation":"(Duval &amp; Silvia, 2002)"},"properties":{"noteIndex":0},"schema":"https://github.com/citation-style-language/schema/raw/master/csl-citation.json"}</w:instrText>
      </w:r>
      <w:r w:rsidRPr="00D132BF">
        <w:rPr>
          <w:sz w:val="20"/>
        </w:rPr>
        <w:fldChar w:fldCharType="separate"/>
      </w:r>
      <w:r w:rsidR="00B466E2" w:rsidRPr="00B466E2">
        <w:rPr>
          <w:noProof/>
          <w:sz w:val="20"/>
          <w:vertAlign w:val="superscript"/>
        </w:rPr>
        <w:t>16</w:t>
      </w:r>
      <w:r w:rsidRPr="00D132BF">
        <w:rPr>
          <w:sz w:val="20"/>
        </w:rPr>
        <w:fldChar w:fldCharType="end"/>
      </w:r>
      <w:r w:rsidRPr="00D132BF">
        <w:rPr>
          <w:sz w:val="20"/>
        </w:rPr>
        <w:t>. Based on this explanation, S1 lecturers can further improve interaction and feedback to students and provide guidance to students who have difficulty following the online learning process.</w:t>
      </w:r>
    </w:p>
    <w:p w14:paraId="4597E471" w14:textId="77777777" w:rsidR="00D132BF" w:rsidRPr="00D132BF" w:rsidRDefault="00D132BF" w:rsidP="00D132BF">
      <w:pPr>
        <w:spacing w:line="276" w:lineRule="auto"/>
        <w:ind w:firstLine="567"/>
        <w:jc w:val="both"/>
        <w:rPr>
          <w:sz w:val="20"/>
        </w:rPr>
      </w:pPr>
      <w:r w:rsidRPr="00D132BF">
        <w:rPr>
          <w:sz w:val="20"/>
        </w:rPr>
        <w:t xml:space="preserve">The last component of online learning is evaluation. The evaluation of learning outcomes. to determine the achievement of learning objectives. The quality of online learning evaluations that have been carried out by lecturers is listed in Table 6. The data shows the evaluation scores that need attention from lecturers due to less than 4. The evaluation process must be transparent and accountable so that lecturers should: (1) give tasks that are challenging, but realistic and easy to do; (2) respond and provide technical assistance of complaints about problems using the LMS (Be-smart); (3) providing online and face-to-face counseling services; (4) student learning progress information is easily accessible to students. </w:t>
      </w:r>
    </w:p>
    <w:p w14:paraId="6F23AA00" w14:textId="7A1491CF" w:rsidR="00D132BF" w:rsidRPr="00D132BF" w:rsidRDefault="00D132BF" w:rsidP="00D132BF">
      <w:pPr>
        <w:spacing w:line="276" w:lineRule="auto"/>
        <w:ind w:firstLine="567"/>
        <w:jc w:val="both"/>
        <w:rPr>
          <w:sz w:val="20"/>
        </w:rPr>
      </w:pPr>
      <w:proofErr w:type="spellStart"/>
      <w:r w:rsidRPr="00D132BF">
        <w:rPr>
          <w:sz w:val="20"/>
        </w:rPr>
        <w:lastRenderedPageBreak/>
        <w:t>Endang</w:t>
      </w:r>
      <w:proofErr w:type="spellEnd"/>
      <w:r w:rsidRPr="00D132BF">
        <w:rPr>
          <w:sz w:val="20"/>
        </w:rPr>
        <w:t xml:space="preserve"> </w:t>
      </w:r>
      <w:proofErr w:type="spellStart"/>
      <w:r w:rsidRPr="00D132BF">
        <w:rPr>
          <w:sz w:val="20"/>
        </w:rPr>
        <w:t>Mulyatiningsih</w:t>
      </w:r>
      <w:proofErr w:type="spellEnd"/>
      <w:r w:rsidRPr="00D132BF">
        <w:rPr>
          <w:sz w:val="20"/>
        </w:rPr>
        <w:t xml:space="preserve"> </w:t>
      </w:r>
      <w:r w:rsidRPr="00D132BF">
        <w:rPr>
          <w:sz w:val="20"/>
        </w:rPr>
        <w:fldChar w:fldCharType="begin" w:fldLock="1"/>
      </w:r>
      <w:r w:rsidR="00B466E2">
        <w:rPr>
          <w:sz w:val="20"/>
        </w:rPr>
        <w:instrText>ADDIN CSL_CITATION {"citationItems":[{"id":"ITEM-1","itemData":{"author":[{"dropping-particle":"","family":"Mulyatiningsih","given":"Endang","non-dropping-particle":"","parse-names":false,"suffix":""}],"container-title":"Naskah Pidato Pengukuhan GB","id":"ITEM-1","issued":{"date-parts":[["2020"]]},"title":"EVALUASI PEMBELAJARAN DALAM JARINGAN PADA MASA PANDEMI VIRUS CORONA 2019","type":"article-journal"},"uris":["http://www.mendeley.com/documents/?uuid=9dde23ac-71c7-4ca6-9cfd-12996c0fc6c2"]}],"mendeley":{"formattedCitation":"&lt;sup&gt;8&lt;/sup&gt;","plainTextFormattedCitation":"8","previouslyFormattedCitation":"(Mulyatiningsih, 2020)"},"properties":{"noteIndex":0},"schema":"https://github.com/citation-style-language/schema/raw/master/csl-citation.json"}</w:instrText>
      </w:r>
      <w:r w:rsidRPr="00D132BF">
        <w:rPr>
          <w:sz w:val="20"/>
        </w:rPr>
        <w:fldChar w:fldCharType="separate"/>
      </w:r>
      <w:r w:rsidR="00B466E2" w:rsidRPr="00B466E2">
        <w:rPr>
          <w:noProof/>
          <w:sz w:val="20"/>
          <w:vertAlign w:val="superscript"/>
        </w:rPr>
        <w:t>8</w:t>
      </w:r>
      <w:r w:rsidRPr="00D132BF">
        <w:rPr>
          <w:sz w:val="20"/>
        </w:rPr>
        <w:fldChar w:fldCharType="end"/>
      </w:r>
      <w:r w:rsidRPr="00D132BF">
        <w:rPr>
          <w:sz w:val="20"/>
        </w:rPr>
        <w:t xml:space="preserve"> collected several good online learning evaluation results, including: (1) the objective test items should be randomized (shuffle), (2) individual assignments should be in the form of projects that require students to think creatively, give assignments with correct answers. equally bad because it triggers students to cheat on their friends' work, (3) the evaluation of learning should be combined with a randomized, good quality objective test so that it can measure students' actual abilities.</w:t>
      </w:r>
    </w:p>
    <w:p w14:paraId="463DBD55" w14:textId="053DD477" w:rsidR="00D132BF" w:rsidRPr="00D132BF" w:rsidRDefault="00D132BF" w:rsidP="00D132BF">
      <w:pPr>
        <w:spacing w:line="276" w:lineRule="auto"/>
        <w:ind w:firstLine="567"/>
        <w:jc w:val="both"/>
        <w:rPr>
          <w:sz w:val="20"/>
        </w:rPr>
      </w:pPr>
      <w:r w:rsidRPr="00D132BF">
        <w:rPr>
          <w:sz w:val="20"/>
        </w:rPr>
        <w:t xml:space="preserve">Online learning is recommended to have several support services that support students' successful learning, namely: (1) academic information services, academic administration, and ICT technical assistance can be obtained anywhere, anytime; (2) students have distance learning and independent learning skills (study &amp; technical skills); (3) available online and face-to-face counseling services; (4) have access to various learning resources in various forms of libraries; (5) students can obtain information about the progress and success of their studies; (6) distance learning provides assistance for students with special abilities (diffable); (7) there is a place for student complaints </w:t>
      </w:r>
      <w:r w:rsidRPr="00D132BF">
        <w:rPr>
          <w:sz w:val="20"/>
        </w:rPr>
        <w:fldChar w:fldCharType="begin" w:fldLock="1"/>
      </w:r>
      <w:r w:rsidR="00B466E2">
        <w:rPr>
          <w:sz w:val="20"/>
        </w:rPr>
        <w:instrText>ADDIN CSL_CITATION {"citationItems":[{"id":"ITEM-1","itemData":{"author":[{"dropping-particle":"","family":"DIKTI","given":"","non-dropping-particle":"","parse-names":false,"suffix":""},{"dropping-particle":"","family":"Pembelajaran","given":"Direktorat","non-dropping-particle":"","parse-names":false,"suffix":""}],"id":"ITEM-1","issued":{"date-parts":[["2016"]]},"publisher":"Direktorat Pembelajaran, Dikti","title":"Panduan Penjaminan Mutu Proses Pembelajaran Daring P D I T T 2016","type":"book"},"uris":["http://www.mendeley.com/documents/?uuid=9b82b675-2a03-47c1-9e7c-99d1608ad440"]}],"mendeley":{"formattedCitation":"&lt;sup&gt;3&lt;/sup&gt;","plainTextFormattedCitation":"3","previouslyFormattedCitation":"(DIKTI &amp; Pembelajaran, 2016)"},"properties":{"noteIndex":0},"schema":"https://github.com/citation-style-language/schema/raw/master/csl-citation.json"}</w:instrText>
      </w:r>
      <w:r w:rsidRPr="00D132BF">
        <w:rPr>
          <w:sz w:val="20"/>
        </w:rPr>
        <w:fldChar w:fldCharType="separate"/>
      </w:r>
      <w:r w:rsidR="00B466E2" w:rsidRPr="00B466E2">
        <w:rPr>
          <w:noProof/>
          <w:sz w:val="20"/>
          <w:vertAlign w:val="superscript"/>
        </w:rPr>
        <w:t>3</w:t>
      </w:r>
      <w:r w:rsidRPr="00D132BF">
        <w:rPr>
          <w:sz w:val="20"/>
        </w:rPr>
        <w:fldChar w:fldCharType="end"/>
      </w:r>
      <w:r w:rsidRPr="00D132BF">
        <w:rPr>
          <w:sz w:val="20"/>
        </w:rPr>
        <w:t>.</w:t>
      </w:r>
    </w:p>
    <w:p w14:paraId="6A8DE9A2" w14:textId="711B436C" w:rsidR="00D132BF" w:rsidRDefault="00D132BF" w:rsidP="00D132BF">
      <w:pPr>
        <w:pStyle w:val="Paragraph"/>
      </w:pPr>
      <w:r w:rsidRPr="00D132BF">
        <w:t>Based on the explanation above, S1 lecturers need to provide variations in the form of tests for students, pay more attention to students who need assistance, can provide face-to-face assistance services, and provide more accessible information to students.</w:t>
      </w:r>
    </w:p>
    <w:p w14:paraId="3DF66F36" w14:textId="2332A6D3" w:rsidR="00D132BF" w:rsidRDefault="00D132BF" w:rsidP="00D132BF">
      <w:pPr>
        <w:pStyle w:val="Paragraph"/>
        <w:ind w:firstLine="0"/>
      </w:pPr>
    </w:p>
    <w:tbl>
      <w:tblPr>
        <w:tblW w:w="8789" w:type="dxa"/>
        <w:jc w:val="center"/>
        <w:tblBorders>
          <w:bottom w:val="single" w:sz="4" w:space="0" w:color="auto"/>
        </w:tblBorders>
        <w:tblLayout w:type="fixed"/>
        <w:tblLook w:val="0000" w:firstRow="0" w:lastRow="0" w:firstColumn="0" w:lastColumn="0" w:noHBand="0" w:noVBand="0"/>
      </w:tblPr>
      <w:tblGrid>
        <w:gridCol w:w="5812"/>
        <w:gridCol w:w="1418"/>
        <w:gridCol w:w="1559"/>
      </w:tblGrid>
      <w:tr w:rsidR="00D132BF" w:rsidRPr="00075EA6" w14:paraId="011DC25A" w14:textId="77777777" w:rsidTr="00EB4561">
        <w:trPr>
          <w:cantSplit/>
          <w:trHeight w:val="429"/>
          <w:jc w:val="center"/>
        </w:trPr>
        <w:tc>
          <w:tcPr>
            <w:tcW w:w="8789" w:type="dxa"/>
            <w:gridSpan w:val="3"/>
            <w:tcBorders>
              <w:bottom w:val="nil"/>
            </w:tcBorders>
          </w:tcPr>
          <w:p w14:paraId="11A4FA29" w14:textId="1FE4688D" w:rsidR="00D132BF" w:rsidRPr="00075EA6" w:rsidRDefault="00D132BF" w:rsidP="00EB4561">
            <w:pPr>
              <w:pStyle w:val="Paragraph"/>
              <w:spacing w:line="360" w:lineRule="auto"/>
              <w:ind w:firstLine="0"/>
              <w:jc w:val="center"/>
            </w:pPr>
            <w:r w:rsidRPr="00075EA6">
              <w:rPr>
                <w:b/>
              </w:rPr>
              <w:t xml:space="preserve">TABLE </w:t>
            </w:r>
            <w:r>
              <w:rPr>
                <w:b/>
              </w:rPr>
              <w:t>6</w:t>
            </w:r>
            <w:r w:rsidRPr="00075EA6">
              <w:rPr>
                <w:b/>
              </w:rPr>
              <w:t>.</w:t>
            </w:r>
            <w:r w:rsidRPr="007E36EC">
              <w:rPr>
                <w:i/>
                <w:iCs/>
              </w:rPr>
              <w:t xml:space="preserve"> </w:t>
            </w:r>
            <w:r w:rsidRPr="00D132BF">
              <w:rPr>
                <w:i/>
                <w:iCs/>
              </w:rPr>
              <w:t>Evaluation Result of Evaluation Quality</w:t>
            </w:r>
          </w:p>
        </w:tc>
      </w:tr>
      <w:tr w:rsidR="00D132BF" w:rsidRPr="00075EA6" w14:paraId="2743615E" w14:textId="77777777" w:rsidTr="00EB4561">
        <w:trPr>
          <w:cantSplit/>
          <w:trHeight w:val="272"/>
          <w:jc w:val="center"/>
        </w:trPr>
        <w:tc>
          <w:tcPr>
            <w:tcW w:w="5812" w:type="dxa"/>
            <w:tcBorders>
              <w:top w:val="single" w:sz="4" w:space="0" w:color="auto"/>
              <w:bottom w:val="single" w:sz="4" w:space="0" w:color="auto"/>
            </w:tcBorders>
          </w:tcPr>
          <w:p w14:paraId="6DB5A6CC" w14:textId="77777777" w:rsidR="00D132BF" w:rsidRPr="00075EA6" w:rsidRDefault="00D132BF" w:rsidP="00EB4561">
            <w:pPr>
              <w:jc w:val="center"/>
            </w:pPr>
            <w:r w:rsidRPr="008E1E5C">
              <w:t>Indicator</w:t>
            </w:r>
          </w:p>
        </w:tc>
        <w:tc>
          <w:tcPr>
            <w:tcW w:w="1418" w:type="dxa"/>
            <w:tcBorders>
              <w:top w:val="single" w:sz="4" w:space="0" w:color="auto"/>
              <w:bottom w:val="single" w:sz="4" w:space="0" w:color="auto"/>
            </w:tcBorders>
          </w:tcPr>
          <w:p w14:paraId="6CCCD17A" w14:textId="77777777" w:rsidR="00D132BF" w:rsidRPr="00075EA6" w:rsidRDefault="00D132BF" w:rsidP="00EB4561">
            <w:pPr>
              <w:jc w:val="center"/>
              <w:rPr>
                <w:b/>
                <w:sz w:val="18"/>
                <w:szCs w:val="18"/>
              </w:rPr>
            </w:pPr>
            <w:r w:rsidRPr="008E1E5C">
              <w:t>S1 Courses</w:t>
            </w:r>
          </w:p>
        </w:tc>
        <w:tc>
          <w:tcPr>
            <w:tcW w:w="1559" w:type="dxa"/>
            <w:tcBorders>
              <w:top w:val="single" w:sz="4" w:space="0" w:color="auto"/>
              <w:bottom w:val="single" w:sz="4" w:space="0" w:color="auto"/>
            </w:tcBorders>
          </w:tcPr>
          <w:p w14:paraId="088D13F5" w14:textId="77777777" w:rsidR="00D132BF" w:rsidRPr="00075EA6" w:rsidRDefault="00D132BF" w:rsidP="00EB4561">
            <w:pPr>
              <w:jc w:val="center"/>
              <w:rPr>
                <w:b/>
                <w:sz w:val="18"/>
                <w:szCs w:val="18"/>
              </w:rPr>
            </w:pPr>
            <w:r w:rsidRPr="008E1E5C">
              <w:t>D4 Courses</w:t>
            </w:r>
          </w:p>
        </w:tc>
      </w:tr>
      <w:tr w:rsidR="00F36099" w:rsidRPr="005A0E21" w14:paraId="3624AB58" w14:textId="77777777" w:rsidTr="00EB4561">
        <w:trPr>
          <w:cantSplit/>
          <w:jc w:val="center"/>
        </w:trPr>
        <w:tc>
          <w:tcPr>
            <w:tcW w:w="5812" w:type="dxa"/>
            <w:tcBorders>
              <w:top w:val="nil"/>
            </w:tcBorders>
          </w:tcPr>
          <w:p w14:paraId="5EFB11F0" w14:textId="31252AFA" w:rsidR="00F36099" w:rsidRPr="005A0E21" w:rsidRDefault="00F36099" w:rsidP="00F36099">
            <w:pPr>
              <w:pStyle w:val="Paragraph"/>
              <w:ind w:left="319" w:hanging="284"/>
              <w:jc w:val="left"/>
            </w:pPr>
            <w:r w:rsidRPr="005A1639">
              <w:t>Project assignments based on higher order thinking</w:t>
            </w:r>
          </w:p>
        </w:tc>
        <w:tc>
          <w:tcPr>
            <w:tcW w:w="1418" w:type="dxa"/>
            <w:tcBorders>
              <w:top w:val="nil"/>
            </w:tcBorders>
          </w:tcPr>
          <w:p w14:paraId="60EC0644" w14:textId="79EE89D1" w:rsidR="00F36099" w:rsidRPr="005A0E21" w:rsidRDefault="00F36099" w:rsidP="00F36099">
            <w:pPr>
              <w:jc w:val="center"/>
              <w:rPr>
                <w:sz w:val="20"/>
              </w:rPr>
            </w:pPr>
            <w:r w:rsidRPr="005A1639">
              <w:t>4,16</w:t>
            </w:r>
          </w:p>
        </w:tc>
        <w:tc>
          <w:tcPr>
            <w:tcW w:w="1559" w:type="dxa"/>
            <w:tcBorders>
              <w:top w:val="nil"/>
            </w:tcBorders>
          </w:tcPr>
          <w:p w14:paraId="59B955FD" w14:textId="4F29FE54" w:rsidR="00F36099" w:rsidRPr="005A0E21" w:rsidRDefault="00F36099" w:rsidP="00F36099">
            <w:pPr>
              <w:jc w:val="center"/>
              <w:rPr>
                <w:sz w:val="20"/>
              </w:rPr>
            </w:pPr>
            <w:r w:rsidRPr="005A1639">
              <w:t>4,06</w:t>
            </w:r>
          </w:p>
        </w:tc>
      </w:tr>
      <w:tr w:rsidR="00F36099" w:rsidRPr="005A0E21" w14:paraId="51D217EB" w14:textId="77777777" w:rsidTr="00EB4561">
        <w:trPr>
          <w:cantSplit/>
          <w:jc w:val="center"/>
        </w:trPr>
        <w:tc>
          <w:tcPr>
            <w:tcW w:w="5812" w:type="dxa"/>
          </w:tcPr>
          <w:p w14:paraId="37CE200B" w14:textId="190EA978" w:rsidR="00F36099" w:rsidRPr="005A0E21" w:rsidRDefault="00F36099" w:rsidP="00F36099">
            <w:pPr>
              <w:pStyle w:val="Paragraph"/>
              <w:ind w:left="319" w:hanging="284"/>
              <w:jc w:val="left"/>
            </w:pPr>
            <w:r w:rsidRPr="005A1639">
              <w:t>Available deadline of collection task</w:t>
            </w:r>
          </w:p>
        </w:tc>
        <w:tc>
          <w:tcPr>
            <w:tcW w:w="1418" w:type="dxa"/>
          </w:tcPr>
          <w:p w14:paraId="79B00E00" w14:textId="628828F9" w:rsidR="00F36099" w:rsidRPr="005A0E21" w:rsidRDefault="00F36099" w:rsidP="00F36099">
            <w:pPr>
              <w:jc w:val="center"/>
              <w:rPr>
                <w:sz w:val="20"/>
              </w:rPr>
            </w:pPr>
            <w:r w:rsidRPr="005A1639">
              <w:t>4,23</w:t>
            </w:r>
          </w:p>
        </w:tc>
        <w:tc>
          <w:tcPr>
            <w:tcW w:w="1559" w:type="dxa"/>
          </w:tcPr>
          <w:p w14:paraId="72160531" w14:textId="1C98C422" w:rsidR="00F36099" w:rsidRPr="005A0E21" w:rsidRDefault="00F36099" w:rsidP="00F36099">
            <w:pPr>
              <w:jc w:val="center"/>
              <w:rPr>
                <w:sz w:val="20"/>
              </w:rPr>
            </w:pPr>
            <w:r w:rsidRPr="005A1639">
              <w:t>4,53</w:t>
            </w:r>
          </w:p>
        </w:tc>
      </w:tr>
      <w:tr w:rsidR="00F36099" w:rsidRPr="005A0E21" w14:paraId="5013AF96" w14:textId="77777777" w:rsidTr="00EB4561">
        <w:trPr>
          <w:cantSplit/>
          <w:trHeight w:val="237"/>
          <w:jc w:val="center"/>
        </w:trPr>
        <w:tc>
          <w:tcPr>
            <w:tcW w:w="5812" w:type="dxa"/>
          </w:tcPr>
          <w:p w14:paraId="03EC7A9A" w14:textId="2BA90081" w:rsidR="00F36099" w:rsidRPr="005A0E21" w:rsidRDefault="00F36099" w:rsidP="00F36099">
            <w:pPr>
              <w:pStyle w:val="Paragraph"/>
              <w:ind w:left="319" w:hanging="284"/>
              <w:jc w:val="left"/>
            </w:pPr>
            <w:r w:rsidRPr="005A1639">
              <w:t>Tasks that are challenging, but realistic and easy to do</w:t>
            </w:r>
          </w:p>
        </w:tc>
        <w:tc>
          <w:tcPr>
            <w:tcW w:w="1418" w:type="dxa"/>
          </w:tcPr>
          <w:p w14:paraId="22280C76" w14:textId="0D851887" w:rsidR="00F36099" w:rsidRPr="005A0E21" w:rsidRDefault="00F36099" w:rsidP="00F36099">
            <w:pPr>
              <w:jc w:val="center"/>
              <w:rPr>
                <w:sz w:val="20"/>
              </w:rPr>
            </w:pPr>
            <w:r w:rsidRPr="005A1639">
              <w:t>3,91</w:t>
            </w:r>
          </w:p>
        </w:tc>
        <w:tc>
          <w:tcPr>
            <w:tcW w:w="1559" w:type="dxa"/>
          </w:tcPr>
          <w:p w14:paraId="7572CC47" w14:textId="460AA758" w:rsidR="00F36099" w:rsidRPr="005A0E21" w:rsidRDefault="00F36099" w:rsidP="00F36099">
            <w:pPr>
              <w:jc w:val="center"/>
              <w:rPr>
                <w:sz w:val="20"/>
              </w:rPr>
            </w:pPr>
            <w:r w:rsidRPr="005A1639">
              <w:t>4,15</w:t>
            </w:r>
          </w:p>
        </w:tc>
      </w:tr>
      <w:tr w:rsidR="00F36099" w:rsidRPr="005A0E21" w14:paraId="2E7B6913" w14:textId="77777777" w:rsidTr="00EB4561">
        <w:trPr>
          <w:cantSplit/>
          <w:trHeight w:val="237"/>
          <w:jc w:val="center"/>
        </w:trPr>
        <w:tc>
          <w:tcPr>
            <w:tcW w:w="5812" w:type="dxa"/>
          </w:tcPr>
          <w:p w14:paraId="1E43E7A2" w14:textId="21C2AC91" w:rsidR="00F36099" w:rsidRPr="005A0E21" w:rsidRDefault="00F36099" w:rsidP="00F36099">
            <w:pPr>
              <w:pStyle w:val="Paragraph"/>
              <w:ind w:left="319" w:hanging="284"/>
              <w:jc w:val="left"/>
            </w:pPr>
            <w:r w:rsidRPr="005A1639">
              <w:t>Available tools to provide response and technical assistance</w:t>
            </w:r>
          </w:p>
        </w:tc>
        <w:tc>
          <w:tcPr>
            <w:tcW w:w="1418" w:type="dxa"/>
          </w:tcPr>
          <w:p w14:paraId="2E19F909" w14:textId="44630919" w:rsidR="00F36099" w:rsidRPr="005A0E21" w:rsidRDefault="00F36099" w:rsidP="00F36099">
            <w:pPr>
              <w:jc w:val="center"/>
              <w:rPr>
                <w:sz w:val="20"/>
              </w:rPr>
            </w:pPr>
            <w:r w:rsidRPr="005A1639">
              <w:t>3,93</w:t>
            </w:r>
          </w:p>
        </w:tc>
        <w:tc>
          <w:tcPr>
            <w:tcW w:w="1559" w:type="dxa"/>
          </w:tcPr>
          <w:p w14:paraId="3573972D" w14:textId="2660D66E" w:rsidR="00F36099" w:rsidRPr="005A0E21" w:rsidRDefault="00F36099" w:rsidP="00F36099">
            <w:pPr>
              <w:jc w:val="center"/>
              <w:rPr>
                <w:sz w:val="20"/>
              </w:rPr>
            </w:pPr>
            <w:r w:rsidRPr="005A1639">
              <w:t>4,20</w:t>
            </w:r>
          </w:p>
        </w:tc>
      </w:tr>
      <w:tr w:rsidR="00F36099" w:rsidRPr="005A0E21" w14:paraId="3DA41612" w14:textId="77777777" w:rsidTr="00EB4561">
        <w:trPr>
          <w:cantSplit/>
          <w:trHeight w:val="237"/>
          <w:jc w:val="center"/>
        </w:trPr>
        <w:tc>
          <w:tcPr>
            <w:tcW w:w="5812" w:type="dxa"/>
          </w:tcPr>
          <w:p w14:paraId="4F7ABB91" w14:textId="6C0F0556" w:rsidR="00F36099" w:rsidRPr="005A0E21" w:rsidRDefault="00F36099" w:rsidP="00F36099">
            <w:pPr>
              <w:pStyle w:val="Paragraph"/>
              <w:ind w:left="319" w:hanging="284"/>
              <w:jc w:val="left"/>
            </w:pPr>
            <w:r w:rsidRPr="005A1639">
              <w:t xml:space="preserve">Available online and face-to-face counseling services </w:t>
            </w:r>
          </w:p>
        </w:tc>
        <w:tc>
          <w:tcPr>
            <w:tcW w:w="1418" w:type="dxa"/>
          </w:tcPr>
          <w:p w14:paraId="327A9653" w14:textId="174CAA1B" w:rsidR="00F36099" w:rsidRPr="005A0E21" w:rsidRDefault="00F36099" w:rsidP="00F36099">
            <w:pPr>
              <w:jc w:val="center"/>
              <w:rPr>
                <w:sz w:val="20"/>
              </w:rPr>
            </w:pPr>
            <w:r w:rsidRPr="005A1639">
              <w:t>3,76</w:t>
            </w:r>
          </w:p>
        </w:tc>
        <w:tc>
          <w:tcPr>
            <w:tcW w:w="1559" w:type="dxa"/>
          </w:tcPr>
          <w:p w14:paraId="23E5B02B" w14:textId="73269D01" w:rsidR="00F36099" w:rsidRPr="005A0E21" w:rsidRDefault="00F36099" w:rsidP="00F36099">
            <w:pPr>
              <w:jc w:val="center"/>
              <w:rPr>
                <w:sz w:val="20"/>
              </w:rPr>
            </w:pPr>
            <w:r w:rsidRPr="005A1639">
              <w:t>3,88</w:t>
            </w:r>
          </w:p>
        </w:tc>
      </w:tr>
      <w:tr w:rsidR="00F36099" w:rsidRPr="005A0E21" w14:paraId="559186E7" w14:textId="77777777" w:rsidTr="00EB4561">
        <w:trPr>
          <w:cantSplit/>
          <w:trHeight w:val="237"/>
          <w:jc w:val="center"/>
        </w:trPr>
        <w:tc>
          <w:tcPr>
            <w:tcW w:w="5812" w:type="dxa"/>
          </w:tcPr>
          <w:p w14:paraId="5AEF9012" w14:textId="2B622F58" w:rsidR="00F36099" w:rsidRPr="005A0E21" w:rsidRDefault="00F36099" w:rsidP="00F36099">
            <w:pPr>
              <w:pStyle w:val="Paragraph"/>
              <w:ind w:left="319" w:hanging="284"/>
              <w:jc w:val="left"/>
            </w:pPr>
            <w:r w:rsidRPr="005A1639">
              <w:t>Accessible information on student learning progress</w:t>
            </w:r>
          </w:p>
        </w:tc>
        <w:tc>
          <w:tcPr>
            <w:tcW w:w="1418" w:type="dxa"/>
          </w:tcPr>
          <w:p w14:paraId="3376F315" w14:textId="70BEFFBC" w:rsidR="00F36099" w:rsidRPr="005A0E21" w:rsidRDefault="00F36099" w:rsidP="00F36099">
            <w:pPr>
              <w:jc w:val="center"/>
              <w:rPr>
                <w:sz w:val="20"/>
              </w:rPr>
            </w:pPr>
            <w:r w:rsidRPr="005A1639">
              <w:t>3,85</w:t>
            </w:r>
          </w:p>
        </w:tc>
        <w:tc>
          <w:tcPr>
            <w:tcW w:w="1559" w:type="dxa"/>
          </w:tcPr>
          <w:p w14:paraId="75583FB9" w14:textId="6A65B50C" w:rsidR="00F36099" w:rsidRPr="005A0E21" w:rsidRDefault="00F36099" w:rsidP="00F36099">
            <w:pPr>
              <w:jc w:val="center"/>
              <w:rPr>
                <w:sz w:val="20"/>
              </w:rPr>
            </w:pPr>
            <w:r w:rsidRPr="005A1639">
              <w:t>4,06</w:t>
            </w:r>
          </w:p>
        </w:tc>
      </w:tr>
      <w:tr w:rsidR="00F36099" w:rsidRPr="005A0E21" w14:paraId="3D71CC85" w14:textId="77777777" w:rsidTr="00EB4561">
        <w:trPr>
          <w:cantSplit/>
          <w:trHeight w:val="237"/>
          <w:jc w:val="center"/>
        </w:trPr>
        <w:tc>
          <w:tcPr>
            <w:tcW w:w="5812" w:type="dxa"/>
          </w:tcPr>
          <w:p w14:paraId="4AF13EEF" w14:textId="5ADF80F9" w:rsidR="00F36099" w:rsidRPr="005A0E21" w:rsidRDefault="00F36099" w:rsidP="00F36099">
            <w:pPr>
              <w:pStyle w:val="Paragraph"/>
              <w:ind w:left="319" w:hanging="284"/>
              <w:jc w:val="left"/>
            </w:pPr>
            <w:r w:rsidRPr="005A1639">
              <w:t>Opportunity for students to give each other feedback</w:t>
            </w:r>
          </w:p>
        </w:tc>
        <w:tc>
          <w:tcPr>
            <w:tcW w:w="1418" w:type="dxa"/>
          </w:tcPr>
          <w:p w14:paraId="240829B2" w14:textId="4B63B4B6" w:rsidR="00F36099" w:rsidRPr="005A0E21" w:rsidRDefault="00F36099" w:rsidP="00F36099">
            <w:pPr>
              <w:jc w:val="center"/>
              <w:rPr>
                <w:sz w:val="20"/>
              </w:rPr>
            </w:pPr>
            <w:r w:rsidRPr="005A1639">
              <w:t>4,10</w:t>
            </w:r>
          </w:p>
        </w:tc>
        <w:tc>
          <w:tcPr>
            <w:tcW w:w="1559" w:type="dxa"/>
          </w:tcPr>
          <w:p w14:paraId="68346774" w14:textId="4B18854E" w:rsidR="00F36099" w:rsidRPr="005A0E21" w:rsidRDefault="00F36099" w:rsidP="00F36099">
            <w:pPr>
              <w:jc w:val="center"/>
              <w:rPr>
                <w:sz w:val="20"/>
              </w:rPr>
            </w:pPr>
            <w:r w:rsidRPr="005A1639">
              <w:t>4,14</w:t>
            </w:r>
          </w:p>
        </w:tc>
      </w:tr>
      <w:tr w:rsidR="00F36099" w:rsidRPr="005A0E21" w14:paraId="61F21A7B" w14:textId="77777777" w:rsidTr="00EB4561">
        <w:trPr>
          <w:cantSplit/>
          <w:trHeight w:val="237"/>
          <w:jc w:val="center"/>
        </w:trPr>
        <w:tc>
          <w:tcPr>
            <w:tcW w:w="5812" w:type="dxa"/>
          </w:tcPr>
          <w:p w14:paraId="51BFDC10" w14:textId="06BEDD5A" w:rsidR="00F36099" w:rsidRPr="005A0E21" w:rsidRDefault="00F36099" w:rsidP="00F36099">
            <w:pPr>
              <w:pStyle w:val="Paragraph"/>
              <w:ind w:left="319" w:hanging="284"/>
              <w:jc w:val="left"/>
            </w:pPr>
            <w:r w:rsidRPr="005A1639">
              <w:t>The learning process goes according to plan</w:t>
            </w:r>
          </w:p>
        </w:tc>
        <w:tc>
          <w:tcPr>
            <w:tcW w:w="1418" w:type="dxa"/>
          </w:tcPr>
          <w:p w14:paraId="486A322C" w14:textId="633E7B44" w:rsidR="00F36099" w:rsidRPr="005A0E21" w:rsidRDefault="00F36099" w:rsidP="00F36099">
            <w:pPr>
              <w:jc w:val="center"/>
              <w:rPr>
                <w:sz w:val="20"/>
              </w:rPr>
            </w:pPr>
            <w:r w:rsidRPr="005A1639">
              <w:t>4,11</w:t>
            </w:r>
          </w:p>
        </w:tc>
        <w:tc>
          <w:tcPr>
            <w:tcW w:w="1559" w:type="dxa"/>
          </w:tcPr>
          <w:p w14:paraId="2D138C17" w14:textId="6F0BDB08" w:rsidR="00F36099" w:rsidRPr="005A0E21" w:rsidRDefault="00F36099" w:rsidP="00F36099">
            <w:pPr>
              <w:jc w:val="center"/>
              <w:rPr>
                <w:sz w:val="20"/>
              </w:rPr>
            </w:pPr>
            <w:r w:rsidRPr="005A1639">
              <w:t>4,33</w:t>
            </w:r>
          </w:p>
        </w:tc>
      </w:tr>
      <w:tr w:rsidR="00F36099" w:rsidRPr="005A0E21" w14:paraId="177948FF" w14:textId="77777777" w:rsidTr="00EB4561">
        <w:trPr>
          <w:cantSplit/>
          <w:trHeight w:val="237"/>
          <w:jc w:val="center"/>
        </w:trPr>
        <w:tc>
          <w:tcPr>
            <w:tcW w:w="5812" w:type="dxa"/>
          </w:tcPr>
          <w:p w14:paraId="1FEECF81" w14:textId="34DEC15C" w:rsidR="00F36099" w:rsidRPr="005429EA" w:rsidRDefault="00F36099" w:rsidP="00F36099">
            <w:pPr>
              <w:pStyle w:val="Paragraph"/>
              <w:ind w:left="319" w:hanging="284"/>
              <w:jc w:val="left"/>
            </w:pPr>
            <w:r w:rsidRPr="005A1639">
              <w:t>Exams/tasks in accordance with learning objectives and outcomes competencies</w:t>
            </w:r>
          </w:p>
        </w:tc>
        <w:tc>
          <w:tcPr>
            <w:tcW w:w="1418" w:type="dxa"/>
          </w:tcPr>
          <w:p w14:paraId="279B5424" w14:textId="60ACBF36" w:rsidR="00F36099" w:rsidRPr="005429EA" w:rsidRDefault="00F36099" w:rsidP="00F36099">
            <w:pPr>
              <w:jc w:val="center"/>
            </w:pPr>
            <w:r w:rsidRPr="005A1639">
              <w:t>4,16</w:t>
            </w:r>
          </w:p>
        </w:tc>
        <w:tc>
          <w:tcPr>
            <w:tcW w:w="1559" w:type="dxa"/>
          </w:tcPr>
          <w:p w14:paraId="0CF7BF79" w14:textId="5E305DD2" w:rsidR="00F36099" w:rsidRPr="005429EA" w:rsidRDefault="00F36099" w:rsidP="00F36099">
            <w:pPr>
              <w:jc w:val="center"/>
            </w:pPr>
            <w:r w:rsidRPr="005A1639">
              <w:t>4,45</w:t>
            </w:r>
          </w:p>
        </w:tc>
      </w:tr>
      <w:tr w:rsidR="00F36099" w:rsidRPr="005A0E21" w14:paraId="7639F6DD" w14:textId="77777777" w:rsidTr="00EB4561">
        <w:trPr>
          <w:cantSplit/>
          <w:trHeight w:val="237"/>
          <w:jc w:val="center"/>
        </w:trPr>
        <w:tc>
          <w:tcPr>
            <w:tcW w:w="5812" w:type="dxa"/>
          </w:tcPr>
          <w:p w14:paraId="22F20F6B" w14:textId="008C2E04" w:rsidR="00F36099" w:rsidRPr="005429EA" w:rsidRDefault="00F36099" w:rsidP="00F36099">
            <w:pPr>
              <w:pStyle w:val="Paragraph"/>
              <w:ind w:left="319" w:hanging="284"/>
              <w:jc w:val="left"/>
            </w:pPr>
            <w:r w:rsidRPr="005A1639">
              <w:t>Average evaluation of learning evaluation quality</w:t>
            </w:r>
          </w:p>
        </w:tc>
        <w:tc>
          <w:tcPr>
            <w:tcW w:w="1418" w:type="dxa"/>
          </w:tcPr>
          <w:p w14:paraId="3B4638DD" w14:textId="1CCDF213" w:rsidR="00F36099" w:rsidRPr="005429EA" w:rsidRDefault="00F36099" w:rsidP="00F36099">
            <w:pPr>
              <w:jc w:val="center"/>
            </w:pPr>
            <w:r w:rsidRPr="005A1639">
              <w:t>4,02</w:t>
            </w:r>
          </w:p>
        </w:tc>
        <w:tc>
          <w:tcPr>
            <w:tcW w:w="1559" w:type="dxa"/>
          </w:tcPr>
          <w:p w14:paraId="10004A95" w14:textId="23CC733C" w:rsidR="00F36099" w:rsidRPr="005429EA" w:rsidRDefault="00F36099" w:rsidP="00F36099">
            <w:pPr>
              <w:jc w:val="center"/>
            </w:pPr>
            <w:r w:rsidRPr="005A1639">
              <w:t>4,20</w:t>
            </w:r>
          </w:p>
        </w:tc>
      </w:tr>
    </w:tbl>
    <w:p w14:paraId="6936A406" w14:textId="77777777" w:rsidR="00D132BF" w:rsidRDefault="00D132BF" w:rsidP="00D132BF">
      <w:pPr>
        <w:pStyle w:val="Paragraph"/>
        <w:ind w:firstLine="0"/>
      </w:pPr>
    </w:p>
    <w:p w14:paraId="71F37093" w14:textId="50860F84" w:rsidR="00D132BF" w:rsidRDefault="00F36099" w:rsidP="00D132BF">
      <w:pPr>
        <w:pStyle w:val="Paragraph"/>
      </w:pPr>
      <w:r w:rsidRPr="00F36099">
        <w:t>Overall, the results of the study show that the quality of online learning taught by S1 lecturers is lower than that of D4 lecturers as shown in Figure 1</w:t>
      </w:r>
      <w:r w:rsidR="008672ED">
        <w:t xml:space="preserve"> (a)</w:t>
      </w:r>
      <w:r w:rsidRPr="00F36099">
        <w:t xml:space="preserve">. The ability of S1 lecturers to develop online learning is influenced by age. Lecturers in S1 courses are older than D4 lecturers. This is because some S1 lecturers are less skilled at using digital technology in online learning. Rasheed explained that lecturers are incompetent in operating technology for teaching due to the lack of literacy skills in online teaching technology in creating, uploading and sharing quality video content to students. Lecturers still have negative beliefs and perceptions of themselves in using teaching technology </w:t>
      </w:r>
      <w:r w:rsidR="009A3EEB">
        <w:fldChar w:fldCharType="begin" w:fldLock="1"/>
      </w:r>
      <w:r w:rsidR="00B466E2">
        <w:instrText>ADDIN CSL_CITATION {"citationItems":[{"id":"ITEM-1","itemData":{"DOI":"10.1016/j.compedu.2019.103701","ISSN":"03601315","abstract":"Blended learning is widely regarded as an approach that combines the benefits afforded by face-to-face and online learning components. However, this approach of combining online with face-to-face instructional components have raised concerns over the years. Several studies have highlighted the overall challenges of blended learning mode of instruction as a whole, but there has been no clear understanding of the challenges that exist in the online component of blended learning. Thus, a systematic review of literature was conducted with the aim of identifying the challenges in the online component of blended learning from students, teachers and educational institutions perspectives. Self-regulation challenges and challenges in using learning technology are the key challenges that students face. Teachers challenges are mainly on the use of technology for teaching. Challenges in the provision of suitable instructional technology; and effective training support to teachers are the main challenges faced by educational institutions. This review highlights the need for further investigations to address students, teachers and educational institutions challenges in blended learning. In addition, we proposed some recommendations for future research.","author":[{"dropping-particle":"","family":"Rasheed","given":"Rasheed Abubakar","non-dropping-particle":"","parse-names":false,"suffix":""},{"dropping-particle":"","family":"Kamsin","given":"Amirrudin","non-dropping-particle":"","parse-names":false,"suffix":""},{"dropping-particle":"","family":"Abdullah","given":"Nor Aniza","non-dropping-particle":"","parse-names":false,"suffix":""}],"container-title":"Computers and Education","id":"ITEM-1","issue":"September 2019","issued":{"date-parts":[["2020"]]},"page":"103701","publisher":"Elsevier","title":"Challenges in the online component of blended learning: A systematic review","type":"article-journal","volume":"144"},"uris":["http://www.mendeley.com/documents/?uuid=cc320f32-d0e9-4362-b463-3dc9e1277a40"]}],"mendeley":{"formattedCitation":"&lt;sup&gt;17&lt;/sup&gt;","plainTextFormattedCitation":"17","previouslyFormattedCitation":"(Rasheed et al., 2020)"},"properties":{"noteIndex":0},"schema":"https://github.com/citation-style-language/schema/raw/master/csl-citation.json"}</w:instrText>
      </w:r>
      <w:r w:rsidR="009A3EEB">
        <w:fldChar w:fldCharType="separate"/>
      </w:r>
      <w:r w:rsidR="00B466E2" w:rsidRPr="00B466E2">
        <w:rPr>
          <w:noProof/>
          <w:vertAlign w:val="superscript"/>
        </w:rPr>
        <w:t>17</w:t>
      </w:r>
      <w:r w:rsidR="009A3EEB">
        <w:fldChar w:fldCharType="end"/>
      </w:r>
      <w:r w:rsidRPr="00F36099">
        <w:t>.</w:t>
      </w:r>
    </w:p>
    <w:p w14:paraId="2223A917" w14:textId="71877CB0" w:rsidR="00F36099" w:rsidRDefault="008672ED" w:rsidP="008672ED">
      <w:pPr>
        <w:pStyle w:val="Paragraph"/>
      </w:pPr>
      <w:r w:rsidRPr="008672ED">
        <w:t xml:space="preserve">Lopez added that lecturers' understanding of their ability to use ICT independently changed after they received training </w:t>
      </w:r>
      <w:r w:rsidR="009A3EEB">
        <w:fldChar w:fldCharType="begin" w:fldLock="1"/>
      </w:r>
      <w:r w:rsidR="00B466E2">
        <w:instrText>ADDIN CSL_CITATION {"citationItems":[{"id":"ITEM-1","itemData":{"DOI":"10.17718/tojde.598224","ISSN":"1302-6488","abstract":"The purpose of the study was to determine the influence of an instructional strategy for the use of DOKEOS, Course Management System (CMS) on the attitudes of professors toward distance education. The study was carried out in the Faculty of Accounting and Administration of a Mexican Public University. The research design was non-experimental with a group of twenty-five professors who were selected through purposive sampling. A questionnaire, which was an attitude scale toward the use of an administration system of online courses, was administered to participants before and after the implementation of an instructional strategy on the use of DOKEOS. Afterwards, usage statistics was examined between weeks three and six. Data analysis included calculation frequency, median, mode and standard deviation. The significant differences between the median of the pre-tests and post-tests were analysed, and then the t-test was administered. Results showed that the instructional strategy contributed to a more positive attitude of professors toward distance education.","author":[{"dropping-particle":"","family":"Villarruel","given":"Juan Ignacio Barajas","non-dropping-particle":"","parse-names":false,"suffix":""},{"dropping-particle":"","family":"Rivera","given":"Ricardo Noyola","non-dropping-particle":"","parse-names":false,"suffix":""},{"dropping-particle":"","family":"Lima","given":"Maria Gregoria Benitez","non-dropping-particle":"","parse-names":false,"suffix":""}],"container-title":"Turkish Online Journal of Distance Education","id":"ITEM-1","issue":"July","issued":{"date-parts":[["2019"]]},"page":"73-88","title":"Influence of an Instructional Strategy on the Attitudes of University Professors toward Distance Education","type":"article-journal"},"uris":["http://www.mendeley.com/documents/?uuid=b7db0978-5704-4a16-ad9a-ef582b1e8acd"]}],"mendeley":{"formattedCitation":"&lt;sup&gt;18&lt;/sup&gt;","plainTextFormattedCitation":"18","previouslyFormattedCitation":"(Villarruel et al., 2019)"},"properties":{"noteIndex":0},"schema":"https://github.com/citation-style-language/schema/raw/master/csl-citation.json"}</w:instrText>
      </w:r>
      <w:r w:rsidR="009A3EEB">
        <w:fldChar w:fldCharType="separate"/>
      </w:r>
      <w:r w:rsidR="00B466E2" w:rsidRPr="00B466E2">
        <w:rPr>
          <w:noProof/>
          <w:vertAlign w:val="superscript"/>
        </w:rPr>
        <w:t>18</w:t>
      </w:r>
      <w:r w:rsidR="009A3EEB">
        <w:fldChar w:fldCharType="end"/>
      </w:r>
      <w:r w:rsidRPr="008672ED">
        <w:t xml:space="preserve">. Based on these findings, senior lecturers (S1 lecturers) are still able to develop their abilities if there is time and willingness to practice operating digital technology. The data in Figure </w:t>
      </w:r>
      <w:r>
        <w:t>1 (b)</w:t>
      </w:r>
      <w:r w:rsidRPr="008672ED">
        <w:t xml:space="preserve"> shows several learning components that still need to be improved by the S1 lecturers.</w:t>
      </w:r>
    </w:p>
    <w:p w14:paraId="32941279" w14:textId="77777777" w:rsidR="008672ED" w:rsidRDefault="008672ED" w:rsidP="008672ED">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F36099" w14:paraId="3B4E06E0" w14:textId="77777777" w:rsidTr="00EB4561">
        <w:trPr>
          <w:trHeight w:val="2974"/>
        </w:trPr>
        <w:tc>
          <w:tcPr>
            <w:tcW w:w="4788" w:type="dxa"/>
          </w:tcPr>
          <w:p w14:paraId="4D1AA668" w14:textId="56225BCE" w:rsidR="00F36099" w:rsidRDefault="00F36099" w:rsidP="00EB4561">
            <w:pPr>
              <w:pStyle w:val="Paragraph"/>
              <w:ind w:firstLine="0"/>
              <w:jc w:val="center"/>
            </w:pPr>
            <w:r w:rsidRPr="00EF2CAA">
              <w:rPr>
                <w:noProof/>
              </w:rPr>
              <w:lastRenderedPageBreak/>
              <w:drawing>
                <wp:inline distT="0" distB="0" distL="0" distR="0" wp14:anchorId="36F11145" wp14:editId="756506E9">
                  <wp:extent cx="2687877" cy="2388358"/>
                  <wp:effectExtent l="19050" t="19050" r="17780" b="1206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l="-6989" t="-5409" r="-2884" b="-2692"/>
                          <a:stretch>
                            <a:fillRect/>
                          </a:stretch>
                        </pic:blipFill>
                        <pic:spPr bwMode="auto">
                          <a:xfrm>
                            <a:off x="0" y="0"/>
                            <a:ext cx="2720636" cy="2417466"/>
                          </a:xfrm>
                          <a:prstGeom prst="rect">
                            <a:avLst/>
                          </a:prstGeom>
                          <a:noFill/>
                          <a:ln>
                            <a:solidFill>
                              <a:schemeClr val="tx1"/>
                            </a:solidFill>
                          </a:ln>
                        </pic:spPr>
                      </pic:pic>
                    </a:graphicData>
                  </a:graphic>
                </wp:inline>
              </w:drawing>
            </w:r>
          </w:p>
        </w:tc>
        <w:tc>
          <w:tcPr>
            <w:tcW w:w="4788" w:type="dxa"/>
          </w:tcPr>
          <w:p w14:paraId="126EAF76" w14:textId="5EA2D992" w:rsidR="00F36099" w:rsidRDefault="00F36099" w:rsidP="00EB4561">
            <w:pPr>
              <w:pStyle w:val="Paragraph"/>
              <w:ind w:firstLine="0"/>
              <w:jc w:val="center"/>
            </w:pPr>
            <w:r w:rsidRPr="00544450">
              <w:rPr>
                <w:noProof/>
                <w:sz w:val="24"/>
                <w:szCs w:val="24"/>
              </w:rPr>
              <w:drawing>
                <wp:inline distT="0" distB="0" distL="0" distR="0" wp14:anchorId="0F5C5CAE" wp14:editId="7074B0C9">
                  <wp:extent cx="2663190" cy="2347415"/>
                  <wp:effectExtent l="0" t="0" r="3810" b="1524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36099" w14:paraId="41A915C4" w14:textId="77777777" w:rsidTr="00EB4561">
        <w:trPr>
          <w:trHeight w:val="291"/>
        </w:trPr>
        <w:tc>
          <w:tcPr>
            <w:tcW w:w="4788" w:type="dxa"/>
          </w:tcPr>
          <w:p w14:paraId="3B6AA461" w14:textId="77777777" w:rsidR="00F36099" w:rsidRDefault="00F36099" w:rsidP="00EB4561">
            <w:pPr>
              <w:pStyle w:val="Paragraph"/>
              <w:ind w:firstLine="0"/>
              <w:jc w:val="center"/>
            </w:pPr>
            <w:r>
              <w:t>(a)</w:t>
            </w:r>
          </w:p>
        </w:tc>
        <w:tc>
          <w:tcPr>
            <w:tcW w:w="4788" w:type="dxa"/>
          </w:tcPr>
          <w:p w14:paraId="0530F163" w14:textId="77777777" w:rsidR="00F36099" w:rsidRDefault="00F36099" w:rsidP="00EB4561">
            <w:pPr>
              <w:pStyle w:val="Paragraph"/>
              <w:ind w:firstLine="0"/>
              <w:jc w:val="center"/>
            </w:pPr>
            <w:r>
              <w:t>(b)</w:t>
            </w:r>
          </w:p>
        </w:tc>
      </w:tr>
    </w:tbl>
    <w:p w14:paraId="0A0060AE" w14:textId="7A99686F" w:rsidR="00F36099" w:rsidRPr="008672ED" w:rsidRDefault="00F36099" w:rsidP="008672ED">
      <w:pPr>
        <w:pStyle w:val="Paragraph"/>
        <w:jc w:val="center"/>
        <w:rPr>
          <w:i/>
          <w:iCs/>
        </w:rPr>
      </w:pPr>
      <w:r>
        <w:rPr>
          <w:b/>
          <w:caps/>
        </w:rPr>
        <w:t>Figure 1.</w:t>
      </w:r>
      <w:r>
        <w:t xml:space="preserve"> </w:t>
      </w:r>
      <w:r w:rsidR="008672ED" w:rsidRPr="008672ED">
        <w:rPr>
          <w:i/>
          <w:iCs/>
        </w:rPr>
        <w:t>Average Quality of Online Learning</w:t>
      </w:r>
      <w:r w:rsidR="008672ED">
        <w:rPr>
          <w:i/>
          <w:iCs/>
        </w:rPr>
        <w:t xml:space="preserve"> (a), </w:t>
      </w:r>
      <w:r w:rsidR="008672ED" w:rsidRPr="008672ED">
        <w:rPr>
          <w:i/>
          <w:iCs/>
        </w:rPr>
        <w:t>Recapitulation Evaluation of The S1 Lecturers</w:t>
      </w:r>
      <w:r w:rsidR="008672ED">
        <w:rPr>
          <w:i/>
          <w:iCs/>
        </w:rPr>
        <w:t xml:space="preserve"> </w:t>
      </w:r>
      <w:r w:rsidR="008672ED" w:rsidRPr="008672ED">
        <w:rPr>
          <w:i/>
          <w:iCs/>
        </w:rPr>
        <w:t>Learning Quality</w:t>
      </w:r>
      <w:r w:rsidR="008672ED">
        <w:rPr>
          <w:i/>
          <w:iCs/>
        </w:rPr>
        <w:t xml:space="preserve"> (b)</w:t>
      </w:r>
    </w:p>
    <w:p w14:paraId="51578E21" w14:textId="77777777" w:rsidR="00F36099" w:rsidRPr="00D132BF" w:rsidRDefault="00F36099" w:rsidP="00F36099">
      <w:pPr>
        <w:pStyle w:val="Paragraph"/>
        <w:ind w:firstLine="0"/>
      </w:pPr>
    </w:p>
    <w:p w14:paraId="364340AC" w14:textId="4D5AD2F4" w:rsidR="008672ED" w:rsidRDefault="008672ED" w:rsidP="008672ED">
      <w:pPr>
        <w:pStyle w:val="Paragraph"/>
      </w:pPr>
      <w:r>
        <w:t xml:space="preserve">The more detailed data in Figure </w:t>
      </w:r>
      <w:r>
        <w:t>1 (b)</w:t>
      </w:r>
      <w:r>
        <w:t xml:space="preserve"> shows the components of the learning material that still need to be improved by the S1 lecturers. The average value of content/material for all S1 courses is the lowest among other components, so it needs to be updated according to the demands of the current development of learning technology. Curriculum development (MW) and learning media (WR) courses need improvement in all learning components. More specifically, it was found that the learning materials and media made by the lecturers were still less interesting in learning. The data in Figure </w:t>
      </w:r>
      <w:r>
        <w:t>1 (b)</w:t>
      </w:r>
      <w:r>
        <w:t xml:space="preserve"> shows several learning components that still need to be improved by S1 lecturers.</w:t>
      </w:r>
    </w:p>
    <w:p w14:paraId="7B13308A" w14:textId="48F106D0" w:rsidR="008672ED" w:rsidRDefault="008672ED" w:rsidP="008672ED">
      <w:pPr>
        <w:pStyle w:val="Paragraph"/>
      </w:pPr>
      <w:r>
        <w:t xml:space="preserve">Many D4 courses are taught by lecturers who are familiar with digital technology. The data in Figure </w:t>
      </w:r>
      <w:r>
        <w:t>2</w:t>
      </w:r>
      <w:r>
        <w:t xml:space="preserve"> shows that there is only one course in Kitchen Management (SU) that gets the lowest average score compared to other courses because the lecturers are more skilled in teaching face-to-face than online.</w:t>
      </w:r>
    </w:p>
    <w:p w14:paraId="43FE03F2" w14:textId="4CABCDD5" w:rsidR="008672ED" w:rsidRDefault="008672ED" w:rsidP="008672ED">
      <w:pPr>
        <w:pStyle w:val="Paragraph"/>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789"/>
      </w:tblGrid>
      <w:tr w:rsidR="008672ED" w14:paraId="431B9030" w14:textId="77777777" w:rsidTr="00C42473">
        <w:trPr>
          <w:trHeight w:val="2974"/>
        </w:trPr>
        <w:tc>
          <w:tcPr>
            <w:tcW w:w="9360" w:type="dxa"/>
            <w:gridSpan w:val="2"/>
          </w:tcPr>
          <w:p w14:paraId="10C3D052" w14:textId="592E951A" w:rsidR="008672ED" w:rsidRDefault="008672ED" w:rsidP="00EB4561">
            <w:pPr>
              <w:pStyle w:val="Paragraph"/>
              <w:ind w:firstLine="0"/>
              <w:jc w:val="center"/>
            </w:pPr>
            <w:r w:rsidRPr="00C303FF">
              <w:rPr>
                <w:noProof/>
                <w:sz w:val="14"/>
                <w:szCs w:val="14"/>
              </w:rPr>
              <w:drawing>
                <wp:inline distT="0" distB="0" distL="0" distR="0" wp14:anchorId="36119A7F" wp14:editId="268B0C23">
                  <wp:extent cx="5854691" cy="2524760"/>
                  <wp:effectExtent l="0" t="0" r="13335" b="88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672ED" w14:paraId="4BC055D6" w14:textId="77777777" w:rsidTr="008672ED">
        <w:trPr>
          <w:trHeight w:val="291"/>
        </w:trPr>
        <w:tc>
          <w:tcPr>
            <w:tcW w:w="4677" w:type="dxa"/>
          </w:tcPr>
          <w:p w14:paraId="13775656" w14:textId="693BEDC4" w:rsidR="008672ED" w:rsidRDefault="008672ED" w:rsidP="00EB4561">
            <w:pPr>
              <w:pStyle w:val="Paragraph"/>
              <w:ind w:firstLine="0"/>
              <w:jc w:val="center"/>
            </w:pPr>
          </w:p>
        </w:tc>
        <w:tc>
          <w:tcPr>
            <w:tcW w:w="4683" w:type="dxa"/>
          </w:tcPr>
          <w:p w14:paraId="6437CD00" w14:textId="77777777" w:rsidR="008672ED" w:rsidRDefault="008672ED" w:rsidP="00EB4561">
            <w:pPr>
              <w:pStyle w:val="Paragraph"/>
              <w:ind w:firstLine="0"/>
              <w:jc w:val="center"/>
            </w:pPr>
            <w:r>
              <w:t>(b)</w:t>
            </w:r>
          </w:p>
        </w:tc>
      </w:tr>
    </w:tbl>
    <w:p w14:paraId="2CA9CE9B" w14:textId="5ABFBD1E" w:rsidR="008672ED" w:rsidRPr="008672ED" w:rsidRDefault="008672ED" w:rsidP="008672ED">
      <w:pPr>
        <w:pStyle w:val="Paragraph"/>
        <w:jc w:val="center"/>
        <w:rPr>
          <w:i/>
          <w:iCs/>
        </w:rPr>
      </w:pPr>
      <w:r>
        <w:rPr>
          <w:b/>
          <w:caps/>
        </w:rPr>
        <w:t xml:space="preserve">Figure </w:t>
      </w:r>
      <w:r>
        <w:rPr>
          <w:b/>
          <w:caps/>
        </w:rPr>
        <w:t>2</w:t>
      </w:r>
      <w:r>
        <w:rPr>
          <w:b/>
          <w:caps/>
        </w:rPr>
        <w:t>.</w:t>
      </w:r>
      <w:r>
        <w:t xml:space="preserve"> </w:t>
      </w:r>
      <w:r w:rsidRPr="008672ED">
        <w:rPr>
          <w:i/>
          <w:iCs/>
        </w:rPr>
        <w:t>Recapitulation Evaluation of The D4 Lecturers Learning Quality</w:t>
      </w:r>
      <w:r>
        <w:rPr>
          <w:i/>
          <w:iCs/>
        </w:rPr>
        <w:t>)</w:t>
      </w:r>
    </w:p>
    <w:p w14:paraId="62B81FE0" w14:textId="77777777" w:rsidR="008672ED" w:rsidRDefault="008672ED" w:rsidP="008672ED">
      <w:pPr>
        <w:pStyle w:val="Paragraph"/>
        <w:ind w:firstLine="0"/>
      </w:pPr>
    </w:p>
    <w:p w14:paraId="19277A7B" w14:textId="34F32A3C" w:rsidR="008672ED" w:rsidRDefault="008672ED" w:rsidP="008672ED">
      <w:pPr>
        <w:pStyle w:val="Paragraph"/>
      </w:pPr>
      <w:r w:rsidRPr="008672ED">
        <w:t xml:space="preserve">A quality learning process should have consistency between planning and implementation (action). The data shows that some courses have good planning but the implementation is declining so there needs to be an improvement in commitment. In the evaluation component there is feedback from students who have difficulty, they find it difficult </w:t>
      </w:r>
      <w:r w:rsidRPr="008672ED">
        <w:lastRenderedPageBreak/>
        <w:t xml:space="preserve">to get individual guidance because the lecturers are busy. The results of the study that support this finding are that students who get feedback from lecturers with conventional methods can actually show better performance than feedback from lecturers and friends online </w:t>
      </w:r>
      <w:r w:rsidR="009A3EEB">
        <w:fldChar w:fldCharType="begin" w:fldLock="1"/>
      </w:r>
      <w:r w:rsidR="00B466E2">
        <w:instrText>ADDIN CSL_CITATION {"citationItems":[{"id":"ITEM-1","itemData":{"DOI":"10.17718/TOJDE.728157","ISBN":"0000000152105","ISSN":"13026488","abstract":"This study aimed to identify the effectiveness of online teacher with peer feedback provided on students' writing performance. Some experts state that both teacher and students feel that teacher feedback on the students' writing is essential, and it is believed to be the most effective feedback. On the other hand, the practice of peer feedback is supported by the theory of Vigotsky's Zone of Proximal Development which holds that the cognitive development of individuals result from social interaction where individuals can learn from each other. Furthermore, with the development of technology, it is more interesting to integrate information and communication technology ICT in EFL writing classes. Hence, this study investigated the combination of these three aspects-teacher feedback, peer feedback, and Edmodo-and looked at the impact on the students' writing performance. This study was a quasi-experimental, which involved 55 English Department students in a state university in Indonesia. These students were grouped into the experimental group and the control group. The result of this study revealed that the students having the online teacher and peer feedback provided through Edmodo did not perform better in writing than those who experienced teacher feedback in the conventional method.","author":[{"dropping-particle":"","family":"Wihastyanang","given":"Wardani Dwi","non-dropping-particle":"","parse-names":false,"suffix":""},{"dropping-particle":"","family":"Kusumaningrum","given":"Shirly Rizki","non-dropping-particle":"","parse-names":false,"suffix":""},{"dropping-particle":"","family":"Latief","given":"M. Adnan","non-dropping-particle":"","parse-names":false,"suffix":""},{"dropping-particle":"","family":"Cahyono","given":"Bambang Yudi","non-dropping-particle":"","parse-names":false,"suffix":""}],"container-title":"Turkish Online Journal of Distance Education","id":"ITEM-1","issue":"2","issued":{"date-parts":[["2020"]]},"page":"178-189","title":"Impacts of providing online teacher and peer feedback on students' writing performance","type":"article-journal","volume":"21"},"uris":["http://www.mendeley.com/documents/?uuid=5f0d2dd6-bd47-44e7-9db2-29ab2c4d9bec"]}],"mendeley":{"formattedCitation":"&lt;sup&gt;19&lt;/sup&gt;","plainTextFormattedCitation":"19","previouslyFormattedCitation":"(Wihastyanang et al., 2020)"},"properties":{"noteIndex":0},"schema":"https://github.com/citation-style-language/schema/raw/master/csl-citation.json"}</w:instrText>
      </w:r>
      <w:r w:rsidR="009A3EEB">
        <w:fldChar w:fldCharType="separate"/>
      </w:r>
      <w:r w:rsidR="00B466E2" w:rsidRPr="00B466E2">
        <w:rPr>
          <w:noProof/>
          <w:vertAlign w:val="superscript"/>
        </w:rPr>
        <w:t>19</w:t>
      </w:r>
      <w:r w:rsidR="009A3EEB">
        <w:fldChar w:fldCharType="end"/>
      </w:r>
      <w:r w:rsidRPr="008672ED">
        <w:t>.</w:t>
      </w:r>
    </w:p>
    <w:p w14:paraId="01DC3013" w14:textId="01CF67A8" w:rsidR="008672ED" w:rsidRDefault="008672ED" w:rsidP="008672ED">
      <w:pPr>
        <w:pStyle w:val="Paragraph"/>
        <w:ind w:firstLine="0"/>
      </w:pPr>
    </w:p>
    <w:p w14:paraId="18B96C10" w14:textId="575C1DD6" w:rsidR="008672ED" w:rsidRPr="00075EA6" w:rsidRDefault="008672ED" w:rsidP="008672ED">
      <w:pPr>
        <w:pStyle w:val="Heading1"/>
        <w:rPr>
          <w:b w:val="0"/>
          <w:caps w:val="0"/>
          <w:sz w:val="20"/>
        </w:rPr>
      </w:pPr>
      <w:r>
        <w:t>conclution</w:t>
      </w:r>
    </w:p>
    <w:p w14:paraId="0CC85553" w14:textId="639A938B" w:rsidR="008672ED" w:rsidRDefault="002C6052" w:rsidP="002C6052">
      <w:pPr>
        <w:pStyle w:val="Paragraph"/>
      </w:pPr>
      <w:r w:rsidRPr="002C6052">
        <w:t>Based on the results of the evaluation of the quality of online learning during the COVID-19 pandemic, it can be concluded that all indicators are in the very good category. Indicators of the quality of content, media, planning, processes, and also the evaluation of online learning are in the very good category. Even so, there are still some suggestions that aim to further improve the quality of learning. There are several suggestions to improve the quality of learning, especially for undergraduate lecturers, namely improving the quality of interesting learning content and entertainment so that it does not become boring, learning contains new knowledge that stimulates learning enthusiasm, varied external learning resources and can be accessed from the beginning of the semester so that there is material enrichment, lecturers are expected to have a high commitment to realizing the implementation of learning in accordance with the plans that have been submitted at the beginning of the semester, and lecturers are expected to provide online and face-to-face counseling services and provide information on the learning progress that students have achieved.</w:t>
      </w:r>
    </w:p>
    <w:p w14:paraId="303FED15" w14:textId="1F76FACC" w:rsidR="002C6052" w:rsidRDefault="002C6052" w:rsidP="002C6052">
      <w:pPr>
        <w:pStyle w:val="Paragraph"/>
        <w:ind w:firstLine="0"/>
      </w:pPr>
    </w:p>
    <w:p w14:paraId="7C038E63" w14:textId="70B0AFEA" w:rsidR="002C6052" w:rsidRPr="00075EA6" w:rsidRDefault="002C6052" w:rsidP="002C6052">
      <w:pPr>
        <w:pStyle w:val="Heading1"/>
        <w:rPr>
          <w:b w:val="0"/>
          <w:caps w:val="0"/>
          <w:sz w:val="20"/>
        </w:rPr>
      </w:pPr>
      <w:r>
        <w:t>acknowledgement</w:t>
      </w:r>
    </w:p>
    <w:p w14:paraId="3280387B" w14:textId="5A8EFB80" w:rsidR="002C6052" w:rsidRDefault="002C6052" w:rsidP="002C6052">
      <w:pPr>
        <w:pStyle w:val="Paragraph"/>
      </w:pPr>
      <w:r w:rsidRPr="002C6052">
        <w:t>This research was supported by Universitas Negeri Yogyakarta that has provided group research grants fund.</w:t>
      </w:r>
    </w:p>
    <w:p w14:paraId="34F988CC" w14:textId="21D7F108" w:rsidR="00BA3B3D" w:rsidRPr="006D372F" w:rsidRDefault="00BA3B3D" w:rsidP="002C6052">
      <w:pPr>
        <w:pStyle w:val="Paragraph"/>
        <w:ind w:firstLine="0"/>
      </w:pPr>
    </w:p>
    <w:p w14:paraId="16F21B4D" w14:textId="6E662CE8" w:rsidR="00613B4D" w:rsidRDefault="0016385D" w:rsidP="00613B4D">
      <w:pPr>
        <w:pStyle w:val="Heading1"/>
        <w:rPr>
          <w:b w:val="0"/>
          <w:caps w:val="0"/>
          <w:sz w:val="20"/>
        </w:rPr>
      </w:pPr>
      <w:r w:rsidRPr="00075EA6">
        <w:rPr>
          <w:rFonts w:asciiTheme="majorBidi" w:hAnsiTheme="majorBidi" w:cstheme="majorBidi"/>
        </w:rPr>
        <w:t>References</w:t>
      </w:r>
    </w:p>
    <w:p w14:paraId="681B6722" w14:textId="77777777" w:rsidR="0066329F" w:rsidRPr="00075EA6" w:rsidRDefault="0066329F" w:rsidP="00B466E2">
      <w:pPr>
        <w:pStyle w:val="Reference"/>
        <w:numPr>
          <w:ilvl w:val="0"/>
          <w:numId w:val="0"/>
        </w:numPr>
      </w:pPr>
    </w:p>
    <w:p w14:paraId="2C22C69B" w14:textId="1415509B" w:rsidR="00B466E2" w:rsidRPr="00B466E2" w:rsidRDefault="0066329F" w:rsidP="00B466E2">
      <w:pPr>
        <w:widowControl w:val="0"/>
        <w:autoSpaceDE w:val="0"/>
        <w:autoSpaceDN w:val="0"/>
        <w:adjustRightInd w:val="0"/>
        <w:ind w:left="426" w:hanging="426"/>
        <w:rPr>
          <w:noProof/>
          <w:sz w:val="20"/>
          <w:szCs w:val="22"/>
        </w:rPr>
      </w:pPr>
      <w:r>
        <w:rPr>
          <w:noProof/>
          <w:sz w:val="22"/>
          <w:szCs w:val="24"/>
        </w:rPr>
        <w:fldChar w:fldCharType="begin" w:fldLock="1"/>
      </w:r>
      <w:r>
        <w:rPr>
          <w:noProof/>
          <w:sz w:val="22"/>
          <w:szCs w:val="24"/>
        </w:rPr>
        <w:instrText xml:space="preserve">ADDIN Mendeley Bibliography CSL_BIBLIOGRAPHY </w:instrText>
      </w:r>
      <w:r>
        <w:rPr>
          <w:noProof/>
          <w:sz w:val="22"/>
          <w:szCs w:val="24"/>
        </w:rPr>
        <w:fldChar w:fldCharType="separate"/>
      </w:r>
      <w:r w:rsidR="00B466E2" w:rsidRPr="00B466E2">
        <w:rPr>
          <w:noProof/>
          <w:sz w:val="20"/>
          <w:szCs w:val="22"/>
        </w:rPr>
        <w:t xml:space="preserve">1. </w:t>
      </w:r>
      <w:r w:rsidR="00B466E2" w:rsidRPr="00B466E2">
        <w:rPr>
          <w:noProof/>
          <w:sz w:val="20"/>
          <w:szCs w:val="22"/>
        </w:rPr>
        <w:tab/>
        <w:t xml:space="preserve">Pradnyana GA, Pradnyana IMA. Implementasi Responsive E-learning Berbasis MOODLE Untuk Menunjang Kegiatan Pembelajaran di STMIK STIKOM Indonesia. </w:t>
      </w:r>
      <w:r w:rsidR="00B466E2" w:rsidRPr="00B466E2">
        <w:rPr>
          <w:i/>
          <w:iCs/>
          <w:noProof/>
          <w:sz w:val="20"/>
          <w:szCs w:val="22"/>
        </w:rPr>
        <w:t>J Ilmu Komput dan Sains Terap</w:t>
      </w:r>
      <w:r w:rsidR="00B466E2" w:rsidRPr="00B466E2">
        <w:rPr>
          <w:noProof/>
          <w:sz w:val="20"/>
          <w:szCs w:val="22"/>
        </w:rPr>
        <w:t>. 2015;5(2):127-135. doi:10.31598/sacies.v5i2.73</w:t>
      </w:r>
    </w:p>
    <w:p w14:paraId="4D29E7B3"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2. </w:t>
      </w:r>
      <w:r w:rsidRPr="00B466E2">
        <w:rPr>
          <w:noProof/>
          <w:sz w:val="20"/>
          <w:szCs w:val="22"/>
        </w:rPr>
        <w:tab/>
        <w:t xml:space="preserve">Albelbisi NA, Yusop FD. Factors Influencing Learners’ Self –Regulated Learning Skills in a Massive Open Online Course (MOOC) Environment. </w:t>
      </w:r>
      <w:r w:rsidRPr="00B466E2">
        <w:rPr>
          <w:i/>
          <w:iCs/>
          <w:noProof/>
          <w:sz w:val="20"/>
          <w:szCs w:val="22"/>
        </w:rPr>
        <w:t>Turkish Online J Distance Educ</w:t>
      </w:r>
      <w:r w:rsidRPr="00B466E2">
        <w:rPr>
          <w:noProof/>
          <w:sz w:val="20"/>
          <w:szCs w:val="22"/>
        </w:rPr>
        <w:t>. 2019;(July):1-16. doi:10.17718/tojde.598191</w:t>
      </w:r>
    </w:p>
    <w:p w14:paraId="5BAA8B21"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3. </w:t>
      </w:r>
      <w:r w:rsidRPr="00B466E2">
        <w:rPr>
          <w:noProof/>
          <w:sz w:val="20"/>
          <w:szCs w:val="22"/>
        </w:rPr>
        <w:tab/>
        <w:t xml:space="preserve">DIKTI, Pembelajaran D. </w:t>
      </w:r>
      <w:r w:rsidRPr="00B466E2">
        <w:rPr>
          <w:i/>
          <w:iCs/>
          <w:noProof/>
          <w:sz w:val="20"/>
          <w:szCs w:val="22"/>
        </w:rPr>
        <w:t>Panduan Penjaminan Mutu Proses Pembelajaran Daring P D I T T 2016</w:t>
      </w:r>
      <w:r w:rsidRPr="00B466E2">
        <w:rPr>
          <w:noProof/>
          <w:sz w:val="20"/>
          <w:szCs w:val="22"/>
        </w:rPr>
        <w:t>. Direktorat Pembelajaran, Dikti; 2016.</w:t>
      </w:r>
    </w:p>
    <w:p w14:paraId="38A8474E"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4. </w:t>
      </w:r>
      <w:r w:rsidRPr="00B466E2">
        <w:rPr>
          <w:noProof/>
          <w:sz w:val="20"/>
          <w:szCs w:val="22"/>
        </w:rPr>
        <w:tab/>
        <w:t xml:space="preserve">Siswati S, Astiena AK, Savitri Y. Evaluation of Online-Based Student Learning: Models During New Normal Pandemic Covid-19 in Indonesia. </w:t>
      </w:r>
      <w:r w:rsidRPr="00B466E2">
        <w:rPr>
          <w:i/>
          <w:iCs/>
          <w:noProof/>
          <w:sz w:val="20"/>
          <w:szCs w:val="22"/>
        </w:rPr>
        <w:t>J Nonform Educ</w:t>
      </w:r>
      <w:r w:rsidRPr="00B466E2">
        <w:rPr>
          <w:noProof/>
          <w:sz w:val="20"/>
          <w:szCs w:val="22"/>
        </w:rPr>
        <w:t>. 2020;6(2):148-155.</w:t>
      </w:r>
    </w:p>
    <w:p w14:paraId="2AC45EC4"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5. </w:t>
      </w:r>
      <w:r w:rsidRPr="00B466E2">
        <w:rPr>
          <w:noProof/>
          <w:sz w:val="20"/>
          <w:szCs w:val="22"/>
        </w:rPr>
        <w:tab/>
        <w:t xml:space="preserve">Bouilheres F, Le LTVH, McDonald S, Nkhoma C, Jandug-Montera L. Defining student learning experience through blended learning. </w:t>
      </w:r>
      <w:r w:rsidRPr="00B466E2">
        <w:rPr>
          <w:i/>
          <w:iCs/>
          <w:noProof/>
          <w:sz w:val="20"/>
          <w:szCs w:val="22"/>
        </w:rPr>
        <w:t>Educ Inf Technol</w:t>
      </w:r>
      <w:r w:rsidRPr="00B466E2">
        <w:rPr>
          <w:noProof/>
          <w:sz w:val="20"/>
          <w:szCs w:val="22"/>
        </w:rPr>
        <w:t>. 2020;25(4):3049-3069. doi:10.1007/s10639-020-10100-y</w:t>
      </w:r>
    </w:p>
    <w:p w14:paraId="4A746077"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6. </w:t>
      </w:r>
      <w:r w:rsidRPr="00B466E2">
        <w:rPr>
          <w:noProof/>
          <w:sz w:val="20"/>
          <w:szCs w:val="22"/>
        </w:rPr>
        <w:tab/>
        <w:t xml:space="preserve">Zhang JH, Zou L cong, Miao J jia, Zhang YX, Hwang GJ, Zhu Y. An individualized intervention approach to improving university students’ learning performance and interactive behaviors in a blended learning environment. </w:t>
      </w:r>
      <w:r w:rsidRPr="00B466E2">
        <w:rPr>
          <w:i/>
          <w:iCs/>
          <w:noProof/>
          <w:sz w:val="20"/>
          <w:szCs w:val="22"/>
        </w:rPr>
        <w:t>Interact Learn Environ</w:t>
      </w:r>
      <w:r w:rsidRPr="00B466E2">
        <w:rPr>
          <w:noProof/>
          <w:sz w:val="20"/>
          <w:szCs w:val="22"/>
        </w:rPr>
        <w:t>. 2020;28(2):231-245. doi:10.1080/10494820.2019.1636078</w:t>
      </w:r>
    </w:p>
    <w:p w14:paraId="6DA59835"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7. </w:t>
      </w:r>
      <w:r w:rsidRPr="00B466E2">
        <w:rPr>
          <w:noProof/>
          <w:sz w:val="20"/>
          <w:szCs w:val="22"/>
        </w:rPr>
        <w:tab/>
        <w:t xml:space="preserve">Talan T, Gulsecen S. The effect of a flipped classroom on students’ achievements, academic engagement and satisfaction levels. </w:t>
      </w:r>
      <w:r w:rsidRPr="00B466E2">
        <w:rPr>
          <w:i/>
          <w:iCs/>
          <w:noProof/>
          <w:sz w:val="20"/>
          <w:szCs w:val="22"/>
        </w:rPr>
        <w:t>Turkish Online J Distance Educ</w:t>
      </w:r>
      <w:r w:rsidRPr="00B466E2">
        <w:rPr>
          <w:noProof/>
          <w:sz w:val="20"/>
          <w:szCs w:val="22"/>
        </w:rPr>
        <w:t>. 2019;20(4):31-60. doi:10.17718/TOJDE.640503</w:t>
      </w:r>
    </w:p>
    <w:p w14:paraId="04CD2770"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8. </w:t>
      </w:r>
      <w:r w:rsidRPr="00B466E2">
        <w:rPr>
          <w:noProof/>
          <w:sz w:val="20"/>
          <w:szCs w:val="22"/>
        </w:rPr>
        <w:tab/>
        <w:t xml:space="preserve">Mulyatiningsih E. EVALUASI PEMBELAJARAN DALAM JARINGAN PADA MASA PANDEMI VIRUS CORONA 2019. </w:t>
      </w:r>
      <w:r w:rsidRPr="00B466E2">
        <w:rPr>
          <w:i/>
          <w:iCs/>
          <w:noProof/>
          <w:sz w:val="20"/>
          <w:szCs w:val="22"/>
        </w:rPr>
        <w:t>Naskah Pidato Pengukuhan GB</w:t>
      </w:r>
      <w:r w:rsidRPr="00B466E2">
        <w:rPr>
          <w:noProof/>
          <w:sz w:val="20"/>
          <w:szCs w:val="22"/>
        </w:rPr>
        <w:t>. Published online 2020.</w:t>
      </w:r>
    </w:p>
    <w:p w14:paraId="4D6EA2AB"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9. </w:t>
      </w:r>
      <w:r w:rsidRPr="00B466E2">
        <w:rPr>
          <w:noProof/>
          <w:sz w:val="20"/>
          <w:szCs w:val="22"/>
        </w:rPr>
        <w:tab/>
        <w:t xml:space="preserve">Vo MH, Zhu C, Diep AN. Students’ performance in blended learning: disciplinary difference and instructional design factors. </w:t>
      </w:r>
      <w:r w:rsidRPr="00B466E2">
        <w:rPr>
          <w:i/>
          <w:iCs/>
          <w:noProof/>
          <w:sz w:val="20"/>
          <w:szCs w:val="22"/>
        </w:rPr>
        <w:t>J Comput Educ</w:t>
      </w:r>
      <w:r w:rsidRPr="00B466E2">
        <w:rPr>
          <w:noProof/>
          <w:sz w:val="20"/>
          <w:szCs w:val="22"/>
        </w:rPr>
        <w:t>. 2020;7(4):487-510. doi:10.1007/s40692-020-00164-7</w:t>
      </w:r>
    </w:p>
    <w:p w14:paraId="28634FB1"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10. </w:t>
      </w:r>
      <w:r w:rsidRPr="00B466E2">
        <w:rPr>
          <w:noProof/>
          <w:sz w:val="20"/>
          <w:szCs w:val="22"/>
        </w:rPr>
        <w:tab/>
        <w:t xml:space="preserve">Alturkistani A, Car J, Wells G, Meinert E. Corresponding Author : An evaluation of a Massive Open Online Course ( MOOC ) about data science for continuing education in healthcare. </w:t>
      </w:r>
      <w:r w:rsidRPr="00B466E2">
        <w:rPr>
          <w:i/>
          <w:iCs/>
          <w:noProof/>
          <w:sz w:val="20"/>
          <w:szCs w:val="22"/>
        </w:rPr>
        <w:t>Res gate</w:t>
      </w:r>
      <w:r w:rsidRPr="00B466E2">
        <w:rPr>
          <w:noProof/>
          <w:sz w:val="20"/>
          <w:szCs w:val="22"/>
        </w:rPr>
        <w:t>. 2018;(May). doi:10.2196/preprints.10982</w:t>
      </w:r>
    </w:p>
    <w:p w14:paraId="04F4FD6A"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11. </w:t>
      </w:r>
      <w:r w:rsidRPr="00B466E2">
        <w:rPr>
          <w:noProof/>
          <w:sz w:val="20"/>
          <w:szCs w:val="22"/>
        </w:rPr>
        <w:tab/>
        <w:t xml:space="preserve">Rusman. </w:t>
      </w:r>
      <w:r w:rsidRPr="00B466E2">
        <w:rPr>
          <w:i/>
          <w:iCs/>
          <w:noProof/>
          <w:sz w:val="20"/>
          <w:szCs w:val="22"/>
        </w:rPr>
        <w:t>Model-Model Pembelajaran</w:t>
      </w:r>
      <w:r w:rsidRPr="00B466E2">
        <w:rPr>
          <w:noProof/>
          <w:sz w:val="20"/>
          <w:szCs w:val="22"/>
        </w:rPr>
        <w:t>. 2nd ed. RajaGrafindo Persada; 2018.</w:t>
      </w:r>
    </w:p>
    <w:p w14:paraId="45AA8341"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12. </w:t>
      </w:r>
      <w:r w:rsidRPr="00B466E2">
        <w:rPr>
          <w:noProof/>
          <w:sz w:val="20"/>
          <w:szCs w:val="22"/>
        </w:rPr>
        <w:tab/>
        <w:t xml:space="preserve">Afify MK. Effect of interactive video length within e-learning environment on cognitive load, cognitif </w:t>
      </w:r>
      <w:r w:rsidRPr="00B466E2">
        <w:rPr>
          <w:noProof/>
          <w:sz w:val="20"/>
          <w:szCs w:val="22"/>
        </w:rPr>
        <w:lastRenderedPageBreak/>
        <w:t xml:space="preserve">achievment and retention of learning. </w:t>
      </w:r>
      <w:r w:rsidRPr="00B466E2">
        <w:rPr>
          <w:i/>
          <w:iCs/>
          <w:noProof/>
          <w:sz w:val="20"/>
          <w:szCs w:val="22"/>
        </w:rPr>
        <w:t>Turkish Online J Distance Educ</w:t>
      </w:r>
      <w:r w:rsidRPr="00B466E2">
        <w:rPr>
          <w:noProof/>
          <w:sz w:val="20"/>
          <w:szCs w:val="22"/>
        </w:rPr>
        <w:t>. 2020;21(4):68-89. doi:10.17718/tojde.803360</w:t>
      </w:r>
    </w:p>
    <w:p w14:paraId="397A33D9"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13. </w:t>
      </w:r>
      <w:r w:rsidRPr="00B466E2">
        <w:rPr>
          <w:noProof/>
          <w:sz w:val="20"/>
          <w:szCs w:val="22"/>
        </w:rPr>
        <w:tab/>
        <w:t xml:space="preserve">Kamsa I, Elouahbi R, El Khoukhi F. Study smart not hard. </w:t>
      </w:r>
      <w:r w:rsidRPr="00B466E2">
        <w:rPr>
          <w:i/>
          <w:iCs/>
          <w:noProof/>
          <w:sz w:val="20"/>
          <w:szCs w:val="22"/>
        </w:rPr>
        <w:t>Turkish Online J Distance Educ</w:t>
      </w:r>
      <w:r w:rsidRPr="00B466E2">
        <w:rPr>
          <w:noProof/>
          <w:sz w:val="20"/>
          <w:szCs w:val="22"/>
        </w:rPr>
        <w:t>. 2018;19(1):62-74. doi:10.17718/tojde.382666</w:t>
      </w:r>
    </w:p>
    <w:p w14:paraId="2023E081"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14. </w:t>
      </w:r>
      <w:r w:rsidRPr="00B466E2">
        <w:rPr>
          <w:noProof/>
          <w:sz w:val="20"/>
          <w:szCs w:val="22"/>
        </w:rPr>
        <w:tab/>
        <w:t>Derya M, Orcid G. SENSE OF COMMUNITY , PEER FEEDBACK AND COURSE ENGAGEMENT AS PREDICTORS OF LEARNING IN. 2020;(October):237-250.</w:t>
      </w:r>
    </w:p>
    <w:p w14:paraId="1B687215"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15. </w:t>
      </w:r>
      <w:r w:rsidRPr="00B466E2">
        <w:rPr>
          <w:noProof/>
          <w:sz w:val="20"/>
          <w:szCs w:val="22"/>
        </w:rPr>
        <w:tab/>
        <w:t xml:space="preserve">Gamage D, Perera I, Fernando S. Improving effectiveness of MOOCs. </w:t>
      </w:r>
      <w:r w:rsidRPr="00B466E2">
        <w:rPr>
          <w:i/>
          <w:iCs/>
          <w:noProof/>
          <w:sz w:val="20"/>
          <w:szCs w:val="22"/>
        </w:rPr>
        <w:t>ICCE 2016 - 24th Int Conf Comput Educ Think Glob Act Local - Dr Student Consortia Proc</w:t>
      </w:r>
      <w:r w:rsidRPr="00B466E2">
        <w:rPr>
          <w:noProof/>
          <w:sz w:val="20"/>
          <w:szCs w:val="22"/>
        </w:rPr>
        <w:t>. Published online 2016:5-8.</w:t>
      </w:r>
    </w:p>
    <w:p w14:paraId="10ED5278"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16. </w:t>
      </w:r>
      <w:r w:rsidRPr="00B466E2">
        <w:rPr>
          <w:noProof/>
          <w:sz w:val="20"/>
          <w:szCs w:val="22"/>
        </w:rPr>
        <w:tab/>
        <w:t xml:space="preserve">Duval TS, Silvia PJ. Self-awareness, probability of improvement, and the self-serving bias. </w:t>
      </w:r>
      <w:r w:rsidRPr="00B466E2">
        <w:rPr>
          <w:i/>
          <w:iCs/>
          <w:noProof/>
          <w:sz w:val="20"/>
          <w:szCs w:val="22"/>
        </w:rPr>
        <w:t>J Pers Soc Psychol</w:t>
      </w:r>
      <w:r w:rsidRPr="00B466E2">
        <w:rPr>
          <w:noProof/>
          <w:sz w:val="20"/>
          <w:szCs w:val="22"/>
        </w:rPr>
        <w:t>. 2002;82(1):49-61. doi:10.1037/0022-3514.82.1.49</w:t>
      </w:r>
    </w:p>
    <w:p w14:paraId="7B8179F7"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17. </w:t>
      </w:r>
      <w:r w:rsidRPr="00B466E2">
        <w:rPr>
          <w:noProof/>
          <w:sz w:val="20"/>
          <w:szCs w:val="22"/>
        </w:rPr>
        <w:tab/>
        <w:t xml:space="preserve">Rasheed RA, Kamsin A, Abdullah NA. Challenges in the online component of blended learning: A systematic review. </w:t>
      </w:r>
      <w:r w:rsidRPr="00B466E2">
        <w:rPr>
          <w:i/>
          <w:iCs/>
          <w:noProof/>
          <w:sz w:val="20"/>
          <w:szCs w:val="22"/>
        </w:rPr>
        <w:t>Comput Educ</w:t>
      </w:r>
      <w:r w:rsidRPr="00B466E2">
        <w:rPr>
          <w:noProof/>
          <w:sz w:val="20"/>
          <w:szCs w:val="22"/>
        </w:rPr>
        <w:t>. 2020;144(September 2019):103701. doi:10.1016/j.compedu.2019.103701</w:t>
      </w:r>
    </w:p>
    <w:p w14:paraId="3130F7A9" w14:textId="77777777" w:rsidR="00B466E2" w:rsidRPr="00B466E2" w:rsidRDefault="00B466E2" w:rsidP="00B466E2">
      <w:pPr>
        <w:widowControl w:val="0"/>
        <w:autoSpaceDE w:val="0"/>
        <w:autoSpaceDN w:val="0"/>
        <w:adjustRightInd w:val="0"/>
        <w:ind w:left="426" w:hanging="426"/>
        <w:rPr>
          <w:noProof/>
          <w:sz w:val="20"/>
          <w:szCs w:val="22"/>
        </w:rPr>
      </w:pPr>
      <w:r w:rsidRPr="00B466E2">
        <w:rPr>
          <w:noProof/>
          <w:sz w:val="20"/>
          <w:szCs w:val="22"/>
        </w:rPr>
        <w:t xml:space="preserve">18. </w:t>
      </w:r>
      <w:r w:rsidRPr="00B466E2">
        <w:rPr>
          <w:noProof/>
          <w:sz w:val="20"/>
          <w:szCs w:val="22"/>
        </w:rPr>
        <w:tab/>
        <w:t xml:space="preserve">Villarruel JIB, Rivera RN, Lima MGB. Influence of an Instructional Strategy on the Attitudes of University Professors toward Distance Education. </w:t>
      </w:r>
      <w:r w:rsidRPr="00B466E2">
        <w:rPr>
          <w:i/>
          <w:iCs/>
          <w:noProof/>
          <w:sz w:val="20"/>
          <w:szCs w:val="22"/>
        </w:rPr>
        <w:t>Turkish Online J Distance Educ</w:t>
      </w:r>
      <w:r w:rsidRPr="00B466E2">
        <w:rPr>
          <w:noProof/>
          <w:sz w:val="20"/>
          <w:szCs w:val="22"/>
        </w:rPr>
        <w:t>. 2019;(July):73-88. doi:10.17718/tojde.598224</w:t>
      </w:r>
    </w:p>
    <w:p w14:paraId="3E99DCD8" w14:textId="77777777" w:rsidR="00B466E2" w:rsidRPr="00B466E2" w:rsidRDefault="00B466E2" w:rsidP="00B466E2">
      <w:pPr>
        <w:widowControl w:val="0"/>
        <w:autoSpaceDE w:val="0"/>
        <w:autoSpaceDN w:val="0"/>
        <w:adjustRightInd w:val="0"/>
        <w:ind w:left="426" w:hanging="426"/>
        <w:rPr>
          <w:noProof/>
          <w:sz w:val="22"/>
        </w:rPr>
      </w:pPr>
      <w:r w:rsidRPr="00B466E2">
        <w:rPr>
          <w:noProof/>
          <w:sz w:val="20"/>
          <w:szCs w:val="22"/>
        </w:rPr>
        <w:t xml:space="preserve">19. </w:t>
      </w:r>
      <w:r w:rsidRPr="00B466E2">
        <w:rPr>
          <w:noProof/>
          <w:sz w:val="20"/>
          <w:szCs w:val="22"/>
        </w:rPr>
        <w:tab/>
        <w:t xml:space="preserve">Wihastyanang WD, Kusumaningrum SR, Latief MA, Cahyono BY. Impacts of providing online teacher and peer feedback on students’ writing performance. </w:t>
      </w:r>
      <w:r w:rsidRPr="00B466E2">
        <w:rPr>
          <w:i/>
          <w:iCs/>
          <w:noProof/>
          <w:sz w:val="20"/>
          <w:szCs w:val="22"/>
        </w:rPr>
        <w:t>Turkish Online J Distance Educ</w:t>
      </w:r>
      <w:r w:rsidRPr="00B466E2">
        <w:rPr>
          <w:noProof/>
          <w:sz w:val="20"/>
          <w:szCs w:val="22"/>
        </w:rPr>
        <w:t>. 2020;21(2):178-189. doi:10.17718/TOJDE.728157</w:t>
      </w:r>
    </w:p>
    <w:p w14:paraId="4DE91CCB" w14:textId="74660DB1" w:rsidR="00326AE0" w:rsidRPr="00114AB1" w:rsidRDefault="0066329F" w:rsidP="003B51F0">
      <w:pPr>
        <w:widowControl w:val="0"/>
        <w:autoSpaceDE w:val="0"/>
        <w:autoSpaceDN w:val="0"/>
        <w:adjustRightInd w:val="0"/>
        <w:ind w:left="640" w:hanging="640"/>
      </w:pPr>
      <w:r>
        <w:rPr>
          <w:noProof/>
          <w:sz w:val="22"/>
          <w:szCs w:val="24"/>
        </w:rPr>
        <w:fldChar w:fldCharType="end"/>
      </w: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085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C6052"/>
    <w:rsid w:val="002E3C35"/>
    <w:rsid w:val="002F5298"/>
    <w:rsid w:val="00326AE0"/>
    <w:rsid w:val="00337E4F"/>
    <w:rsid w:val="00340C36"/>
    <w:rsid w:val="00346A9D"/>
    <w:rsid w:val="0039376F"/>
    <w:rsid w:val="003A287B"/>
    <w:rsid w:val="003A5C85"/>
    <w:rsid w:val="003A61B1"/>
    <w:rsid w:val="003B0050"/>
    <w:rsid w:val="003B51F0"/>
    <w:rsid w:val="003D6312"/>
    <w:rsid w:val="003E7C74"/>
    <w:rsid w:val="003F31C6"/>
    <w:rsid w:val="0040225B"/>
    <w:rsid w:val="00402DA2"/>
    <w:rsid w:val="00425AC2"/>
    <w:rsid w:val="0044771F"/>
    <w:rsid w:val="004B151D"/>
    <w:rsid w:val="004C7243"/>
    <w:rsid w:val="004E21DE"/>
    <w:rsid w:val="004E3C57"/>
    <w:rsid w:val="004E3CB2"/>
    <w:rsid w:val="00525813"/>
    <w:rsid w:val="00527D17"/>
    <w:rsid w:val="0053513F"/>
    <w:rsid w:val="00556EE9"/>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6329F"/>
    <w:rsid w:val="00666303"/>
    <w:rsid w:val="00674898"/>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7E36EC"/>
    <w:rsid w:val="00812D62"/>
    <w:rsid w:val="00812F29"/>
    <w:rsid w:val="00821713"/>
    <w:rsid w:val="00827050"/>
    <w:rsid w:val="0083278B"/>
    <w:rsid w:val="00834538"/>
    <w:rsid w:val="00850E89"/>
    <w:rsid w:val="008672ED"/>
    <w:rsid w:val="008930E4"/>
    <w:rsid w:val="00893821"/>
    <w:rsid w:val="008A7B9C"/>
    <w:rsid w:val="008B39FA"/>
    <w:rsid w:val="008B4754"/>
    <w:rsid w:val="008E6A7A"/>
    <w:rsid w:val="008F1038"/>
    <w:rsid w:val="008F7046"/>
    <w:rsid w:val="009005FC"/>
    <w:rsid w:val="009012F7"/>
    <w:rsid w:val="00922E5A"/>
    <w:rsid w:val="00943315"/>
    <w:rsid w:val="00946C27"/>
    <w:rsid w:val="009A3EEB"/>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466E2"/>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132BF"/>
    <w:rsid w:val="00D36257"/>
    <w:rsid w:val="00D4687E"/>
    <w:rsid w:val="00D53A12"/>
    <w:rsid w:val="00D87E2A"/>
    <w:rsid w:val="00DB0C43"/>
    <w:rsid w:val="00DC6092"/>
    <w:rsid w:val="00DE3354"/>
    <w:rsid w:val="00DF7DCD"/>
    <w:rsid w:val="00E42C20"/>
    <w:rsid w:val="00E50B7D"/>
    <w:rsid w:val="00E83249"/>
    <w:rsid w:val="00E904A1"/>
    <w:rsid w:val="00EB0F70"/>
    <w:rsid w:val="00EB7D28"/>
    <w:rsid w:val="00EC0D0C"/>
    <w:rsid w:val="00ED4A2C"/>
    <w:rsid w:val="00EF6940"/>
    <w:rsid w:val="00F2044A"/>
    <w:rsid w:val="00F20BFC"/>
    <w:rsid w:val="00F24D5F"/>
    <w:rsid w:val="00F36099"/>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132BF"/>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ICVETBodyText">
    <w:name w:val="ICVET_BodyText"/>
    <w:basedOn w:val="Normal"/>
    <w:link w:val="ICVETBodyTextChar"/>
    <w:rsid w:val="00D132BF"/>
    <w:pPr>
      <w:ind w:firstLine="426"/>
      <w:jc w:val="both"/>
    </w:pPr>
    <w:rPr>
      <w:sz w:val="20"/>
    </w:rPr>
  </w:style>
  <w:style w:type="character" w:customStyle="1" w:styleId="ICVETBodyTextChar">
    <w:name w:val="ICVET_BodyText Char"/>
    <w:link w:val="ICVETBodyText"/>
    <w:locked/>
    <w:rsid w:val="00D132B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barfirdausa@uny.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ipalupi@uny.ac.id" TargetMode="Externa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hyperlink" Target="mailto:mulyati@uny.ac.id" TargetMode="External"/><Relationship Id="rId4" Type="http://schemas.openxmlformats.org/officeDocument/2006/relationships/customXml" Target="../customXml/item4.xml"/><Relationship Id="rId9" Type="http://schemas.openxmlformats.org/officeDocument/2006/relationships/hyperlink" Target="mailto:prihastuti@uny.ac.id" TargetMode="Externa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ENELITIAN_2021\RG_2021\Rekap%20Evaluasi%20Be-Sma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ENELITIAN_2021\RG_2021\Rekap%20Evaluasi%20Be-Sm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rPr>
              <a:t>Recapitulation Evaluation of the learning quality of S1 lecturers</a:t>
            </a:r>
          </a:p>
        </c:rich>
      </c:tx>
      <c:layout>
        <c:manualLayout>
          <c:xMode val="edge"/>
          <c:yMode val="edge"/>
          <c:x val="0.16708333333333333"/>
          <c:y val="3.03030303030303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'[Rekap Evaluasi Be-Smart.xlsx]Grafik'!$B$37</c:f>
              <c:strCache>
                <c:ptCount val="1"/>
                <c:pt idx="0">
                  <c:v>Konten</c:v>
                </c:pt>
              </c:strCache>
            </c:strRef>
          </c:tx>
          <c:spPr>
            <a:pattFill prst="pct5">
              <a:fgClr>
                <a:sysClr val="windowText" lastClr="000000"/>
              </a:fgClr>
              <a:bgClr>
                <a:schemeClr val="bg1"/>
              </a:bgClr>
            </a:pattFill>
            <a:ln>
              <a:solidFill>
                <a:schemeClr val="tx1"/>
              </a:solidFill>
            </a:ln>
            <a:effectLst/>
          </c:spPr>
          <c:invertIfNegative val="0"/>
          <c:cat>
            <c:strRef>
              <c:f>'[Rekap Evaluasi Be-Smart.xlsx]Grafik'!$A$38:$A$45</c:f>
              <c:strCache>
                <c:ptCount val="8"/>
                <c:pt idx="0">
                  <c:v>MW</c:v>
                </c:pt>
                <c:pt idx="1">
                  <c:v>EM</c:v>
                </c:pt>
                <c:pt idx="2">
                  <c:v>KK</c:v>
                </c:pt>
                <c:pt idx="3">
                  <c:v>PE</c:v>
                </c:pt>
                <c:pt idx="4">
                  <c:v>NR</c:v>
                </c:pt>
                <c:pt idx="5">
                  <c:v>WR</c:v>
                </c:pt>
                <c:pt idx="6">
                  <c:v>MH</c:v>
                </c:pt>
                <c:pt idx="7">
                  <c:v>SH</c:v>
                </c:pt>
              </c:strCache>
            </c:strRef>
          </c:cat>
          <c:val>
            <c:numRef>
              <c:f>'[Rekap Evaluasi Be-Smart.xlsx]Grafik'!$B$38:$B$45</c:f>
              <c:numCache>
                <c:formatCode>0.00</c:formatCode>
                <c:ptCount val="8"/>
                <c:pt idx="0">
                  <c:v>3.6999999999999997</c:v>
                </c:pt>
                <c:pt idx="1">
                  <c:v>3.9454545454545453</c:v>
                </c:pt>
                <c:pt idx="2">
                  <c:v>3.790909090909091</c:v>
                </c:pt>
                <c:pt idx="3">
                  <c:v>3.9545454545454546</c:v>
                </c:pt>
                <c:pt idx="4">
                  <c:v>3.9181818181818175</c:v>
                </c:pt>
                <c:pt idx="5">
                  <c:v>3.6818181818181812</c:v>
                </c:pt>
                <c:pt idx="6">
                  <c:v>4.209090909090909</c:v>
                </c:pt>
                <c:pt idx="7">
                  <c:v>3.9181818181818184</c:v>
                </c:pt>
              </c:numCache>
            </c:numRef>
          </c:val>
          <c:extLst>
            <c:ext xmlns:c16="http://schemas.microsoft.com/office/drawing/2014/chart" uri="{C3380CC4-5D6E-409C-BE32-E72D297353CC}">
              <c16:uniqueId val="{00000000-8D6C-409F-ABC9-B7A392BD9423}"/>
            </c:ext>
          </c:extLst>
        </c:ser>
        <c:ser>
          <c:idx val="1"/>
          <c:order val="1"/>
          <c:tx>
            <c:strRef>
              <c:f>'[Rekap Evaluasi Be-Smart.xlsx]Grafik'!$C$37</c:f>
              <c:strCache>
                <c:ptCount val="1"/>
                <c:pt idx="0">
                  <c:v>Media</c:v>
                </c:pt>
              </c:strCache>
            </c:strRef>
          </c:tx>
          <c:spPr>
            <a:pattFill prst="pct60">
              <a:fgClr>
                <a:sysClr val="windowText" lastClr="000000"/>
              </a:fgClr>
              <a:bgClr>
                <a:schemeClr val="bg1"/>
              </a:bgClr>
            </a:pattFill>
            <a:ln>
              <a:solidFill>
                <a:schemeClr val="tx1"/>
              </a:solidFill>
            </a:ln>
            <a:effectLst/>
          </c:spPr>
          <c:invertIfNegative val="0"/>
          <c:cat>
            <c:strRef>
              <c:f>'[Rekap Evaluasi Be-Smart.xlsx]Grafik'!$A$38:$A$45</c:f>
              <c:strCache>
                <c:ptCount val="8"/>
                <c:pt idx="0">
                  <c:v>MW</c:v>
                </c:pt>
                <c:pt idx="1">
                  <c:v>EM</c:v>
                </c:pt>
                <c:pt idx="2">
                  <c:v>KK</c:v>
                </c:pt>
                <c:pt idx="3">
                  <c:v>PE</c:v>
                </c:pt>
                <c:pt idx="4">
                  <c:v>NR</c:v>
                </c:pt>
                <c:pt idx="5">
                  <c:v>WR</c:v>
                </c:pt>
                <c:pt idx="6">
                  <c:v>MH</c:v>
                </c:pt>
                <c:pt idx="7">
                  <c:v>SH</c:v>
                </c:pt>
              </c:strCache>
            </c:strRef>
          </c:cat>
          <c:val>
            <c:numRef>
              <c:f>'[Rekap Evaluasi Be-Smart.xlsx]Grafik'!$C$38:$C$45</c:f>
              <c:numCache>
                <c:formatCode>0.00</c:formatCode>
                <c:ptCount val="8"/>
                <c:pt idx="0">
                  <c:v>3.755555555555556</c:v>
                </c:pt>
                <c:pt idx="1">
                  <c:v>4.2111111111111112</c:v>
                </c:pt>
                <c:pt idx="2">
                  <c:v>4.0666666666666664</c:v>
                </c:pt>
                <c:pt idx="3">
                  <c:v>3.9111111111111114</c:v>
                </c:pt>
                <c:pt idx="4">
                  <c:v>4.0555555555555554</c:v>
                </c:pt>
                <c:pt idx="5">
                  <c:v>3.822222222222222</c:v>
                </c:pt>
                <c:pt idx="6">
                  <c:v>4.2888888888888888</c:v>
                </c:pt>
                <c:pt idx="7">
                  <c:v>3.9555555555555548</c:v>
                </c:pt>
              </c:numCache>
            </c:numRef>
          </c:val>
          <c:extLst>
            <c:ext xmlns:c16="http://schemas.microsoft.com/office/drawing/2014/chart" uri="{C3380CC4-5D6E-409C-BE32-E72D297353CC}">
              <c16:uniqueId val="{00000001-8D6C-409F-ABC9-B7A392BD9423}"/>
            </c:ext>
          </c:extLst>
        </c:ser>
        <c:ser>
          <c:idx val="2"/>
          <c:order val="2"/>
          <c:tx>
            <c:strRef>
              <c:f>'[Rekap Evaluasi Be-Smart.xlsx]Grafik'!$D$37</c:f>
              <c:strCache>
                <c:ptCount val="1"/>
                <c:pt idx="0">
                  <c:v>Rencana</c:v>
                </c:pt>
              </c:strCache>
            </c:strRef>
          </c:tx>
          <c:spPr>
            <a:pattFill prst="ltUpDiag">
              <a:fgClr>
                <a:sysClr val="windowText" lastClr="000000"/>
              </a:fgClr>
              <a:bgClr>
                <a:schemeClr val="bg1"/>
              </a:bgClr>
            </a:pattFill>
            <a:ln>
              <a:solidFill>
                <a:schemeClr val="tx1"/>
              </a:solidFill>
            </a:ln>
            <a:effectLst/>
          </c:spPr>
          <c:invertIfNegative val="0"/>
          <c:cat>
            <c:strRef>
              <c:f>'[Rekap Evaluasi Be-Smart.xlsx]Grafik'!$A$38:$A$45</c:f>
              <c:strCache>
                <c:ptCount val="8"/>
                <c:pt idx="0">
                  <c:v>MW</c:v>
                </c:pt>
                <c:pt idx="1">
                  <c:v>EM</c:v>
                </c:pt>
                <c:pt idx="2">
                  <c:v>KK</c:v>
                </c:pt>
                <c:pt idx="3">
                  <c:v>PE</c:v>
                </c:pt>
                <c:pt idx="4">
                  <c:v>NR</c:v>
                </c:pt>
                <c:pt idx="5">
                  <c:v>WR</c:v>
                </c:pt>
                <c:pt idx="6">
                  <c:v>MH</c:v>
                </c:pt>
                <c:pt idx="7">
                  <c:v>SH</c:v>
                </c:pt>
              </c:strCache>
            </c:strRef>
          </c:cat>
          <c:val>
            <c:numRef>
              <c:f>'[Rekap Evaluasi Be-Smart.xlsx]Grafik'!$D$38:$D$45</c:f>
              <c:numCache>
                <c:formatCode>0.00</c:formatCode>
                <c:ptCount val="8"/>
                <c:pt idx="0">
                  <c:v>4.0285714285714294</c:v>
                </c:pt>
                <c:pt idx="1">
                  <c:v>4.3</c:v>
                </c:pt>
                <c:pt idx="2">
                  <c:v>4.1285714285714281</c:v>
                </c:pt>
                <c:pt idx="3">
                  <c:v>4.1571428571428575</c:v>
                </c:pt>
                <c:pt idx="4">
                  <c:v>4.2428571428571429</c:v>
                </c:pt>
                <c:pt idx="5">
                  <c:v>3.9857142857142853</c:v>
                </c:pt>
                <c:pt idx="6">
                  <c:v>4.2428571428571429</c:v>
                </c:pt>
                <c:pt idx="7">
                  <c:v>4.1714285714285717</c:v>
                </c:pt>
              </c:numCache>
            </c:numRef>
          </c:val>
          <c:extLst>
            <c:ext xmlns:c16="http://schemas.microsoft.com/office/drawing/2014/chart" uri="{C3380CC4-5D6E-409C-BE32-E72D297353CC}">
              <c16:uniqueId val="{00000002-8D6C-409F-ABC9-B7A392BD9423}"/>
            </c:ext>
          </c:extLst>
        </c:ser>
        <c:ser>
          <c:idx val="3"/>
          <c:order val="3"/>
          <c:tx>
            <c:strRef>
              <c:f>'[Rekap Evaluasi Be-Smart.xlsx]Grafik'!$E$37</c:f>
              <c:strCache>
                <c:ptCount val="1"/>
                <c:pt idx="0">
                  <c:v>Tindakan</c:v>
                </c:pt>
              </c:strCache>
            </c:strRef>
          </c:tx>
          <c:spPr>
            <a:pattFill prst="lgConfetti">
              <a:fgClr>
                <a:sysClr val="windowText" lastClr="000000"/>
              </a:fgClr>
              <a:bgClr>
                <a:schemeClr val="bg1"/>
              </a:bgClr>
            </a:pattFill>
            <a:ln>
              <a:solidFill>
                <a:schemeClr val="tx1"/>
              </a:solidFill>
            </a:ln>
            <a:effectLst/>
          </c:spPr>
          <c:invertIfNegative val="0"/>
          <c:cat>
            <c:strRef>
              <c:f>'[Rekap Evaluasi Be-Smart.xlsx]Grafik'!$A$38:$A$45</c:f>
              <c:strCache>
                <c:ptCount val="8"/>
                <c:pt idx="0">
                  <c:v>MW</c:v>
                </c:pt>
                <c:pt idx="1">
                  <c:v>EM</c:v>
                </c:pt>
                <c:pt idx="2">
                  <c:v>KK</c:v>
                </c:pt>
                <c:pt idx="3">
                  <c:v>PE</c:v>
                </c:pt>
                <c:pt idx="4">
                  <c:v>NR</c:v>
                </c:pt>
                <c:pt idx="5">
                  <c:v>WR</c:v>
                </c:pt>
                <c:pt idx="6">
                  <c:v>MH</c:v>
                </c:pt>
                <c:pt idx="7">
                  <c:v>SH</c:v>
                </c:pt>
              </c:strCache>
            </c:strRef>
          </c:cat>
          <c:val>
            <c:numRef>
              <c:f>'[Rekap Evaluasi Be-Smart.xlsx]Grafik'!$E$38:$E$45</c:f>
              <c:numCache>
                <c:formatCode>0.00</c:formatCode>
                <c:ptCount val="8"/>
                <c:pt idx="0">
                  <c:v>4.04</c:v>
                </c:pt>
                <c:pt idx="1">
                  <c:v>4.29</c:v>
                </c:pt>
                <c:pt idx="2">
                  <c:v>4.0500000000000007</c:v>
                </c:pt>
                <c:pt idx="3">
                  <c:v>3.8600000000000003</c:v>
                </c:pt>
                <c:pt idx="4">
                  <c:v>3.9900000000000007</c:v>
                </c:pt>
                <c:pt idx="5">
                  <c:v>3.94</c:v>
                </c:pt>
                <c:pt idx="6">
                  <c:v>3.97</c:v>
                </c:pt>
                <c:pt idx="7">
                  <c:v>4.1999999999999993</c:v>
                </c:pt>
              </c:numCache>
            </c:numRef>
          </c:val>
          <c:extLst>
            <c:ext xmlns:c16="http://schemas.microsoft.com/office/drawing/2014/chart" uri="{C3380CC4-5D6E-409C-BE32-E72D297353CC}">
              <c16:uniqueId val="{00000003-8D6C-409F-ABC9-B7A392BD9423}"/>
            </c:ext>
          </c:extLst>
        </c:ser>
        <c:ser>
          <c:idx val="4"/>
          <c:order val="4"/>
          <c:tx>
            <c:strRef>
              <c:f>'[Rekap Evaluasi Be-Smart.xlsx]Grafik'!$F$37</c:f>
              <c:strCache>
                <c:ptCount val="1"/>
                <c:pt idx="0">
                  <c:v>Evaluasi</c:v>
                </c:pt>
              </c:strCache>
            </c:strRef>
          </c:tx>
          <c:spPr>
            <a:pattFill prst="shingle">
              <a:fgClr>
                <a:sysClr val="windowText" lastClr="000000"/>
              </a:fgClr>
              <a:bgClr>
                <a:schemeClr val="bg1"/>
              </a:bgClr>
            </a:pattFill>
            <a:ln>
              <a:solidFill>
                <a:schemeClr val="tx1"/>
              </a:solidFill>
            </a:ln>
            <a:effectLst/>
          </c:spPr>
          <c:invertIfNegative val="0"/>
          <c:cat>
            <c:strRef>
              <c:f>'[Rekap Evaluasi Be-Smart.xlsx]Grafik'!$A$38:$A$45</c:f>
              <c:strCache>
                <c:ptCount val="8"/>
                <c:pt idx="0">
                  <c:v>MW</c:v>
                </c:pt>
                <c:pt idx="1">
                  <c:v>EM</c:v>
                </c:pt>
                <c:pt idx="2">
                  <c:v>KK</c:v>
                </c:pt>
                <c:pt idx="3">
                  <c:v>PE</c:v>
                </c:pt>
                <c:pt idx="4">
                  <c:v>NR</c:v>
                </c:pt>
                <c:pt idx="5">
                  <c:v>WR</c:v>
                </c:pt>
                <c:pt idx="6">
                  <c:v>MH</c:v>
                </c:pt>
                <c:pt idx="7">
                  <c:v>SH</c:v>
                </c:pt>
              </c:strCache>
            </c:strRef>
          </c:cat>
          <c:val>
            <c:numRef>
              <c:f>'[Rekap Evaluasi Be-Smart.xlsx]Grafik'!$F$38:$F$45</c:f>
              <c:numCache>
                <c:formatCode>0.00</c:formatCode>
                <c:ptCount val="8"/>
                <c:pt idx="0">
                  <c:v>3.9777777777777783</c:v>
                </c:pt>
                <c:pt idx="1">
                  <c:v>4.3777777777777773</c:v>
                </c:pt>
                <c:pt idx="2">
                  <c:v>3.9777777777777774</c:v>
                </c:pt>
                <c:pt idx="3">
                  <c:v>3.9333333333333331</c:v>
                </c:pt>
                <c:pt idx="4">
                  <c:v>3.9888888888888889</c:v>
                </c:pt>
                <c:pt idx="5">
                  <c:v>3.8777777777777778</c:v>
                </c:pt>
                <c:pt idx="6">
                  <c:v>3.9777777777777783</c:v>
                </c:pt>
                <c:pt idx="7">
                  <c:v>4.0777777777777784</c:v>
                </c:pt>
              </c:numCache>
            </c:numRef>
          </c:val>
          <c:extLst>
            <c:ext xmlns:c16="http://schemas.microsoft.com/office/drawing/2014/chart" uri="{C3380CC4-5D6E-409C-BE32-E72D297353CC}">
              <c16:uniqueId val="{00000004-8D6C-409F-ABC9-B7A392BD9423}"/>
            </c:ext>
          </c:extLst>
        </c:ser>
        <c:dLbls>
          <c:showLegendKey val="0"/>
          <c:showVal val="0"/>
          <c:showCatName val="0"/>
          <c:showSerName val="0"/>
          <c:showPercent val="0"/>
          <c:showBubbleSize val="0"/>
        </c:dLbls>
        <c:gapWidth val="219"/>
        <c:overlap val="-27"/>
        <c:axId val="126830464"/>
        <c:axId val="126832000"/>
      </c:barChart>
      <c:catAx>
        <c:axId val="126830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832000"/>
        <c:crosses val="autoZero"/>
        <c:auto val="1"/>
        <c:lblAlgn val="ctr"/>
        <c:lblOffset val="100"/>
        <c:noMultiLvlLbl val="0"/>
      </c:catAx>
      <c:valAx>
        <c:axId val="126832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83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solidFill>
                  <a:schemeClr val="tx1"/>
                </a:solidFill>
                <a:effectLst/>
              </a:rPr>
              <a:t>Recapitulation Evaluation of the learning quality of S1 lecturers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'[Rekap Evaluasi Be-Smart.xlsx]Grafik'!$B$46</c:f>
              <c:strCache>
                <c:ptCount val="1"/>
                <c:pt idx="0">
                  <c:v>Konten</c:v>
                </c:pt>
              </c:strCache>
            </c:strRef>
          </c:tx>
          <c:spPr>
            <a:pattFill prst="pct5">
              <a:fgClr>
                <a:sysClr val="windowText" lastClr="000000"/>
              </a:fgClr>
              <a:bgClr>
                <a:schemeClr val="bg1"/>
              </a:bgClr>
            </a:pattFill>
            <a:ln w="3175">
              <a:solidFill>
                <a:schemeClr val="tx1"/>
              </a:solidFill>
            </a:ln>
            <a:effectLst/>
            <a:sp3d contourW="3175">
              <a:contourClr>
                <a:schemeClr val="tx1"/>
              </a:contourClr>
            </a:sp3d>
          </c:spPr>
          <c:invertIfNegative val="0"/>
          <c:dPt>
            <c:idx val="0"/>
            <c:invertIfNegative val="0"/>
            <c:bubble3D val="0"/>
            <c:spPr>
              <a:pattFill prst="pct5">
                <a:fgClr>
                  <a:sysClr val="windowText" lastClr="000000"/>
                </a:fgClr>
                <a:bgClr>
                  <a:schemeClr val="bg1"/>
                </a:bgClr>
              </a:pattFill>
              <a:ln w="0">
                <a:solidFill>
                  <a:schemeClr val="tx1"/>
                </a:solidFill>
              </a:ln>
              <a:effectLst/>
              <a:sp3d>
                <a:contourClr>
                  <a:schemeClr val="tx1"/>
                </a:contourClr>
              </a:sp3d>
            </c:spPr>
            <c:extLst>
              <c:ext xmlns:c16="http://schemas.microsoft.com/office/drawing/2014/chart" uri="{C3380CC4-5D6E-409C-BE32-E72D297353CC}">
                <c16:uniqueId val="{00000001-F82B-4062-BF29-37EBF9C535CB}"/>
              </c:ext>
            </c:extLst>
          </c:dPt>
          <c:cat>
            <c:strRef>
              <c:f>'[Rekap Evaluasi Be-Smart.xlsx]Grafik'!$A$47:$A$54</c:f>
              <c:strCache>
                <c:ptCount val="8"/>
                <c:pt idx="0">
                  <c:v>MN</c:v>
                </c:pt>
                <c:pt idx="1">
                  <c:v>SU</c:v>
                </c:pt>
                <c:pt idx="2">
                  <c:v>SP</c:v>
                </c:pt>
                <c:pt idx="3">
                  <c:v>IC</c:v>
                </c:pt>
                <c:pt idx="4">
                  <c:v>FR</c:v>
                </c:pt>
                <c:pt idx="5">
                  <c:v>AA</c:v>
                </c:pt>
                <c:pt idx="6">
                  <c:v>EC</c:v>
                </c:pt>
                <c:pt idx="7">
                  <c:v>AR</c:v>
                </c:pt>
              </c:strCache>
            </c:strRef>
          </c:cat>
          <c:val>
            <c:numRef>
              <c:f>'[Rekap Evaluasi Be-Smart.xlsx]Grafik'!$B$47:$B$54</c:f>
              <c:numCache>
                <c:formatCode>0.00</c:formatCode>
                <c:ptCount val="8"/>
                <c:pt idx="0">
                  <c:v>4.0909090909090908</c:v>
                </c:pt>
                <c:pt idx="1">
                  <c:v>3.9909090909090907</c:v>
                </c:pt>
                <c:pt idx="2">
                  <c:v>4.3636363636363633</c:v>
                </c:pt>
                <c:pt idx="3">
                  <c:v>4.4363636363636365</c:v>
                </c:pt>
                <c:pt idx="4">
                  <c:v>4.2636363636363637</c:v>
                </c:pt>
                <c:pt idx="5">
                  <c:v>4.4636363636363647</c:v>
                </c:pt>
                <c:pt idx="6">
                  <c:v>4.3999999999999995</c:v>
                </c:pt>
                <c:pt idx="7">
                  <c:v>4.2181818181818178</c:v>
                </c:pt>
              </c:numCache>
            </c:numRef>
          </c:val>
          <c:extLst>
            <c:ext xmlns:c16="http://schemas.microsoft.com/office/drawing/2014/chart" uri="{C3380CC4-5D6E-409C-BE32-E72D297353CC}">
              <c16:uniqueId val="{00000002-F82B-4062-BF29-37EBF9C535CB}"/>
            </c:ext>
          </c:extLst>
        </c:ser>
        <c:ser>
          <c:idx val="1"/>
          <c:order val="1"/>
          <c:tx>
            <c:strRef>
              <c:f>'[Rekap Evaluasi Be-Smart.xlsx]Grafik'!$C$46</c:f>
              <c:strCache>
                <c:ptCount val="1"/>
                <c:pt idx="0">
                  <c:v>Media</c:v>
                </c:pt>
              </c:strCache>
            </c:strRef>
          </c:tx>
          <c:spPr>
            <a:pattFill prst="pct60">
              <a:fgClr>
                <a:sysClr val="windowText" lastClr="000000"/>
              </a:fgClr>
              <a:bgClr>
                <a:schemeClr val="bg1"/>
              </a:bgClr>
            </a:pattFill>
            <a:ln w="0">
              <a:solidFill>
                <a:schemeClr val="tx1"/>
              </a:solidFill>
            </a:ln>
            <a:effectLst/>
            <a:sp3d>
              <a:contourClr>
                <a:schemeClr val="tx1"/>
              </a:contourClr>
            </a:sp3d>
          </c:spPr>
          <c:invertIfNegative val="0"/>
          <c:cat>
            <c:strRef>
              <c:f>'[Rekap Evaluasi Be-Smart.xlsx]Grafik'!$A$47:$A$54</c:f>
              <c:strCache>
                <c:ptCount val="8"/>
                <c:pt idx="0">
                  <c:v>MN</c:v>
                </c:pt>
                <c:pt idx="1">
                  <c:v>SU</c:v>
                </c:pt>
                <c:pt idx="2">
                  <c:v>SP</c:v>
                </c:pt>
                <c:pt idx="3">
                  <c:v>IC</c:v>
                </c:pt>
                <c:pt idx="4">
                  <c:v>FR</c:v>
                </c:pt>
                <c:pt idx="5">
                  <c:v>AA</c:v>
                </c:pt>
                <c:pt idx="6">
                  <c:v>EC</c:v>
                </c:pt>
                <c:pt idx="7">
                  <c:v>AR</c:v>
                </c:pt>
              </c:strCache>
            </c:strRef>
          </c:cat>
          <c:val>
            <c:numRef>
              <c:f>'[Rekap Evaluasi Be-Smart.xlsx]Grafik'!$C$47:$C$54</c:f>
              <c:numCache>
                <c:formatCode>0.00</c:formatCode>
                <c:ptCount val="8"/>
                <c:pt idx="0">
                  <c:v>4.1333333333333337</c:v>
                </c:pt>
                <c:pt idx="1">
                  <c:v>3.9000000000000004</c:v>
                </c:pt>
                <c:pt idx="2">
                  <c:v>4.0888888888888886</c:v>
                </c:pt>
                <c:pt idx="3">
                  <c:v>4.4888888888888889</c:v>
                </c:pt>
                <c:pt idx="4">
                  <c:v>4.1666666666666679</c:v>
                </c:pt>
                <c:pt idx="5">
                  <c:v>4.5666666666666664</c:v>
                </c:pt>
                <c:pt idx="6">
                  <c:v>4.2666666666666666</c:v>
                </c:pt>
                <c:pt idx="7">
                  <c:v>4.177777777777778</c:v>
                </c:pt>
              </c:numCache>
            </c:numRef>
          </c:val>
          <c:extLst>
            <c:ext xmlns:c16="http://schemas.microsoft.com/office/drawing/2014/chart" uri="{C3380CC4-5D6E-409C-BE32-E72D297353CC}">
              <c16:uniqueId val="{00000003-F82B-4062-BF29-37EBF9C535CB}"/>
            </c:ext>
          </c:extLst>
        </c:ser>
        <c:ser>
          <c:idx val="2"/>
          <c:order val="2"/>
          <c:tx>
            <c:strRef>
              <c:f>'[Rekap Evaluasi Be-Smart.xlsx]Grafik'!$D$46</c:f>
              <c:strCache>
                <c:ptCount val="1"/>
                <c:pt idx="0">
                  <c:v>Rencana</c:v>
                </c:pt>
              </c:strCache>
            </c:strRef>
          </c:tx>
          <c:spPr>
            <a:pattFill prst="ltUpDiag">
              <a:fgClr>
                <a:sysClr val="windowText" lastClr="000000"/>
              </a:fgClr>
              <a:bgClr>
                <a:schemeClr val="bg1"/>
              </a:bgClr>
            </a:pattFill>
            <a:ln w="0">
              <a:solidFill>
                <a:schemeClr val="tx1"/>
              </a:solidFill>
            </a:ln>
            <a:effectLst/>
            <a:sp3d>
              <a:contourClr>
                <a:schemeClr val="tx1"/>
              </a:contourClr>
            </a:sp3d>
          </c:spPr>
          <c:invertIfNegative val="0"/>
          <c:cat>
            <c:strRef>
              <c:f>'[Rekap Evaluasi Be-Smart.xlsx]Grafik'!$A$47:$A$54</c:f>
              <c:strCache>
                <c:ptCount val="8"/>
                <c:pt idx="0">
                  <c:v>MN</c:v>
                </c:pt>
                <c:pt idx="1">
                  <c:v>SU</c:v>
                </c:pt>
                <c:pt idx="2">
                  <c:v>SP</c:v>
                </c:pt>
                <c:pt idx="3">
                  <c:v>IC</c:v>
                </c:pt>
                <c:pt idx="4">
                  <c:v>FR</c:v>
                </c:pt>
                <c:pt idx="5">
                  <c:v>AA</c:v>
                </c:pt>
                <c:pt idx="6">
                  <c:v>EC</c:v>
                </c:pt>
                <c:pt idx="7">
                  <c:v>AR</c:v>
                </c:pt>
              </c:strCache>
            </c:strRef>
          </c:cat>
          <c:val>
            <c:numRef>
              <c:f>'[Rekap Evaluasi Be-Smart.xlsx]Grafik'!$D$47:$D$54</c:f>
              <c:numCache>
                <c:formatCode>0.00</c:formatCode>
                <c:ptCount val="8"/>
                <c:pt idx="0">
                  <c:v>4.1857142857142851</c:v>
                </c:pt>
                <c:pt idx="1">
                  <c:v>4.0285714285714285</c:v>
                </c:pt>
                <c:pt idx="2">
                  <c:v>4.2714285714285714</c:v>
                </c:pt>
                <c:pt idx="3">
                  <c:v>4.4285714285714288</c:v>
                </c:pt>
                <c:pt idx="4">
                  <c:v>4.3285714285714283</c:v>
                </c:pt>
                <c:pt idx="5">
                  <c:v>4.5285714285714276</c:v>
                </c:pt>
                <c:pt idx="6">
                  <c:v>4.3857142857142852</c:v>
                </c:pt>
                <c:pt idx="7">
                  <c:v>4.4999999999999991</c:v>
                </c:pt>
              </c:numCache>
            </c:numRef>
          </c:val>
          <c:extLst>
            <c:ext xmlns:c16="http://schemas.microsoft.com/office/drawing/2014/chart" uri="{C3380CC4-5D6E-409C-BE32-E72D297353CC}">
              <c16:uniqueId val="{00000004-F82B-4062-BF29-37EBF9C535CB}"/>
            </c:ext>
          </c:extLst>
        </c:ser>
        <c:ser>
          <c:idx val="3"/>
          <c:order val="3"/>
          <c:tx>
            <c:strRef>
              <c:f>'[Rekap Evaluasi Be-Smart.xlsx]Grafik'!$E$46</c:f>
              <c:strCache>
                <c:ptCount val="1"/>
                <c:pt idx="0">
                  <c:v>Tindakan</c:v>
                </c:pt>
              </c:strCache>
            </c:strRef>
          </c:tx>
          <c:spPr>
            <a:pattFill prst="lgConfetti">
              <a:fgClr>
                <a:sysClr val="windowText" lastClr="000000"/>
              </a:fgClr>
              <a:bgClr>
                <a:schemeClr val="bg1"/>
              </a:bgClr>
            </a:pattFill>
            <a:ln>
              <a:solidFill>
                <a:schemeClr val="tx1"/>
              </a:solidFill>
            </a:ln>
            <a:effectLst/>
            <a:sp3d>
              <a:contourClr>
                <a:schemeClr val="tx1"/>
              </a:contourClr>
            </a:sp3d>
          </c:spPr>
          <c:invertIfNegative val="0"/>
          <c:cat>
            <c:strRef>
              <c:f>'[Rekap Evaluasi Be-Smart.xlsx]Grafik'!$A$47:$A$54</c:f>
              <c:strCache>
                <c:ptCount val="8"/>
                <c:pt idx="0">
                  <c:v>MN</c:v>
                </c:pt>
                <c:pt idx="1">
                  <c:v>SU</c:v>
                </c:pt>
                <c:pt idx="2">
                  <c:v>SP</c:v>
                </c:pt>
                <c:pt idx="3">
                  <c:v>IC</c:v>
                </c:pt>
                <c:pt idx="4">
                  <c:v>FR</c:v>
                </c:pt>
                <c:pt idx="5">
                  <c:v>AA</c:v>
                </c:pt>
                <c:pt idx="6">
                  <c:v>EC</c:v>
                </c:pt>
                <c:pt idx="7">
                  <c:v>AR</c:v>
                </c:pt>
              </c:strCache>
            </c:strRef>
          </c:cat>
          <c:val>
            <c:numRef>
              <c:f>'[Rekap Evaluasi Be-Smart.xlsx]Grafik'!$E$47:$E$54</c:f>
              <c:numCache>
                <c:formatCode>0.00</c:formatCode>
                <c:ptCount val="8"/>
                <c:pt idx="0">
                  <c:v>3.91</c:v>
                </c:pt>
                <c:pt idx="1">
                  <c:v>4.0999999999999996</c:v>
                </c:pt>
                <c:pt idx="2">
                  <c:v>4.1400000000000006</c:v>
                </c:pt>
                <c:pt idx="3">
                  <c:v>4.24</c:v>
                </c:pt>
                <c:pt idx="4">
                  <c:v>4.3899999999999997</c:v>
                </c:pt>
                <c:pt idx="5">
                  <c:v>4.5</c:v>
                </c:pt>
                <c:pt idx="6">
                  <c:v>4.4099999999999993</c:v>
                </c:pt>
                <c:pt idx="7">
                  <c:v>4.33</c:v>
                </c:pt>
              </c:numCache>
            </c:numRef>
          </c:val>
          <c:extLst>
            <c:ext xmlns:c16="http://schemas.microsoft.com/office/drawing/2014/chart" uri="{C3380CC4-5D6E-409C-BE32-E72D297353CC}">
              <c16:uniqueId val="{00000005-F82B-4062-BF29-37EBF9C535CB}"/>
            </c:ext>
          </c:extLst>
        </c:ser>
        <c:ser>
          <c:idx val="4"/>
          <c:order val="4"/>
          <c:tx>
            <c:strRef>
              <c:f>'[Rekap Evaluasi Be-Smart.xlsx]Grafik'!$F$46</c:f>
              <c:strCache>
                <c:ptCount val="1"/>
                <c:pt idx="0">
                  <c:v>Evaluasi</c:v>
                </c:pt>
              </c:strCache>
            </c:strRef>
          </c:tx>
          <c:spPr>
            <a:pattFill prst="shingle">
              <a:fgClr>
                <a:sysClr val="windowText" lastClr="000000"/>
              </a:fgClr>
              <a:bgClr>
                <a:schemeClr val="bg1"/>
              </a:bgClr>
            </a:pattFill>
            <a:ln w="3175">
              <a:solidFill>
                <a:schemeClr val="tx1"/>
              </a:solidFill>
            </a:ln>
            <a:effectLst/>
            <a:sp3d contourW="3175">
              <a:contourClr>
                <a:schemeClr val="tx1"/>
              </a:contourClr>
            </a:sp3d>
          </c:spPr>
          <c:invertIfNegative val="0"/>
          <c:cat>
            <c:strRef>
              <c:f>'[Rekap Evaluasi Be-Smart.xlsx]Grafik'!$A$47:$A$54</c:f>
              <c:strCache>
                <c:ptCount val="8"/>
                <c:pt idx="0">
                  <c:v>MN</c:v>
                </c:pt>
                <c:pt idx="1">
                  <c:v>SU</c:v>
                </c:pt>
                <c:pt idx="2">
                  <c:v>SP</c:v>
                </c:pt>
                <c:pt idx="3">
                  <c:v>IC</c:v>
                </c:pt>
                <c:pt idx="4">
                  <c:v>FR</c:v>
                </c:pt>
                <c:pt idx="5">
                  <c:v>AA</c:v>
                </c:pt>
                <c:pt idx="6">
                  <c:v>EC</c:v>
                </c:pt>
                <c:pt idx="7">
                  <c:v>AR</c:v>
                </c:pt>
              </c:strCache>
            </c:strRef>
          </c:cat>
          <c:val>
            <c:numRef>
              <c:f>'[Rekap Evaluasi Be-Smart.xlsx]Grafik'!$F$47:$F$54</c:f>
              <c:numCache>
                <c:formatCode>0.00</c:formatCode>
                <c:ptCount val="8"/>
                <c:pt idx="0">
                  <c:v>3.9111111111111114</c:v>
                </c:pt>
                <c:pt idx="1">
                  <c:v>4.0444444444444443</c:v>
                </c:pt>
                <c:pt idx="2">
                  <c:v>4.0888888888888886</c:v>
                </c:pt>
                <c:pt idx="3">
                  <c:v>4.2444444444444436</c:v>
                </c:pt>
                <c:pt idx="4">
                  <c:v>4.322222222222222</c:v>
                </c:pt>
                <c:pt idx="5">
                  <c:v>4.344444444444445</c:v>
                </c:pt>
                <c:pt idx="6">
                  <c:v>4.3444444444444441</c:v>
                </c:pt>
                <c:pt idx="7">
                  <c:v>4.2888888888888888</c:v>
                </c:pt>
              </c:numCache>
            </c:numRef>
          </c:val>
          <c:extLst>
            <c:ext xmlns:c16="http://schemas.microsoft.com/office/drawing/2014/chart" uri="{C3380CC4-5D6E-409C-BE32-E72D297353CC}">
              <c16:uniqueId val="{00000006-F82B-4062-BF29-37EBF9C535CB}"/>
            </c:ext>
          </c:extLst>
        </c:ser>
        <c:dLbls>
          <c:showLegendKey val="0"/>
          <c:showVal val="0"/>
          <c:showCatName val="0"/>
          <c:showSerName val="0"/>
          <c:showPercent val="0"/>
          <c:showBubbleSize val="0"/>
        </c:dLbls>
        <c:gapWidth val="150"/>
        <c:shape val="box"/>
        <c:axId val="126869504"/>
        <c:axId val="126871040"/>
        <c:axId val="0"/>
      </c:bar3DChart>
      <c:catAx>
        <c:axId val="1268695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871040"/>
        <c:crosses val="autoZero"/>
        <c:auto val="1"/>
        <c:lblAlgn val="ctr"/>
        <c:lblOffset val="100"/>
        <c:noMultiLvlLbl val="0"/>
      </c:catAx>
      <c:valAx>
        <c:axId val="126871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686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2</TotalTime>
  <Pages>9</Pages>
  <Words>11258</Words>
  <Characters>64175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75283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ambar firdausa</cp:lastModifiedBy>
  <cp:revision>4</cp:revision>
  <cp:lastPrinted>2021-10-03T14:57:00Z</cp:lastPrinted>
  <dcterms:created xsi:type="dcterms:W3CDTF">2021-10-03T14:55:00Z</dcterms:created>
  <dcterms:modified xsi:type="dcterms:W3CDTF">2021-10-03T14:57:00Z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485da66d-761b-314d-8d24-3845e9c2705a</vt:lpwstr>
  </property>
  <property fmtid="{D5CDD505-2E9C-101B-9397-08002B2CF9AE}" pid="25" name="Mendeley Citation Style_1">
    <vt:lpwstr>http://www.zotero.org/styles/american-medical-association</vt:lpwstr>
  </property>
</Properties>
</file>