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15EA" w14:textId="62792E8F" w:rsidR="0016385D" w:rsidRPr="00075EA6" w:rsidRDefault="00EC6453" w:rsidP="00090674">
      <w:pPr>
        <w:pStyle w:val="PaperTitle"/>
        <w:rPr>
          <w:b w:val="0"/>
          <w:bCs/>
          <w:sz w:val="24"/>
          <w:szCs w:val="24"/>
        </w:rPr>
      </w:pPr>
      <w:r w:rsidRPr="00EC6453">
        <w:t xml:space="preserve">Product development of gluten-free dried noodle from composite flour of germinated organic </w:t>
      </w:r>
      <w:r w:rsidR="00A94CB1">
        <w:t xml:space="preserve">brown </w:t>
      </w:r>
      <w:r w:rsidRPr="00EC6453">
        <w:t xml:space="preserve">rice, Vigna radiata, Sago and tapioca flour </w:t>
      </w:r>
      <w:r w:rsidR="00A90413" w:rsidRPr="00075EA6">
        <w:br/>
      </w:r>
    </w:p>
    <w:p w14:paraId="548D96A3" w14:textId="60715A04" w:rsidR="00C14B14" w:rsidRDefault="00EC6453" w:rsidP="2F830975">
      <w:pPr>
        <w:pStyle w:val="AuthorName"/>
        <w:rPr>
          <w:sz w:val="20"/>
          <w:lang w:val="en-GB" w:eastAsia="en-GB"/>
        </w:rPr>
      </w:pPr>
      <w:r>
        <w:t>Mutiara Nugraheni</w:t>
      </w:r>
      <w:r w:rsidR="00EF6940" w:rsidRPr="2F830975">
        <w:rPr>
          <w:vertAlign w:val="superscript"/>
        </w:rPr>
        <w:t>1</w:t>
      </w:r>
      <w:r w:rsidR="00552126">
        <w:rPr>
          <w:vertAlign w:val="superscript"/>
        </w:rPr>
        <w:t>,a</w:t>
      </w:r>
      <w:r w:rsidR="0016385D">
        <w:t xml:space="preserve"> </w:t>
      </w:r>
      <w:r>
        <w:t>, Windarwati</w:t>
      </w:r>
      <w:r w:rsidRPr="00EC6453">
        <w:rPr>
          <w:vertAlign w:val="superscript"/>
        </w:rPr>
        <w:t>2</w:t>
      </w:r>
      <w:r w:rsidR="00552126">
        <w:rPr>
          <w:vertAlign w:val="superscript"/>
        </w:rPr>
        <w:t>,b</w:t>
      </w:r>
      <w:r>
        <w:t xml:space="preserve"> </w:t>
      </w:r>
      <w:r w:rsidR="0016385D">
        <w:t xml:space="preserve">and </w:t>
      </w:r>
      <w:r>
        <w:t>Sri Palupi</w:t>
      </w:r>
      <w:r w:rsidR="00DE6A6A">
        <w:rPr>
          <w:vertAlign w:val="superscript"/>
        </w:rPr>
        <w:t>1</w:t>
      </w:r>
      <w:r w:rsidR="00552126">
        <w:rPr>
          <w:vertAlign w:val="superscript"/>
        </w:rPr>
        <w:t>,c</w:t>
      </w:r>
      <w:r w:rsidR="0016385D">
        <w:br/>
      </w:r>
    </w:p>
    <w:p w14:paraId="5CFA9C09" w14:textId="721457CB" w:rsidR="00C14B14" w:rsidRDefault="00027428" w:rsidP="00C14B14">
      <w:pPr>
        <w:pStyle w:val="AuthorAffiliation"/>
      </w:pPr>
      <w:r w:rsidRPr="00075EA6">
        <w:rPr>
          <w:i w:val="0"/>
          <w:iCs/>
          <w:vertAlign w:val="superscript"/>
        </w:rPr>
        <w:t>1</w:t>
      </w:r>
      <w:r w:rsidR="00DE6A6A">
        <w:t>Culinary art Education, Universitas Negeri Yogyakarta, Indoneisa</w:t>
      </w:r>
      <w:r w:rsidR="0016385D" w:rsidRPr="00075EA6">
        <w:t xml:space="preserve">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5EEAF674" w:rsidR="00C14B14" w:rsidRPr="00075EA6" w:rsidRDefault="0016782F" w:rsidP="00C14B14">
      <w:pPr>
        <w:pStyle w:val="AuthorAffiliation"/>
      </w:pPr>
      <w:r w:rsidRPr="00075EA6">
        <w:t xml:space="preserve"> </w:t>
      </w:r>
      <w:r w:rsidR="00C14B14" w:rsidRPr="00075EA6">
        <w:rPr>
          <w:i w:val="0"/>
          <w:iCs/>
          <w:vertAlign w:val="superscript"/>
        </w:rPr>
        <w:t>2</w:t>
      </w:r>
      <w:r w:rsidR="00DE6A6A">
        <w:t>Medical Faculty, Universitas Gadjah Mada, Indonesia</w:t>
      </w:r>
      <w:r w:rsidR="00C14B14" w:rsidRPr="00075EA6">
        <w:t xml:space="preserve"> </w:t>
      </w:r>
      <w:r w:rsidR="00C14B14" w:rsidRPr="00075EA6">
        <w:br/>
      </w:r>
    </w:p>
    <w:p w14:paraId="04AB18D6" w14:textId="656DAE55" w:rsidR="00552126" w:rsidRDefault="00C14B14" w:rsidP="00E76112">
      <w:pPr>
        <w:pStyle w:val="AuthorAffiliation"/>
      </w:pPr>
      <w:r w:rsidRPr="00075EA6">
        <w:br/>
      </w:r>
      <w:r w:rsidR="00003D7C" w:rsidRPr="00075EA6">
        <w:rPr>
          <w:szCs w:val="28"/>
          <w:vertAlign w:val="superscript"/>
        </w:rPr>
        <w:t>a)</w:t>
      </w:r>
      <w:r w:rsidR="00003D7C" w:rsidRPr="00075EA6">
        <w:t xml:space="preserve"> Corresponding</w:t>
      </w:r>
      <w:r w:rsidR="004E3CB2" w:rsidRPr="00075EA6">
        <w:t xml:space="preserve"> author: </w:t>
      </w:r>
      <w:hyperlink r:id="rId9" w:history="1">
        <w:r w:rsidR="00552126" w:rsidRPr="005B1321">
          <w:rPr>
            <w:rStyle w:val="Hyperlink"/>
          </w:rPr>
          <w:t>mutiara_nugraheni@uny.ac.id</w:t>
        </w:r>
      </w:hyperlink>
    </w:p>
    <w:p w14:paraId="78B8AC0D" w14:textId="0C59667C" w:rsidR="00552126" w:rsidRDefault="003A5C85">
      <w:pPr>
        <w:pStyle w:val="AuthorEmail"/>
      </w:pPr>
      <w:r w:rsidRPr="00075EA6">
        <w:rPr>
          <w:szCs w:val="28"/>
          <w:vertAlign w:val="superscript"/>
        </w:rPr>
        <w:t>b)</w:t>
      </w:r>
      <w:hyperlink r:id="rId10" w:history="1">
        <w:r w:rsidR="00552126" w:rsidRPr="005B1321">
          <w:rPr>
            <w:rStyle w:val="Hyperlink"/>
          </w:rPr>
          <w:t>windarwati@gmail.com</w:t>
        </w:r>
      </w:hyperlink>
    </w:p>
    <w:p w14:paraId="340CFFB9" w14:textId="07BC8AC1" w:rsidR="00552126" w:rsidRDefault="00552126" w:rsidP="00552126">
      <w:pPr>
        <w:pStyle w:val="AuthorEmail"/>
      </w:pPr>
      <w:r>
        <w:rPr>
          <w:szCs w:val="28"/>
          <w:vertAlign w:val="superscript"/>
        </w:rPr>
        <w:t>c</w:t>
      </w:r>
      <w:r w:rsidRPr="00075EA6">
        <w:rPr>
          <w:szCs w:val="28"/>
          <w:vertAlign w:val="superscript"/>
        </w:rPr>
        <w:t>)</w:t>
      </w:r>
      <w:hyperlink r:id="rId11" w:history="1">
        <w:r w:rsidRPr="005B1321">
          <w:rPr>
            <w:rStyle w:val="Hyperlink"/>
          </w:rPr>
          <w:t>sripalupi@uny.ac.id</w:t>
        </w:r>
      </w:hyperlink>
    </w:p>
    <w:p w14:paraId="5CBD6B80" w14:textId="77777777" w:rsidR="00552126" w:rsidRDefault="00552126">
      <w:pPr>
        <w:pStyle w:val="AuthorEmail"/>
      </w:pPr>
    </w:p>
    <w:p w14:paraId="5E05E235" w14:textId="4970FDA1" w:rsidR="003A5C85" w:rsidRPr="00075EA6" w:rsidRDefault="003A5C85">
      <w:pPr>
        <w:pStyle w:val="AuthorEmail"/>
      </w:pPr>
    </w:p>
    <w:p w14:paraId="07FA6337" w14:textId="3CCD591C" w:rsidR="005B50BD" w:rsidRDefault="0016385D" w:rsidP="00A07525">
      <w:pPr>
        <w:pStyle w:val="Abstract"/>
      </w:pPr>
      <w:r w:rsidRPr="00075EA6">
        <w:rPr>
          <w:b/>
          <w:bCs/>
        </w:rPr>
        <w:t>Abstract.</w:t>
      </w:r>
      <w:r w:rsidRPr="00075EA6">
        <w:t xml:space="preserve"> </w:t>
      </w:r>
      <w:r w:rsidR="006C5D8F" w:rsidRPr="006C5D8F">
        <w:t xml:space="preserve">The purpose of this study is to determine the chemical composition, color, and acceptance of gluten-free </w:t>
      </w:r>
      <w:r w:rsidR="00A94CB1">
        <w:t xml:space="preserve">dried </w:t>
      </w:r>
      <w:r w:rsidR="006C5D8F" w:rsidRPr="006C5D8F">
        <w:t xml:space="preserve">brown rice noodles among panelists. Water, ash, protein, fat, carbs, soluble dietary fiber, and insoluble dietary fiber were all tested for chemical composition. A tristimulus photoelectric colorimeter was used to assess color. The acceptance of panelists was assessed. Color, scent, taste, texture, and overall were evaluated by 50 untrained panelists on a scale of 1-9 for many sensory qualities. Gluten-free </w:t>
      </w:r>
      <w:r w:rsidR="00A94CB1">
        <w:t xml:space="preserve">dried </w:t>
      </w:r>
      <w:r w:rsidR="006C5D8F" w:rsidRPr="006C5D8F">
        <w:t>brown rice noodles had higher protein, fiber, and resistant starch content than commercial white rice noodles, according to the findings (control). The color test revealed that the higher the proportion of brown rice, the lower the brightness level. The brown rice noodle formulation I</w:t>
      </w:r>
      <w:r w:rsidR="00A94CB1">
        <w:t>,</w:t>
      </w:r>
      <w:r w:rsidR="006C5D8F" w:rsidRPr="006C5D8F">
        <w:t xml:space="preserve"> received the best response from the panelists based on sensory analysis. Brown rice noodles outperform commercial white rice noodles (control) in terms of protein content (6.59±0.16) and fiber (6.17±0.01). 6.72±0.03 for starch resistance and 0.17±0.02 for low fat. Based on the findings of this study, gluten-free brown rice noodles may be an alternative functional carbohydrate source.</w:t>
      </w:r>
    </w:p>
    <w:p w14:paraId="22C3F2A8" w14:textId="26C0E084" w:rsidR="00A07525" w:rsidRPr="00075EA6" w:rsidRDefault="005B50BD" w:rsidP="00A07525">
      <w:pPr>
        <w:pStyle w:val="Abstract"/>
      </w:pPr>
      <w:r>
        <w:rPr>
          <w:b/>
          <w:bCs/>
        </w:rPr>
        <w:t>Keywords:</w:t>
      </w:r>
      <w:r>
        <w:t xml:space="preserve"> </w:t>
      </w:r>
      <w:r w:rsidRPr="005B50BD">
        <w:t>noodle, germinated, mentik, rice</w:t>
      </w:r>
      <w:r w:rsidR="00A07525" w:rsidRPr="00075EA6">
        <w:t xml:space="preserve"> </w:t>
      </w:r>
    </w:p>
    <w:p w14:paraId="548015C2" w14:textId="77777777" w:rsidR="005B50BD" w:rsidRDefault="005B50BD" w:rsidP="00003D7C">
      <w:pPr>
        <w:pStyle w:val="Heading1"/>
      </w:pPr>
      <w:r>
        <w:t>INTRODUCTION</w:t>
      </w:r>
    </w:p>
    <w:p w14:paraId="21820C48" w14:textId="77777777" w:rsidR="006C5D8F" w:rsidRDefault="006C5D8F" w:rsidP="006C5D8F">
      <w:pPr>
        <w:pStyle w:val="Paragraph"/>
      </w:pPr>
      <w:r>
        <w:t>Organic pigmented rice (organic brown rice) is one of Indonesia's local potentials with bioactive compounds, fiber, and antioxidant properties. The disadvantage is that it contains phytic acid, which reduces the bioavailability of certain minerals [1]. As a result, the germinating process is required to reduce the level of phytic acid. Green beans have the advantage of being high in amylose, protein, fiber, and bioactive compounds. The disadvantages are anti-nutritional compounds and the off-flavor. The germination process can help to mitigate this weakness.</w:t>
      </w:r>
    </w:p>
    <w:p w14:paraId="151DE327" w14:textId="77777777" w:rsidR="006C5D8F" w:rsidRDefault="006C5D8F" w:rsidP="006C5D8F">
      <w:pPr>
        <w:pStyle w:val="Paragraph"/>
      </w:pPr>
      <w:r>
        <w:t xml:space="preserve">The presence of celiac disease, gluten allergy, non-celiac sensitivity, and the advancement of science and food consumption trends that eliminate allergenic proteins contribute to the growing demand for non-gluten products with functional properties for the body. Opportunities for functional food development should consider their popularity as well as their impact on health. The development of noodles as a functional food is based on the popularity of everyone, and noodle consumption in Indonesia is ranked second in the world. </w:t>
      </w:r>
    </w:p>
    <w:p w14:paraId="32BD8F2F" w14:textId="38B6ED96" w:rsidR="006C5D8F" w:rsidRDefault="006C5D8F" w:rsidP="006C5D8F">
      <w:pPr>
        <w:pStyle w:val="Paragraph"/>
      </w:pPr>
      <w:r>
        <w:lastRenderedPageBreak/>
        <w:t>Consuming functional and healthy foods raises awareness of their ability to prevent disease.</w:t>
      </w:r>
      <w:r w:rsidR="00A94CB1">
        <w:t xml:space="preserve"> </w:t>
      </w:r>
      <w:r>
        <w:t>The precision of the formulation of gluten-free organic brown rice noodles as a functional food can result in products rich in dietary fiber, resistant starch, and protein. This is a method for lowering the risk of degenerative diseases / comorbid covid-19 [2], [3]. The strategy for meeting the gluten-free rice noodles set specifications is to modify its constituent ingredients, specifically germination (organic brown rice and Mung bean/Vigna radiata).</w:t>
      </w:r>
    </w:p>
    <w:p w14:paraId="2D2AD584" w14:textId="77777777" w:rsidR="006C5D8F" w:rsidRDefault="006C5D8F" w:rsidP="006C5D8F">
      <w:pPr>
        <w:pStyle w:val="Paragraph"/>
      </w:pPr>
    </w:p>
    <w:p w14:paraId="5AA5E6F1" w14:textId="4EA89919" w:rsidR="005B50BD" w:rsidRDefault="006C5D8F" w:rsidP="006C5D8F">
      <w:pPr>
        <w:pStyle w:val="Paragraph"/>
      </w:pPr>
      <w:r>
        <w:t>The germination process on rice, for example, organic milk, can lower phytic acid levels, increase bioactive compounds [4], [5], increase antioxidant activity [6], anti-diabetic [7], anti-hypercholesterolemia [8], reduce the risk of cancer [9], and boost immunity [10]. The goal of developing gluten-free organic brown rice noodles is to create rice noodles appealing to consumers and have fiber and resistant starch benefits.</w:t>
      </w:r>
    </w:p>
    <w:p w14:paraId="5A2E429A" w14:textId="77777777" w:rsidR="00E76112" w:rsidRDefault="003D01D2" w:rsidP="00E76112">
      <w:pPr>
        <w:pStyle w:val="Heading2"/>
      </w:pPr>
      <w:r w:rsidRPr="003D01D2">
        <w:t>M</w:t>
      </w:r>
      <w:r>
        <w:t>ATERIALS AND METHODS</w:t>
      </w:r>
    </w:p>
    <w:p w14:paraId="6F83636A" w14:textId="6420D23C" w:rsidR="003D01D2" w:rsidRPr="00E76112" w:rsidRDefault="003D01D2" w:rsidP="00E76112">
      <w:pPr>
        <w:pStyle w:val="Heading2"/>
        <w:rPr>
          <w:bCs/>
        </w:rPr>
      </w:pPr>
      <w:r w:rsidRPr="00E76112">
        <w:rPr>
          <w:bCs/>
          <w:sz w:val="20"/>
        </w:rPr>
        <w:t xml:space="preserve">The germinated of mung bean and mentik rice organik </w:t>
      </w:r>
    </w:p>
    <w:p w14:paraId="1E89D85D" w14:textId="38E3C338" w:rsidR="003D01D2" w:rsidRPr="003D01D2" w:rsidRDefault="006C5D8F" w:rsidP="003D01D2">
      <w:pPr>
        <w:pStyle w:val="Heading2"/>
        <w:jc w:val="both"/>
        <w:rPr>
          <w:b w:val="0"/>
          <w:sz w:val="20"/>
        </w:rPr>
      </w:pPr>
      <w:r w:rsidRPr="006C5D8F">
        <w:rPr>
          <w:b w:val="0"/>
          <w:sz w:val="20"/>
        </w:rPr>
        <w:t xml:space="preserve">The germination process of Mung bean/Vigna radiata and brown rice takes 36 hours. Mung bean/Vigna radiata seeds and milk-stick rice were washed and soaked for 12 hours at room temperature. Excess water was removed, and the seeds of Mung bean/Vigna radiata and rice stick milk were planted in their place. Cover with a cloth and place in a dark place. Flowing water keeps Mung bean/Vigna radiata and brown rice moist every 12 hours. The germination process was terminated after 36 hours [11], [12]. Mung bean/Vigna radiata and brown rice sprouts are dried for 24 hours in drier cabinets at 50oC. Tyler's sieve mesh 80 is then used to grind and sift the process. </w:t>
      </w:r>
    </w:p>
    <w:p w14:paraId="51A5489C" w14:textId="01CCB73E" w:rsidR="003D01D2" w:rsidRPr="00E76112" w:rsidRDefault="003D01D2" w:rsidP="00E76112">
      <w:pPr>
        <w:pStyle w:val="Heading2"/>
        <w:rPr>
          <w:bCs/>
          <w:sz w:val="20"/>
        </w:rPr>
      </w:pPr>
      <w:r w:rsidRPr="00E76112">
        <w:rPr>
          <w:bCs/>
          <w:sz w:val="20"/>
        </w:rPr>
        <w:t xml:space="preserve">Formulation of gluten-free </w:t>
      </w:r>
      <w:r w:rsidR="00F05ECB">
        <w:rPr>
          <w:bCs/>
          <w:sz w:val="20"/>
        </w:rPr>
        <w:t>brown</w:t>
      </w:r>
      <w:r w:rsidRPr="00E76112">
        <w:rPr>
          <w:bCs/>
          <w:sz w:val="20"/>
        </w:rPr>
        <w:t xml:space="preserve"> rice organic noodle</w:t>
      </w:r>
    </w:p>
    <w:p w14:paraId="4CDF7265" w14:textId="32FCE369" w:rsidR="003D01D2" w:rsidRPr="003D01D2" w:rsidRDefault="003D01D2" w:rsidP="003D01D2">
      <w:pPr>
        <w:pStyle w:val="Heading2"/>
        <w:jc w:val="both"/>
        <w:rPr>
          <w:b w:val="0"/>
          <w:sz w:val="20"/>
        </w:rPr>
      </w:pPr>
      <w:r w:rsidRPr="003D01D2">
        <w:rPr>
          <w:b w:val="0"/>
          <w:sz w:val="20"/>
        </w:rPr>
        <w:t>The formulation</w:t>
      </w:r>
      <w:r w:rsidR="001832F3">
        <w:rPr>
          <w:b w:val="0"/>
          <w:sz w:val="20"/>
        </w:rPr>
        <w:t>s</w:t>
      </w:r>
      <w:r w:rsidRPr="003D01D2">
        <w:rPr>
          <w:b w:val="0"/>
          <w:sz w:val="20"/>
        </w:rPr>
        <w:t xml:space="preserve"> of gluten-free </w:t>
      </w:r>
      <w:r w:rsidR="001832F3">
        <w:rPr>
          <w:b w:val="0"/>
          <w:sz w:val="20"/>
        </w:rPr>
        <w:t xml:space="preserve">dried </w:t>
      </w:r>
      <w:r w:rsidR="00A94CB1">
        <w:rPr>
          <w:b w:val="0"/>
          <w:sz w:val="20"/>
        </w:rPr>
        <w:t xml:space="preserve">brown </w:t>
      </w:r>
      <w:r w:rsidRPr="003D01D2">
        <w:rPr>
          <w:b w:val="0"/>
          <w:sz w:val="20"/>
        </w:rPr>
        <w:t xml:space="preserve">rice </w:t>
      </w:r>
      <w:r w:rsidR="00A94CB1">
        <w:rPr>
          <w:b w:val="0"/>
          <w:sz w:val="20"/>
        </w:rPr>
        <w:t xml:space="preserve">noodles </w:t>
      </w:r>
      <w:r w:rsidR="001832F3">
        <w:rPr>
          <w:b w:val="0"/>
          <w:sz w:val="20"/>
        </w:rPr>
        <w:t>were germinated organic</w:t>
      </w:r>
      <w:r w:rsidR="00A94CB1">
        <w:rPr>
          <w:b w:val="0"/>
          <w:sz w:val="20"/>
        </w:rPr>
        <w:t xml:space="preserve"> brown</w:t>
      </w:r>
      <w:r w:rsidRPr="003D01D2">
        <w:rPr>
          <w:b w:val="0"/>
          <w:sz w:val="20"/>
        </w:rPr>
        <w:t xml:space="preserve"> rice flour (5</w:t>
      </w:r>
      <w:r w:rsidR="002318D1">
        <w:rPr>
          <w:b w:val="0"/>
          <w:sz w:val="20"/>
        </w:rPr>
        <w:t>5</w:t>
      </w:r>
      <w:r w:rsidRPr="003D01D2">
        <w:rPr>
          <w:b w:val="0"/>
          <w:sz w:val="20"/>
        </w:rPr>
        <w:t>%, 6</w:t>
      </w:r>
      <w:r w:rsidR="002318D1">
        <w:rPr>
          <w:b w:val="0"/>
          <w:sz w:val="20"/>
        </w:rPr>
        <w:t>0</w:t>
      </w:r>
      <w:r w:rsidRPr="003D01D2">
        <w:rPr>
          <w:b w:val="0"/>
          <w:sz w:val="20"/>
        </w:rPr>
        <w:t xml:space="preserve">%, </w:t>
      </w:r>
      <w:r w:rsidR="002318D1">
        <w:rPr>
          <w:b w:val="0"/>
          <w:sz w:val="20"/>
        </w:rPr>
        <w:t>65</w:t>
      </w:r>
      <w:r w:rsidRPr="003D01D2">
        <w:rPr>
          <w:b w:val="0"/>
          <w:sz w:val="20"/>
        </w:rPr>
        <w:t>%), tapioca flour (2</w:t>
      </w:r>
      <w:r w:rsidR="006418BF">
        <w:rPr>
          <w:b w:val="0"/>
          <w:sz w:val="20"/>
        </w:rPr>
        <w:t>5, 22.50, 20</w:t>
      </w:r>
      <w:r w:rsidRPr="003D01D2">
        <w:rPr>
          <w:b w:val="0"/>
          <w:sz w:val="20"/>
        </w:rPr>
        <w:t>%</w:t>
      </w:r>
      <w:r w:rsidR="00D4766A">
        <w:rPr>
          <w:b w:val="0"/>
          <w:sz w:val="20"/>
        </w:rPr>
        <w:t xml:space="preserve">, </w:t>
      </w:r>
      <w:r w:rsidRPr="003D01D2">
        <w:rPr>
          <w:b w:val="0"/>
          <w:sz w:val="20"/>
        </w:rPr>
        <w:t>), Sag</w:t>
      </w:r>
      <w:r w:rsidR="001832F3">
        <w:rPr>
          <w:b w:val="0"/>
          <w:sz w:val="20"/>
        </w:rPr>
        <w:t>o starch</w:t>
      </w:r>
      <w:r w:rsidRPr="003D01D2">
        <w:rPr>
          <w:b w:val="0"/>
          <w:sz w:val="20"/>
        </w:rPr>
        <w:t xml:space="preserve"> (</w:t>
      </w:r>
      <w:r w:rsidR="006418BF">
        <w:rPr>
          <w:b w:val="0"/>
          <w:sz w:val="20"/>
        </w:rPr>
        <w:t>15, 12.50,</w:t>
      </w:r>
      <w:r w:rsidR="002318D1">
        <w:rPr>
          <w:b w:val="0"/>
          <w:sz w:val="20"/>
        </w:rPr>
        <w:t>10</w:t>
      </w:r>
      <w:r w:rsidRPr="003D01D2">
        <w:rPr>
          <w:b w:val="0"/>
          <w:sz w:val="20"/>
        </w:rPr>
        <w:t xml:space="preserve">%), </w:t>
      </w:r>
      <w:r w:rsidR="001832F3">
        <w:rPr>
          <w:b w:val="0"/>
          <w:sz w:val="20"/>
        </w:rPr>
        <w:t xml:space="preserve">germinated Vigna radiata </w:t>
      </w:r>
      <w:r w:rsidRPr="003D01D2">
        <w:rPr>
          <w:b w:val="0"/>
          <w:sz w:val="20"/>
        </w:rPr>
        <w:t>flour (5%). The first process of making rice noodles</w:t>
      </w:r>
      <w:r w:rsidR="00A94CB1">
        <w:rPr>
          <w:b w:val="0"/>
          <w:sz w:val="20"/>
        </w:rPr>
        <w:t xml:space="preserve"> was</w:t>
      </w:r>
      <w:r w:rsidRPr="003D01D2">
        <w:rPr>
          <w:b w:val="0"/>
          <w:sz w:val="20"/>
        </w:rPr>
        <w:t xml:space="preserve"> the process of gelatinization of tapioca flour. The ratio of tapioca flour and water is 3:2 (b/v). Tapioca flour is added water then heated to form a transparent gel.</w:t>
      </w:r>
      <w:r w:rsidR="001832F3">
        <w:rPr>
          <w:b w:val="0"/>
          <w:sz w:val="20"/>
        </w:rPr>
        <w:t xml:space="preserve"> The composite flour </w:t>
      </w:r>
      <w:r w:rsidR="001832F3" w:rsidRPr="003D01D2">
        <w:rPr>
          <w:b w:val="0"/>
          <w:sz w:val="20"/>
        </w:rPr>
        <w:t>(</w:t>
      </w:r>
      <w:r w:rsidR="001832F3">
        <w:rPr>
          <w:b w:val="0"/>
          <w:sz w:val="20"/>
        </w:rPr>
        <w:t xml:space="preserve">organic </w:t>
      </w:r>
      <w:r w:rsidR="00A94CB1">
        <w:rPr>
          <w:b w:val="0"/>
          <w:sz w:val="20"/>
        </w:rPr>
        <w:t>brown ric</w:t>
      </w:r>
      <w:r w:rsidR="001832F3" w:rsidRPr="003D01D2">
        <w:rPr>
          <w:b w:val="0"/>
          <w:sz w:val="20"/>
        </w:rPr>
        <w:t xml:space="preserve">e flour, </w:t>
      </w:r>
      <w:r w:rsidR="001832F3">
        <w:rPr>
          <w:b w:val="0"/>
          <w:sz w:val="20"/>
        </w:rPr>
        <w:t xml:space="preserve">sago starch </w:t>
      </w:r>
      <w:r w:rsidR="001832F3" w:rsidRPr="003D01D2">
        <w:rPr>
          <w:b w:val="0"/>
          <w:sz w:val="20"/>
        </w:rPr>
        <w:t xml:space="preserve">and </w:t>
      </w:r>
      <w:r w:rsidR="001832F3">
        <w:rPr>
          <w:b w:val="0"/>
          <w:sz w:val="20"/>
        </w:rPr>
        <w:t xml:space="preserve">germinated Vigna radiata </w:t>
      </w:r>
      <w:r w:rsidR="001832F3" w:rsidRPr="003D01D2">
        <w:rPr>
          <w:b w:val="0"/>
          <w:sz w:val="20"/>
        </w:rPr>
        <w:t>flour)</w:t>
      </w:r>
      <w:r w:rsidR="001832F3">
        <w:rPr>
          <w:b w:val="0"/>
          <w:sz w:val="20"/>
        </w:rPr>
        <w:t xml:space="preserve"> was steamed for 30 min, and the mixed with the t</w:t>
      </w:r>
      <w:r w:rsidRPr="003D01D2">
        <w:rPr>
          <w:b w:val="0"/>
          <w:sz w:val="20"/>
        </w:rPr>
        <w:t>ap</w:t>
      </w:r>
      <w:r w:rsidR="001832F3">
        <w:rPr>
          <w:b w:val="0"/>
          <w:sz w:val="20"/>
        </w:rPr>
        <w:t>i</w:t>
      </w:r>
      <w:r w:rsidRPr="003D01D2">
        <w:rPr>
          <w:b w:val="0"/>
          <w:sz w:val="20"/>
        </w:rPr>
        <w:t>o</w:t>
      </w:r>
      <w:r w:rsidR="001832F3">
        <w:rPr>
          <w:b w:val="0"/>
          <w:sz w:val="20"/>
        </w:rPr>
        <w:t>c</w:t>
      </w:r>
      <w:r w:rsidRPr="003D01D2">
        <w:rPr>
          <w:b w:val="0"/>
          <w:sz w:val="20"/>
        </w:rPr>
        <w:t>a flour gel, until dough is formed. The formed dough is passed on the roller noodle maker so that it is in the form of a sheet. The sheet is cut to a certain shape and size, then steamed for 50 minutes until all parts of the noodles are gelatinized. The noodles obtained are winded, then dried with a drier cabinet 6 hours. Noodles are packed in plastic until further analysis.</w:t>
      </w:r>
    </w:p>
    <w:p w14:paraId="7E004D8C" w14:textId="760FB862" w:rsidR="003D01D2" w:rsidRPr="00E76112" w:rsidRDefault="003D01D2" w:rsidP="00E76112">
      <w:pPr>
        <w:pStyle w:val="Heading2"/>
        <w:rPr>
          <w:bCs/>
          <w:sz w:val="20"/>
        </w:rPr>
      </w:pPr>
      <w:r w:rsidRPr="00E76112">
        <w:rPr>
          <w:bCs/>
          <w:sz w:val="20"/>
        </w:rPr>
        <w:t>Chemical composition analysis</w:t>
      </w:r>
    </w:p>
    <w:p w14:paraId="6CABEB25" w14:textId="79AD7203" w:rsidR="003D01D2" w:rsidRPr="003D01D2" w:rsidRDefault="006C5D8F" w:rsidP="003D01D2">
      <w:pPr>
        <w:pStyle w:val="Heading2"/>
        <w:jc w:val="both"/>
        <w:rPr>
          <w:b w:val="0"/>
          <w:sz w:val="20"/>
        </w:rPr>
      </w:pPr>
      <w:r w:rsidRPr="006C5D8F">
        <w:rPr>
          <w:b w:val="0"/>
          <w:sz w:val="20"/>
        </w:rPr>
        <w:t>The chemical composition analysis included the moisture content, ash content, fat, protein, and dietary fiber and was carried out by AOAC guidelines</w:t>
      </w:r>
      <w:r>
        <w:rPr>
          <w:b w:val="0"/>
          <w:sz w:val="20"/>
        </w:rPr>
        <w:t>,</w:t>
      </w:r>
      <w:r w:rsidRPr="006C5D8F">
        <w:rPr>
          <w:b w:val="0"/>
          <w:sz w:val="20"/>
        </w:rPr>
        <w:t xml:space="preserve"> </w:t>
      </w:r>
      <w:r>
        <w:rPr>
          <w:b w:val="0"/>
          <w:sz w:val="20"/>
        </w:rPr>
        <w:t>d</w:t>
      </w:r>
      <w:r w:rsidRPr="006C5D8F">
        <w:rPr>
          <w:b w:val="0"/>
          <w:sz w:val="20"/>
        </w:rPr>
        <w:t>ifference determined the carbohydrate content. The method of resistant starch analysis was used. [13].</w:t>
      </w:r>
    </w:p>
    <w:p w14:paraId="413BC486" w14:textId="643AA0B9" w:rsidR="003D01D2" w:rsidRPr="00E76112" w:rsidRDefault="003D01D2" w:rsidP="00E76112">
      <w:pPr>
        <w:pStyle w:val="Heading2"/>
        <w:rPr>
          <w:bCs/>
          <w:sz w:val="20"/>
        </w:rPr>
      </w:pPr>
      <w:r w:rsidRPr="00E76112">
        <w:rPr>
          <w:bCs/>
          <w:sz w:val="20"/>
        </w:rPr>
        <w:t>Colors</w:t>
      </w:r>
      <w:r w:rsidR="00E76112" w:rsidRPr="00E76112">
        <w:rPr>
          <w:bCs/>
          <w:sz w:val="20"/>
        </w:rPr>
        <w:t xml:space="preserve"> Analysis</w:t>
      </w:r>
    </w:p>
    <w:p w14:paraId="2CEF17A8" w14:textId="067FD97E" w:rsidR="003D01D2" w:rsidRPr="003D01D2" w:rsidRDefault="001832F3" w:rsidP="003D01D2">
      <w:pPr>
        <w:pStyle w:val="Heading2"/>
        <w:jc w:val="both"/>
        <w:rPr>
          <w:b w:val="0"/>
          <w:sz w:val="20"/>
        </w:rPr>
      </w:pPr>
      <w:r>
        <w:rPr>
          <w:b w:val="0"/>
          <w:sz w:val="20"/>
        </w:rPr>
        <w:t>C</w:t>
      </w:r>
      <w:r w:rsidR="00A94CB1">
        <w:rPr>
          <w:b w:val="0"/>
          <w:sz w:val="20"/>
        </w:rPr>
        <w:t>o</w:t>
      </w:r>
      <w:r>
        <w:rPr>
          <w:b w:val="0"/>
          <w:sz w:val="20"/>
        </w:rPr>
        <w:t>lor analysis used</w:t>
      </w:r>
      <w:r w:rsidR="003D01D2" w:rsidRPr="003D01D2">
        <w:rPr>
          <w:b w:val="0"/>
          <w:sz w:val="20"/>
        </w:rPr>
        <w:t xml:space="preserve"> a tristimulus photoelectric colorimeter "Minolta" Chroma meter CR 400, with light source D, standard viewer 65º and light beam diameter of 8 mm.</w:t>
      </w:r>
      <w:r>
        <w:rPr>
          <w:b w:val="0"/>
          <w:sz w:val="20"/>
        </w:rPr>
        <w:t xml:space="preserve"> The result expressed as </w:t>
      </w:r>
      <w:r w:rsidR="003D01D2" w:rsidRPr="003D01D2">
        <w:rPr>
          <w:b w:val="0"/>
          <w:sz w:val="20"/>
        </w:rPr>
        <w:t>CIE Lab color L*a*b*. L stands for brightness, which changes from black (L**=0) to white (L=100). a**parameters are blue for negative, yellow for positive (variable in the range –60 b ≤ 60) and green if negative and red if positive (varying in the range –60 ≤ a* ≤60). Results are expressed as the mean of psychrometer light, L*, psychrometer tone, a*, and psychrometer chroma, b*.</w:t>
      </w:r>
    </w:p>
    <w:p w14:paraId="0E6BDE28" w14:textId="31C695DA" w:rsidR="003D01D2" w:rsidRPr="00E76112" w:rsidRDefault="003D01D2" w:rsidP="00E76112">
      <w:pPr>
        <w:pStyle w:val="Heading2"/>
        <w:rPr>
          <w:bCs/>
          <w:sz w:val="20"/>
        </w:rPr>
      </w:pPr>
      <w:r w:rsidRPr="00E76112">
        <w:rPr>
          <w:bCs/>
          <w:sz w:val="20"/>
        </w:rPr>
        <w:t>Sensory evaluation</w:t>
      </w:r>
    </w:p>
    <w:p w14:paraId="5B3662CC" w14:textId="55C3E388" w:rsidR="003D01D2" w:rsidRPr="003D01D2" w:rsidRDefault="001832F3" w:rsidP="003D01D2">
      <w:pPr>
        <w:pStyle w:val="Heading2"/>
        <w:jc w:val="both"/>
        <w:rPr>
          <w:b w:val="0"/>
          <w:sz w:val="20"/>
        </w:rPr>
      </w:pPr>
      <w:r>
        <w:rPr>
          <w:b w:val="0"/>
          <w:sz w:val="20"/>
        </w:rPr>
        <w:t xml:space="preserve">Gluten-free dried </w:t>
      </w:r>
      <w:r w:rsidR="00A94CB1">
        <w:rPr>
          <w:b w:val="0"/>
          <w:sz w:val="20"/>
        </w:rPr>
        <w:t xml:space="preserve">brown rice </w:t>
      </w:r>
      <w:r>
        <w:rPr>
          <w:b w:val="0"/>
          <w:sz w:val="20"/>
        </w:rPr>
        <w:t>noodles</w:t>
      </w:r>
      <w:r w:rsidR="003D01D2" w:rsidRPr="003D01D2">
        <w:rPr>
          <w:b w:val="0"/>
          <w:sz w:val="20"/>
        </w:rPr>
        <w:t xml:space="preserve"> were sensory evaluated by 50 untrained panelis. The </w:t>
      </w:r>
      <w:r>
        <w:rPr>
          <w:b w:val="0"/>
          <w:sz w:val="20"/>
        </w:rPr>
        <w:t>dried noodles were soaked</w:t>
      </w:r>
      <w:r w:rsidR="00A94CB1">
        <w:rPr>
          <w:b w:val="0"/>
          <w:sz w:val="20"/>
        </w:rPr>
        <w:t xml:space="preserve"> in boiled water</w:t>
      </w:r>
      <w:r w:rsidR="003D01D2" w:rsidRPr="003D01D2">
        <w:rPr>
          <w:b w:val="0"/>
          <w:sz w:val="20"/>
        </w:rPr>
        <w:t xml:space="preserve"> for </w:t>
      </w:r>
      <w:r w:rsidR="00A94CB1">
        <w:rPr>
          <w:b w:val="0"/>
          <w:sz w:val="20"/>
        </w:rPr>
        <w:t>20</w:t>
      </w:r>
      <w:r w:rsidR="003D01D2" w:rsidRPr="003D01D2">
        <w:rPr>
          <w:b w:val="0"/>
          <w:sz w:val="20"/>
        </w:rPr>
        <w:t xml:space="preserve"> minutes, then served to the panelists to be sensory evaluated e.g., color, aroma, taste, texture and overall reception. Each panelist prepared mineral water to neutralize the mouth before evaluating each sample. </w:t>
      </w:r>
      <w:r w:rsidR="003D01D2" w:rsidRPr="003D01D2">
        <w:rPr>
          <w:b w:val="0"/>
          <w:sz w:val="20"/>
        </w:rPr>
        <w:lastRenderedPageBreak/>
        <w:t>All evaluations are carried out at room temperature. The hedonic scale on a scale of 9 is used to determine the sensory response of panels at a significance level of 5%</w:t>
      </w:r>
      <w:r w:rsidR="00DC78F3">
        <w:rPr>
          <w:b w:val="0"/>
          <w:sz w:val="20"/>
        </w:rPr>
        <w:t xml:space="preserve"> </w:t>
      </w:r>
      <w:r w:rsidR="003D01D2" w:rsidRPr="003D01D2">
        <w:rPr>
          <w:b w:val="0"/>
          <w:sz w:val="20"/>
        </w:rPr>
        <w:t xml:space="preserve"> (p≤0.05).</w:t>
      </w:r>
    </w:p>
    <w:p w14:paraId="507903C6" w14:textId="59A95A64" w:rsidR="003D01D2" w:rsidRPr="00E76112" w:rsidRDefault="003D01D2" w:rsidP="00E76112">
      <w:pPr>
        <w:pStyle w:val="Heading2"/>
        <w:rPr>
          <w:bCs/>
          <w:sz w:val="20"/>
        </w:rPr>
      </w:pPr>
      <w:r w:rsidRPr="00E76112">
        <w:rPr>
          <w:bCs/>
          <w:sz w:val="20"/>
        </w:rPr>
        <w:t>Statistical analysis</w:t>
      </w:r>
    </w:p>
    <w:p w14:paraId="49D6FBD1" w14:textId="4D92B0B3" w:rsidR="00725861" w:rsidRDefault="003D01D2" w:rsidP="003D01D2">
      <w:pPr>
        <w:pStyle w:val="Heading2"/>
        <w:jc w:val="both"/>
      </w:pPr>
      <w:r w:rsidRPr="003D01D2">
        <w:rPr>
          <w:b w:val="0"/>
          <w:sz w:val="20"/>
        </w:rPr>
        <w:t>The data obtained is displayed as the average value and standard deviation. The samples were triplicate. The statistical analysis was conducted with ANOVA and continued with at least least significant difference test at p &lt; 0.05. The SPSS version 16.0 (SPSS Inc., South Wacker Drive, Chicago, United States of America) was used.</w:t>
      </w:r>
      <w:r w:rsidRPr="00274622">
        <w:rPr>
          <w:b w:val="0"/>
          <w:sz w:val="20"/>
        </w:rPr>
        <w:t xml:space="preserve"> </w:t>
      </w:r>
      <w:r w:rsidR="00725861" w:rsidRPr="00274622">
        <w:rPr>
          <w:b w:val="0"/>
          <w:sz w:val="20"/>
        </w:rPr>
        <w:t xml:space="preserve">(Use the Microsoft Word template style: </w:t>
      </w:r>
      <w:r w:rsidR="00725861" w:rsidRPr="00274622">
        <w:rPr>
          <w:b w:val="0"/>
          <w:i/>
          <w:iCs/>
          <w:sz w:val="20"/>
        </w:rPr>
        <w:t>Heading 2</w:t>
      </w:r>
      <w:r w:rsidR="00725861"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6E8B876" w14:textId="18F5124E" w:rsidR="00040BCF" w:rsidRPr="00E76112" w:rsidRDefault="006C6320" w:rsidP="00E76112">
      <w:pPr>
        <w:pStyle w:val="Heading2"/>
      </w:pPr>
      <w:r>
        <w:t>RESULTS AND DISCUSSIONS</w:t>
      </w:r>
      <w:r w:rsidR="0073393A" w:rsidRPr="00075EA6">
        <w:br/>
      </w:r>
      <w:r w:rsidR="00040BCF" w:rsidRPr="00E76112">
        <w:t>Formulation and chemical analysis of brown rice noodles</w:t>
      </w:r>
    </w:p>
    <w:p w14:paraId="22023550" w14:textId="77777777" w:rsidR="00F55D4F" w:rsidRDefault="00F55D4F" w:rsidP="00F55D4F">
      <w:pPr>
        <w:pStyle w:val="Paragraph"/>
      </w:pPr>
      <w:r>
        <w:t>Several constituent ingredients are combined to make gluten-free organic brown rice noodles. The main ingredient was rice noodles. Organic brown rice through a germination process modification. This germination process has a positive effect, as it reduces the content of phytic acid while increasing the content of bioactive compounds [14]. Phytic acid affects the bioavailability of some minerals [1]. Another constituent material is required because native rice flour has poor elastic gel-forming properties, shear force resistance, thickening power, and viscosity properties. Tapioca flour is another component used in rice noodles' production as an adhesive for the other constituent ingredients. Hydrocolloids are required to improve the texture of rice noodles. [15]. Table 1 shows the composition of gluten-free organic brown rice noodles developed in formulations I, II, and III, and commercial white rice noodles (control).</w:t>
      </w:r>
    </w:p>
    <w:p w14:paraId="58F96DBE" w14:textId="5384D17E" w:rsidR="00F55D4F" w:rsidRDefault="00F55D4F" w:rsidP="00F55D4F">
      <w:pPr>
        <w:pStyle w:val="Paragraph"/>
      </w:pPr>
      <w:r>
        <w:t>Table 1. Chemical composition of gluten-free organic brown rice noodles and commercial white rice noodles (control)</w:t>
      </w:r>
    </w:p>
    <w:tbl>
      <w:tblPr>
        <w:tblW w:w="8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701"/>
        <w:gridCol w:w="1559"/>
        <w:gridCol w:w="1635"/>
      </w:tblGrid>
      <w:tr w:rsidR="00F55D4F" w:rsidRPr="00A94CB1" w14:paraId="36EF9E19" w14:textId="77777777" w:rsidTr="00645899">
        <w:tc>
          <w:tcPr>
            <w:tcW w:w="2127" w:type="dxa"/>
            <w:tcBorders>
              <w:left w:val="nil"/>
              <w:right w:val="nil"/>
            </w:tcBorders>
            <w:noWrap/>
          </w:tcPr>
          <w:p w14:paraId="3D10948D" w14:textId="77777777" w:rsidR="00F55D4F" w:rsidRPr="00A94CB1" w:rsidRDefault="00F55D4F" w:rsidP="00645899">
            <w:pPr>
              <w:jc w:val="center"/>
              <w:rPr>
                <w:sz w:val="20"/>
              </w:rPr>
            </w:pPr>
            <w:r w:rsidRPr="00A94CB1">
              <w:rPr>
                <w:sz w:val="20"/>
              </w:rPr>
              <w:t>Parameter</w:t>
            </w:r>
          </w:p>
        </w:tc>
        <w:tc>
          <w:tcPr>
            <w:tcW w:w="1559" w:type="dxa"/>
            <w:tcBorders>
              <w:left w:val="nil"/>
              <w:right w:val="nil"/>
            </w:tcBorders>
          </w:tcPr>
          <w:p w14:paraId="401FBADE" w14:textId="77777777" w:rsidR="00F55D4F" w:rsidRPr="00A94CB1" w:rsidRDefault="00F55D4F" w:rsidP="00645899">
            <w:pPr>
              <w:jc w:val="center"/>
              <w:rPr>
                <w:sz w:val="20"/>
              </w:rPr>
            </w:pPr>
            <w:r w:rsidRPr="00A94CB1">
              <w:rPr>
                <w:sz w:val="20"/>
              </w:rPr>
              <w:t>White noodle Commercial</w:t>
            </w:r>
          </w:p>
        </w:tc>
        <w:tc>
          <w:tcPr>
            <w:tcW w:w="1701" w:type="dxa"/>
            <w:tcBorders>
              <w:left w:val="nil"/>
              <w:right w:val="nil"/>
            </w:tcBorders>
          </w:tcPr>
          <w:p w14:paraId="1C50A1BB" w14:textId="77777777" w:rsidR="00F55D4F" w:rsidRPr="00A94CB1" w:rsidRDefault="00F55D4F" w:rsidP="00645899">
            <w:pPr>
              <w:jc w:val="center"/>
              <w:rPr>
                <w:sz w:val="20"/>
              </w:rPr>
            </w:pPr>
            <w:r w:rsidRPr="00A94CB1">
              <w:rPr>
                <w:sz w:val="20"/>
              </w:rPr>
              <w:t>Formulation I</w:t>
            </w:r>
          </w:p>
        </w:tc>
        <w:tc>
          <w:tcPr>
            <w:tcW w:w="1559" w:type="dxa"/>
            <w:tcBorders>
              <w:left w:val="nil"/>
              <w:right w:val="nil"/>
            </w:tcBorders>
          </w:tcPr>
          <w:p w14:paraId="5C59368F" w14:textId="77777777" w:rsidR="00F55D4F" w:rsidRPr="00A94CB1" w:rsidRDefault="00F55D4F" w:rsidP="00645899">
            <w:pPr>
              <w:jc w:val="center"/>
              <w:rPr>
                <w:sz w:val="20"/>
              </w:rPr>
            </w:pPr>
            <w:r w:rsidRPr="00A94CB1">
              <w:rPr>
                <w:sz w:val="20"/>
              </w:rPr>
              <w:t>Formulation II</w:t>
            </w:r>
          </w:p>
        </w:tc>
        <w:tc>
          <w:tcPr>
            <w:tcW w:w="1635" w:type="dxa"/>
            <w:tcBorders>
              <w:left w:val="nil"/>
              <w:right w:val="nil"/>
            </w:tcBorders>
            <w:noWrap/>
          </w:tcPr>
          <w:p w14:paraId="658EEB8E" w14:textId="77777777" w:rsidR="00F55D4F" w:rsidRPr="00A94CB1" w:rsidRDefault="00F55D4F" w:rsidP="00645899">
            <w:pPr>
              <w:jc w:val="center"/>
              <w:rPr>
                <w:sz w:val="20"/>
              </w:rPr>
            </w:pPr>
            <w:r w:rsidRPr="00A94CB1">
              <w:rPr>
                <w:sz w:val="20"/>
              </w:rPr>
              <w:t>Formulation III</w:t>
            </w:r>
          </w:p>
        </w:tc>
      </w:tr>
      <w:tr w:rsidR="00F55D4F" w:rsidRPr="00A94CB1" w14:paraId="1A49600F" w14:textId="77777777" w:rsidTr="00645899">
        <w:tc>
          <w:tcPr>
            <w:tcW w:w="2127" w:type="dxa"/>
            <w:tcBorders>
              <w:left w:val="nil"/>
              <w:bottom w:val="nil"/>
              <w:right w:val="nil"/>
            </w:tcBorders>
            <w:noWrap/>
          </w:tcPr>
          <w:p w14:paraId="2190F40F" w14:textId="77777777" w:rsidR="00F55D4F" w:rsidRPr="00A94CB1" w:rsidRDefault="00F55D4F" w:rsidP="00645899">
            <w:pPr>
              <w:rPr>
                <w:sz w:val="20"/>
              </w:rPr>
            </w:pPr>
            <w:r w:rsidRPr="00A94CB1">
              <w:rPr>
                <w:sz w:val="20"/>
              </w:rPr>
              <w:t>Moisture content (%)</w:t>
            </w:r>
          </w:p>
        </w:tc>
        <w:tc>
          <w:tcPr>
            <w:tcW w:w="1559" w:type="dxa"/>
            <w:tcBorders>
              <w:left w:val="nil"/>
              <w:bottom w:val="nil"/>
              <w:right w:val="nil"/>
            </w:tcBorders>
          </w:tcPr>
          <w:p w14:paraId="50EFA828" w14:textId="77777777" w:rsidR="00F55D4F" w:rsidRPr="00A94CB1" w:rsidRDefault="00F55D4F" w:rsidP="00645899">
            <w:pPr>
              <w:rPr>
                <w:sz w:val="20"/>
              </w:rPr>
            </w:pPr>
            <w:r w:rsidRPr="00A94CB1">
              <w:rPr>
                <w:sz w:val="20"/>
              </w:rPr>
              <w:t>13.11±0.10</w:t>
            </w:r>
            <w:r w:rsidRPr="00A94CB1">
              <w:rPr>
                <w:sz w:val="20"/>
                <w:vertAlign w:val="superscript"/>
              </w:rPr>
              <w:t>c</w:t>
            </w:r>
          </w:p>
        </w:tc>
        <w:tc>
          <w:tcPr>
            <w:tcW w:w="1701" w:type="dxa"/>
            <w:tcBorders>
              <w:left w:val="nil"/>
              <w:bottom w:val="nil"/>
              <w:right w:val="nil"/>
            </w:tcBorders>
          </w:tcPr>
          <w:p w14:paraId="1512F607" w14:textId="77777777" w:rsidR="00F55D4F" w:rsidRPr="00A94CB1" w:rsidRDefault="00F55D4F" w:rsidP="00645899">
            <w:pPr>
              <w:rPr>
                <w:sz w:val="20"/>
              </w:rPr>
            </w:pPr>
            <w:r w:rsidRPr="00A94CB1">
              <w:rPr>
                <w:sz w:val="20"/>
              </w:rPr>
              <w:t>14.74±1.23</w:t>
            </w:r>
            <w:r w:rsidRPr="00A94CB1">
              <w:rPr>
                <w:sz w:val="20"/>
                <w:vertAlign w:val="superscript"/>
              </w:rPr>
              <w:t>d</w:t>
            </w:r>
          </w:p>
        </w:tc>
        <w:tc>
          <w:tcPr>
            <w:tcW w:w="1559" w:type="dxa"/>
            <w:tcBorders>
              <w:left w:val="nil"/>
              <w:bottom w:val="nil"/>
              <w:right w:val="nil"/>
            </w:tcBorders>
          </w:tcPr>
          <w:p w14:paraId="137528D0" w14:textId="77777777" w:rsidR="00F55D4F" w:rsidRPr="00A94CB1" w:rsidRDefault="00F55D4F" w:rsidP="00645899">
            <w:pPr>
              <w:rPr>
                <w:sz w:val="20"/>
              </w:rPr>
            </w:pPr>
            <w:r w:rsidRPr="00A94CB1">
              <w:rPr>
                <w:sz w:val="20"/>
              </w:rPr>
              <w:t>12.14±0.05</w:t>
            </w:r>
            <w:r w:rsidRPr="00A94CB1">
              <w:rPr>
                <w:sz w:val="20"/>
                <w:vertAlign w:val="superscript"/>
              </w:rPr>
              <w:t>a</w:t>
            </w:r>
          </w:p>
        </w:tc>
        <w:tc>
          <w:tcPr>
            <w:tcW w:w="1635" w:type="dxa"/>
            <w:tcBorders>
              <w:left w:val="nil"/>
              <w:bottom w:val="nil"/>
              <w:right w:val="nil"/>
            </w:tcBorders>
            <w:noWrap/>
          </w:tcPr>
          <w:p w14:paraId="10AB64DE" w14:textId="77777777" w:rsidR="00F55D4F" w:rsidRPr="00A94CB1" w:rsidRDefault="00F55D4F" w:rsidP="00645899">
            <w:pPr>
              <w:rPr>
                <w:sz w:val="20"/>
              </w:rPr>
            </w:pPr>
            <w:r w:rsidRPr="00A94CB1">
              <w:rPr>
                <w:sz w:val="20"/>
              </w:rPr>
              <w:t>12.22±0.14</w:t>
            </w:r>
            <w:r w:rsidRPr="00A94CB1">
              <w:rPr>
                <w:sz w:val="20"/>
                <w:vertAlign w:val="superscript"/>
              </w:rPr>
              <w:t>b</w:t>
            </w:r>
          </w:p>
        </w:tc>
      </w:tr>
      <w:tr w:rsidR="00F55D4F" w:rsidRPr="00A94CB1" w14:paraId="3B052075" w14:textId="77777777" w:rsidTr="00645899">
        <w:tc>
          <w:tcPr>
            <w:tcW w:w="2127" w:type="dxa"/>
            <w:tcBorders>
              <w:top w:val="nil"/>
              <w:left w:val="nil"/>
              <w:bottom w:val="nil"/>
              <w:right w:val="nil"/>
            </w:tcBorders>
            <w:noWrap/>
          </w:tcPr>
          <w:p w14:paraId="0BF6D6E6" w14:textId="77777777" w:rsidR="00F55D4F" w:rsidRPr="00A94CB1" w:rsidRDefault="00F55D4F" w:rsidP="00645899">
            <w:pPr>
              <w:rPr>
                <w:sz w:val="20"/>
              </w:rPr>
            </w:pPr>
            <w:r w:rsidRPr="00A94CB1">
              <w:rPr>
                <w:sz w:val="20"/>
              </w:rPr>
              <w:t>Ash (%)</w:t>
            </w:r>
          </w:p>
        </w:tc>
        <w:tc>
          <w:tcPr>
            <w:tcW w:w="1559" w:type="dxa"/>
            <w:tcBorders>
              <w:top w:val="nil"/>
              <w:left w:val="nil"/>
              <w:bottom w:val="nil"/>
              <w:right w:val="nil"/>
            </w:tcBorders>
          </w:tcPr>
          <w:p w14:paraId="179EF8EB" w14:textId="77777777" w:rsidR="00F55D4F" w:rsidRPr="00A94CB1" w:rsidRDefault="00F55D4F" w:rsidP="00645899">
            <w:pPr>
              <w:rPr>
                <w:sz w:val="20"/>
              </w:rPr>
            </w:pPr>
            <w:r w:rsidRPr="00A94CB1">
              <w:rPr>
                <w:sz w:val="20"/>
              </w:rPr>
              <w:t>0.45±0.08</w:t>
            </w:r>
            <w:r w:rsidRPr="00A94CB1">
              <w:rPr>
                <w:sz w:val="20"/>
                <w:vertAlign w:val="superscript"/>
              </w:rPr>
              <w:t>a</w:t>
            </w:r>
          </w:p>
        </w:tc>
        <w:tc>
          <w:tcPr>
            <w:tcW w:w="1701" w:type="dxa"/>
            <w:tcBorders>
              <w:top w:val="nil"/>
              <w:left w:val="nil"/>
              <w:bottom w:val="nil"/>
              <w:right w:val="nil"/>
            </w:tcBorders>
          </w:tcPr>
          <w:p w14:paraId="48C00E29" w14:textId="77777777" w:rsidR="00F55D4F" w:rsidRPr="00A94CB1" w:rsidRDefault="00F55D4F" w:rsidP="00645899">
            <w:pPr>
              <w:rPr>
                <w:sz w:val="20"/>
              </w:rPr>
            </w:pPr>
            <w:r w:rsidRPr="00A94CB1">
              <w:rPr>
                <w:sz w:val="20"/>
              </w:rPr>
              <w:t>1.41±0.05</w:t>
            </w:r>
            <w:r w:rsidRPr="00A94CB1">
              <w:rPr>
                <w:sz w:val="20"/>
                <w:vertAlign w:val="superscript"/>
              </w:rPr>
              <w:t>c</w:t>
            </w:r>
          </w:p>
        </w:tc>
        <w:tc>
          <w:tcPr>
            <w:tcW w:w="1559" w:type="dxa"/>
            <w:tcBorders>
              <w:top w:val="nil"/>
              <w:left w:val="nil"/>
              <w:bottom w:val="nil"/>
              <w:right w:val="nil"/>
            </w:tcBorders>
          </w:tcPr>
          <w:p w14:paraId="0AEC1CFB" w14:textId="77777777" w:rsidR="00F55D4F" w:rsidRPr="00A94CB1" w:rsidRDefault="00F55D4F" w:rsidP="00645899">
            <w:pPr>
              <w:rPr>
                <w:sz w:val="20"/>
              </w:rPr>
            </w:pPr>
            <w:r w:rsidRPr="00A94CB1">
              <w:rPr>
                <w:sz w:val="20"/>
              </w:rPr>
              <w:t>1.41±0.08</w:t>
            </w:r>
            <w:r w:rsidRPr="00A94CB1">
              <w:rPr>
                <w:sz w:val="20"/>
                <w:vertAlign w:val="superscript"/>
              </w:rPr>
              <w:t>c</w:t>
            </w:r>
          </w:p>
        </w:tc>
        <w:tc>
          <w:tcPr>
            <w:tcW w:w="1635" w:type="dxa"/>
            <w:tcBorders>
              <w:top w:val="nil"/>
              <w:left w:val="nil"/>
              <w:bottom w:val="nil"/>
              <w:right w:val="nil"/>
            </w:tcBorders>
            <w:noWrap/>
          </w:tcPr>
          <w:p w14:paraId="1F2073BF" w14:textId="77777777" w:rsidR="00F55D4F" w:rsidRPr="00A94CB1" w:rsidRDefault="00F55D4F" w:rsidP="00645899">
            <w:pPr>
              <w:rPr>
                <w:sz w:val="20"/>
              </w:rPr>
            </w:pPr>
            <w:r w:rsidRPr="00A94CB1">
              <w:rPr>
                <w:sz w:val="20"/>
              </w:rPr>
              <w:t>0.93±0.05</w:t>
            </w:r>
            <w:r w:rsidRPr="00A94CB1">
              <w:rPr>
                <w:sz w:val="20"/>
                <w:vertAlign w:val="superscript"/>
              </w:rPr>
              <w:t>b</w:t>
            </w:r>
          </w:p>
        </w:tc>
      </w:tr>
      <w:tr w:rsidR="00F55D4F" w:rsidRPr="00A94CB1" w14:paraId="6F492C6B" w14:textId="77777777" w:rsidTr="00645899">
        <w:tc>
          <w:tcPr>
            <w:tcW w:w="2127" w:type="dxa"/>
            <w:tcBorders>
              <w:top w:val="nil"/>
              <w:left w:val="nil"/>
              <w:bottom w:val="nil"/>
              <w:right w:val="nil"/>
            </w:tcBorders>
            <w:noWrap/>
          </w:tcPr>
          <w:p w14:paraId="4EBAF993" w14:textId="77777777" w:rsidR="00F55D4F" w:rsidRPr="00A94CB1" w:rsidRDefault="00F55D4F" w:rsidP="00645899">
            <w:pPr>
              <w:rPr>
                <w:sz w:val="20"/>
              </w:rPr>
            </w:pPr>
            <w:r w:rsidRPr="00A94CB1">
              <w:rPr>
                <w:sz w:val="20"/>
              </w:rPr>
              <w:t>Protein (%)</w:t>
            </w:r>
          </w:p>
        </w:tc>
        <w:tc>
          <w:tcPr>
            <w:tcW w:w="1559" w:type="dxa"/>
            <w:tcBorders>
              <w:top w:val="nil"/>
              <w:left w:val="nil"/>
              <w:bottom w:val="nil"/>
              <w:right w:val="nil"/>
            </w:tcBorders>
          </w:tcPr>
          <w:p w14:paraId="76056AC5" w14:textId="77777777" w:rsidR="00F55D4F" w:rsidRPr="00A94CB1" w:rsidRDefault="00F55D4F" w:rsidP="00645899">
            <w:pPr>
              <w:rPr>
                <w:sz w:val="20"/>
              </w:rPr>
            </w:pPr>
            <w:r w:rsidRPr="00A94CB1">
              <w:rPr>
                <w:sz w:val="20"/>
              </w:rPr>
              <w:t>6.23±0.12</w:t>
            </w:r>
            <w:r w:rsidRPr="00A94CB1">
              <w:rPr>
                <w:sz w:val="20"/>
                <w:vertAlign w:val="superscript"/>
              </w:rPr>
              <w:t>a</w:t>
            </w:r>
          </w:p>
        </w:tc>
        <w:tc>
          <w:tcPr>
            <w:tcW w:w="1701" w:type="dxa"/>
            <w:tcBorders>
              <w:top w:val="nil"/>
              <w:left w:val="nil"/>
              <w:bottom w:val="nil"/>
              <w:right w:val="nil"/>
            </w:tcBorders>
          </w:tcPr>
          <w:p w14:paraId="48DDF6C3" w14:textId="77777777" w:rsidR="00F55D4F" w:rsidRPr="00A94CB1" w:rsidRDefault="00F55D4F" w:rsidP="00645899">
            <w:pPr>
              <w:rPr>
                <w:sz w:val="20"/>
              </w:rPr>
            </w:pPr>
            <w:r w:rsidRPr="00A94CB1">
              <w:rPr>
                <w:sz w:val="20"/>
              </w:rPr>
              <w:t>6.59±0.16</w:t>
            </w:r>
            <w:r w:rsidRPr="00A94CB1">
              <w:rPr>
                <w:sz w:val="20"/>
                <w:vertAlign w:val="superscript"/>
              </w:rPr>
              <w:t>b</w:t>
            </w:r>
          </w:p>
        </w:tc>
        <w:tc>
          <w:tcPr>
            <w:tcW w:w="1559" w:type="dxa"/>
            <w:tcBorders>
              <w:top w:val="nil"/>
              <w:left w:val="nil"/>
              <w:bottom w:val="nil"/>
              <w:right w:val="nil"/>
            </w:tcBorders>
          </w:tcPr>
          <w:p w14:paraId="06505F99" w14:textId="77777777" w:rsidR="00F55D4F" w:rsidRPr="00A94CB1" w:rsidRDefault="00F55D4F" w:rsidP="00645899">
            <w:pPr>
              <w:rPr>
                <w:sz w:val="20"/>
              </w:rPr>
            </w:pPr>
            <w:r w:rsidRPr="00A94CB1">
              <w:rPr>
                <w:sz w:val="20"/>
              </w:rPr>
              <w:t>8.13±0.11</w:t>
            </w:r>
            <w:r w:rsidRPr="00A94CB1">
              <w:rPr>
                <w:sz w:val="20"/>
                <w:vertAlign w:val="superscript"/>
              </w:rPr>
              <w:t>c</w:t>
            </w:r>
          </w:p>
        </w:tc>
        <w:tc>
          <w:tcPr>
            <w:tcW w:w="1635" w:type="dxa"/>
            <w:tcBorders>
              <w:top w:val="nil"/>
              <w:left w:val="nil"/>
              <w:bottom w:val="nil"/>
              <w:right w:val="nil"/>
            </w:tcBorders>
            <w:noWrap/>
          </w:tcPr>
          <w:p w14:paraId="5470325E" w14:textId="77777777" w:rsidR="00F55D4F" w:rsidRPr="00A94CB1" w:rsidRDefault="00F55D4F" w:rsidP="00645899">
            <w:pPr>
              <w:rPr>
                <w:sz w:val="20"/>
              </w:rPr>
            </w:pPr>
            <w:r w:rsidRPr="00A94CB1">
              <w:rPr>
                <w:sz w:val="20"/>
              </w:rPr>
              <w:t>8.41±0.07</w:t>
            </w:r>
            <w:r w:rsidRPr="00A94CB1">
              <w:rPr>
                <w:sz w:val="20"/>
                <w:vertAlign w:val="superscript"/>
              </w:rPr>
              <w:t>d</w:t>
            </w:r>
          </w:p>
        </w:tc>
      </w:tr>
      <w:tr w:rsidR="00F55D4F" w:rsidRPr="00A94CB1" w14:paraId="2E029BBB" w14:textId="77777777" w:rsidTr="00645899">
        <w:tc>
          <w:tcPr>
            <w:tcW w:w="2127" w:type="dxa"/>
            <w:tcBorders>
              <w:top w:val="nil"/>
              <w:left w:val="nil"/>
              <w:bottom w:val="nil"/>
              <w:right w:val="nil"/>
            </w:tcBorders>
            <w:noWrap/>
          </w:tcPr>
          <w:p w14:paraId="6539F0C4" w14:textId="77777777" w:rsidR="00F55D4F" w:rsidRPr="00A94CB1" w:rsidRDefault="00F55D4F" w:rsidP="00645899">
            <w:pPr>
              <w:rPr>
                <w:sz w:val="20"/>
              </w:rPr>
            </w:pPr>
            <w:r w:rsidRPr="00A94CB1">
              <w:rPr>
                <w:sz w:val="20"/>
              </w:rPr>
              <w:t>Lipid (%)</w:t>
            </w:r>
          </w:p>
        </w:tc>
        <w:tc>
          <w:tcPr>
            <w:tcW w:w="1559" w:type="dxa"/>
            <w:tcBorders>
              <w:top w:val="nil"/>
              <w:left w:val="nil"/>
              <w:bottom w:val="nil"/>
              <w:right w:val="nil"/>
            </w:tcBorders>
          </w:tcPr>
          <w:p w14:paraId="7AD67E9E" w14:textId="77777777" w:rsidR="00F55D4F" w:rsidRPr="00A94CB1" w:rsidRDefault="00F55D4F" w:rsidP="00645899">
            <w:pPr>
              <w:rPr>
                <w:sz w:val="20"/>
              </w:rPr>
            </w:pPr>
            <w:r w:rsidRPr="00A94CB1">
              <w:rPr>
                <w:sz w:val="20"/>
              </w:rPr>
              <w:t>0.42±0.01</w:t>
            </w:r>
            <w:r w:rsidRPr="00A94CB1">
              <w:rPr>
                <w:sz w:val="20"/>
                <w:vertAlign w:val="superscript"/>
              </w:rPr>
              <w:t>d</w:t>
            </w:r>
          </w:p>
        </w:tc>
        <w:tc>
          <w:tcPr>
            <w:tcW w:w="1701" w:type="dxa"/>
            <w:tcBorders>
              <w:top w:val="nil"/>
              <w:left w:val="nil"/>
              <w:bottom w:val="nil"/>
              <w:right w:val="nil"/>
            </w:tcBorders>
          </w:tcPr>
          <w:p w14:paraId="11C4776D" w14:textId="77777777" w:rsidR="00F55D4F" w:rsidRPr="00A94CB1" w:rsidRDefault="00F55D4F" w:rsidP="00645899">
            <w:pPr>
              <w:rPr>
                <w:sz w:val="20"/>
              </w:rPr>
            </w:pPr>
            <w:r w:rsidRPr="00A94CB1">
              <w:rPr>
                <w:sz w:val="20"/>
              </w:rPr>
              <w:t>0.17±0.02</w:t>
            </w:r>
            <w:r w:rsidRPr="00A94CB1">
              <w:rPr>
                <w:sz w:val="20"/>
                <w:vertAlign w:val="superscript"/>
              </w:rPr>
              <w:t>b</w:t>
            </w:r>
          </w:p>
        </w:tc>
        <w:tc>
          <w:tcPr>
            <w:tcW w:w="1559" w:type="dxa"/>
            <w:tcBorders>
              <w:top w:val="nil"/>
              <w:left w:val="nil"/>
              <w:bottom w:val="nil"/>
              <w:right w:val="nil"/>
            </w:tcBorders>
          </w:tcPr>
          <w:p w14:paraId="3926462C" w14:textId="77777777" w:rsidR="00F55D4F" w:rsidRPr="00A94CB1" w:rsidRDefault="00F55D4F" w:rsidP="00645899">
            <w:pPr>
              <w:rPr>
                <w:sz w:val="20"/>
              </w:rPr>
            </w:pPr>
            <w:r w:rsidRPr="00A94CB1">
              <w:rPr>
                <w:sz w:val="20"/>
              </w:rPr>
              <w:t>0.19±0.04</w:t>
            </w:r>
            <w:r w:rsidRPr="00A94CB1">
              <w:rPr>
                <w:sz w:val="20"/>
                <w:vertAlign w:val="superscript"/>
              </w:rPr>
              <w:t>c</w:t>
            </w:r>
          </w:p>
        </w:tc>
        <w:tc>
          <w:tcPr>
            <w:tcW w:w="1635" w:type="dxa"/>
            <w:tcBorders>
              <w:top w:val="nil"/>
              <w:left w:val="nil"/>
              <w:bottom w:val="nil"/>
              <w:right w:val="nil"/>
            </w:tcBorders>
            <w:noWrap/>
          </w:tcPr>
          <w:p w14:paraId="0C5EDAF5" w14:textId="77777777" w:rsidR="00F55D4F" w:rsidRPr="00A94CB1" w:rsidRDefault="00F55D4F" w:rsidP="00645899">
            <w:pPr>
              <w:rPr>
                <w:sz w:val="20"/>
              </w:rPr>
            </w:pPr>
            <w:r w:rsidRPr="00A94CB1">
              <w:rPr>
                <w:sz w:val="20"/>
              </w:rPr>
              <w:t>0.12±0.01</w:t>
            </w:r>
            <w:r w:rsidRPr="00A94CB1">
              <w:rPr>
                <w:sz w:val="20"/>
                <w:vertAlign w:val="superscript"/>
              </w:rPr>
              <w:t>a</w:t>
            </w:r>
          </w:p>
        </w:tc>
      </w:tr>
      <w:tr w:rsidR="00F55D4F" w:rsidRPr="00A94CB1" w14:paraId="4A4FBEB6" w14:textId="77777777" w:rsidTr="00645899">
        <w:tc>
          <w:tcPr>
            <w:tcW w:w="2127" w:type="dxa"/>
            <w:tcBorders>
              <w:top w:val="nil"/>
              <w:left w:val="nil"/>
              <w:bottom w:val="nil"/>
              <w:right w:val="nil"/>
            </w:tcBorders>
            <w:noWrap/>
          </w:tcPr>
          <w:p w14:paraId="351D2DA6" w14:textId="77777777" w:rsidR="00F55D4F" w:rsidRPr="00A94CB1" w:rsidRDefault="00F55D4F" w:rsidP="00645899">
            <w:pPr>
              <w:rPr>
                <w:sz w:val="20"/>
              </w:rPr>
            </w:pPr>
            <w:r w:rsidRPr="00A94CB1">
              <w:rPr>
                <w:sz w:val="20"/>
              </w:rPr>
              <w:t>Carbohydrate (%)</w:t>
            </w:r>
          </w:p>
        </w:tc>
        <w:tc>
          <w:tcPr>
            <w:tcW w:w="1559" w:type="dxa"/>
            <w:tcBorders>
              <w:top w:val="nil"/>
              <w:left w:val="nil"/>
              <w:bottom w:val="nil"/>
              <w:right w:val="nil"/>
            </w:tcBorders>
          </w:tcPr>
          <w:p w14:paraId="3B6D158B" w14:textId="77777777" w:rsidR="00F55D4F" w:rsidRPr="00A94CB1" w:rsidRDefault="00F55D4F" w:rsidP="00645899">
            <w:pPr>
              <w:rPr>
                <w:sz w:val="20"/>
              </w:rPr>
            </w:pPr>
            <w:r w:rsidRPr="00A94CB1">
              <w:rPr>
                <w:sz w:val="20"/>
              </w:rPr>
              <w:t>75.65±0.03</w:t>
            </w:r>
            <w:r w:rsidRPr="00A94CB1">
              <w:rPr>
                <w:sz w:val="20"/>
                <w:vertAlign w:val="superscript"/>
              </w:rPr>
              <w:t>c</w:t>
            </w:r>
          </w:p>
        </w:tc>
        <w:tc>
          <w:tcPr>
            <w:tcW w:w="1701" w:type="dxa"/>
            <w:tcBorders>
              <w:top w:val="nil"/>
              <w:left w:val="nil"/>
              <w:bottom w:val="nil"/>
              <w:right w:val="nil"/>
            </w:tcBorders>
          </w:tcPr>
          <w:p w14:paraId="62E03FF9" w14:textId="77777777" w:rsidR="00F55D4F" w:rsidRPr="00A94CB1" w:rsidRDefault="00F55D4F" w:rsidP="00645899">
            <w:pPr>
              <w:rPr>
                <w:sz w:val="20"/>
              </w:rPr>
            </w:pPr>
            <w:r w:rsidRPr="00A94CB1">
              <w:rPr>
                <w:sz w:val="20"/>
              </w:rPr>
              <w:t>71.98±0.39</w:t>
            </w:r>
            <w:r w:rsidRPr="00A94CB1">
              <w:rPr>
                <w:sz w:val="20"/>
                <w:vertAlign w:val="superscript"/>
              </w:rPr>
              <w:t>a</w:t>
            </w:r>
          </w:p>
        </w:tc>
        <w:tc>
          <w:tcPr>
            <w:tcW w:w="1559" w:type="dxa"/>
            <w:tcBorders>
              <w:top w:val="nil"/>
              <w:left w:val="nil"/>
              <w:bottom w:val="nil"/>
              <w:right w:val="nil"/>
            </w:tcBorders>
          </w:tcPr>
          <w:p w14:paraId="5003226D" w14:textId="77777777" w:rsidR="00F55D4F" w:rsidRPr="00A94CB1" w:rsidRDefault="00F55D4F" w:rsidP="00645899">
            <w:pPr>
              <w:rPr>
                <w:sz w:val="20"/>
              </w:rPr>
            </w:pPr>
            <w:r w:rsidRPr="00A94CB1">
              <w:rPr>
                <w:sz w:val="20"/>
              </w:rPr>
              <w:t>73.21±0.13</w:t>
            </w:r>
            <w:r w:rsidRPr="00A94CB1">
              <w:rPr>
                <w:sz w:val="20"/>
                <w:vertAlign w:val="superscript"/>
              </w:rPr>
              <w:t>b</w:t>
            </w:r>
          </w:p>
        </w:tc>
        <w:tc>
          <w:tcPr>
            <w:tcW w:w="1635" w:type="dxa"/>
            <w:tcBorders>
              <w:top w:val="nil"/>
              <w:left w:val="nil"/>
              <w:bottom w:val="nil"/>
              <w:right w:val="nil"/>
            </w:tcBorders>
            <w:noWrap/>
          </w:tcPr>
          <w:p w14:paraId="234C89D0" w14:textId="77777777" w:rsidR="00F55D4F" w:rsidRPr="00A94CB1" w:rsidRDefault="00F55D4F" w:rsidP="00645899">
            <w:pPr>
              <w:rPr>
                <w:sz w:val="20"/>
              </w:rPr>
            </w:pPr>
            <w:r w:rsidRPr="00A94CB1">
              <w:rPr>
                <w:sz w:val="20"/>
              </w:rPr>
              <w:t>74.97±1.67</w:t>
            </w:r>
            <w:r w:rsidRPr="00A94CB1">
              <w:rPr>
                <w:sz w:val="20"/>
                <w:vertAlign w:val="superscript"/>
              </w:rPr>
              <w:t>b</w:t>
            </w:r>
          </w:p>
        </w:tc>
      </w:tr>
      <w:tr w:rsidR="00F55D4F" w:rsidRPr="00A94CB1" w14:paraId="1E34C8E1" w14:textId="77777777" w:rsidTr="00645899">
        <w:tc>
          <w:tcPr>
            <w:tcW w:w="2127" w:type="dxa"/>
            <w:tcBorders>
              <w:top w:val="nil"/>
              <w:left w:val="nil"/>
              <w:bottom w:val="nil"/>
              <w:right w:val="nil"/>
            </w:tcBorders>
            <w:noWrap/>
          </w:tcPr>
          <w:p w14:paraId="0D850839" w14:textId="77777777" w:rsidR="00F55D4F" w:rsidRPr="00A94CB1" w:rsidRDefault="00F55D4F" w:rsidP="00645899">
            <w:pPr>
              <w:rPr>
                <w:sz w:val="20"/>
              </w:rPr>
            </w:pPr>
            <w:r w:rsidRPr="00A94CB1">
              <w:rPr>
                <w:sz w:val="20"/>
              </w:rPr>
              <w:t>Resistant starch (%)</w:t>
            </w:r>
          </w:p>
        </w:tc>
        <w:tc>
          <w:tcPr>
            <w:tcW w:w="1559" w:type="dxa"/>
            <w:tcBorders>
              <w:top w:val="nil"/>
              <w:left w:val="nil"/>
              <w:bottom w:val="nil"/>
              <w:right w:val="nil"/>
            </w:tcBorders>
          </w:tcPr>
          <w:p w14:paraId="439931A6" w14:textId="77777777" w:rsidR="00F55D4F" w:rsidRPr="00A94CB1" w:rsidRDefault="00F55D4F" w:rsidP="00645899">
            <w:pPr>
              <w:rPr>
                <w:sz w:val="20"/>
              </w:rPr>
            </w:pPr>
            <w:r w:rsidRPr="00A94CB1">
              <w:rPr>
                <w:sz w:val="20"/>
              </w:rPr>
              <w:t>6.07±0.03</w:t>
            </w:r>
            <w:r w:rsidRPr="00A94CB1">
              <w:rPr>
                <w:sz w:val="20"/>
                <w:vertAlign w:val="superscript"/>
              </w:rPr>
              <w:t>a</w:t>
            </w:r>
          </w:p>
        </w:tc>
        <w:tc>
          <w:tcPr>
            <w:tcW w:w="1701" w:type="dxa"/>
            <w:tcBorders>
              <w:top w:val="nil"/>
              <w:left w:val="nil"/>
              <w:bottom w:val="nil"/>
              <w:right w:val="nil"/>
            </w:tcBorders>
          </w:tcPr>
          <w:p w14:paraId="67128553" w14:textId="77777777" w:rsidR="00F55D4F" w:rsidRPr="00A94CB1" w:rsidRDefault="00F55D4F" w:rsidP="00645899">
            <w:pPr>
              <w:rPr>
                <w:sz w:val="20"/>
              </w:rPr>
            </w:pPr>
            <w:r w:rsidRPr="00A94CB1">
              <w:rPr>
                <w:sz w:val="20"/>
              </w:rPr>
              <w:t>6.72±0.03</w:t>
            </w:r>
            <w:r w:rsidRPr="00A94CB1">
              <w:rPr>
                <w:sz w:val="20"/>
                <w:vertAlign w:val="superscript"/>
              </w:rPr>
              <w:t>b</w:t>
            </w:r>
          </w:p>
        </w:tc>
        <w:tc>
          <w:tcPr>
            <w:tcW w:w="1559" w:type="dxa"/>
            <w:tcBorders>
              <w:top w:val="nil"/>
              <w:left w:val="nil"/>
              <w:bottom w:val="nil"/>
              <w:right w:val="nil"/>
            </w:tcBorders>
          </w:tcPr>
          <w:p w14:paraId="4C91B345" w14:textId="77777777" w:rsidR="00F55D4F" w:rsidRPr="00A94CB1" w:rsidRDefault="00F55D4F" w:rsidP="00645899">
            <w:pPr>
              <w:rPr>
                <w:sz w:val="20"/>
              </w:rPr>
            </w:pPr>
            <w:r w:rsidRPr="00A94CB1">
              <w:rPr>
                <w:sz w:val="20"/>
              </w:rPr>
              <w:t>6.93±0.02</w:t>
            </w:r>
            <w:r w:rsidRPr="00A94CB1">
              <w:rPr>
                <w:sz w:val="20"/>
                <w:vertAlign w:val="superscript"/>
              </w:rPr>
              <w:t>d</w:t>
            </w:r>
          </w:p>
        </w:tc>
        <w:tc>
          <w:tcPr>
            <w:tcW w:w="1635" w:type="dxa"/>
            <w:tcBorders>
              <w:top w:val="nil"/>
              <w:left w:val="nil"/>
              <w:bottom w:val="nil"/>
              <w:right w:val="nil"/>
            </w:tcBorders>
            <w:noWrap/>
          </w:tcPr>
          <w:p w14:paraId="0C972A0C" w14:textId="77777777" w:rsidR="00F55D4F" w:rsidRPr="00A94CB1" w:rsidRDefault="00F55D4F" w:rsidP="00645899">
            <w:pPr>
              <w:rPr>
                <w:sz w:val="20"/>
              </w:rPr>
            </w:pPr>
            <w:r w:rsidRPr="00A94CB1">
              <w:rPr>
                <w:sz w:val="20"/>
              </w:rPr>
              <w:t>6.80±0.01</w:t>
            </w:r>
            <w:r w:rsidRPr="00A94CB1">
              <w:rPr>
                <w:sz w:val="20"/>
                <w:vertAlign w:val="superscript"/>
              </w:rPr>
              <w:t>c</w:t>
            </w:r>
          </w:p>
        </w:tc>
      </w:tr>
      <w:tr w:rsidR="00F55D4F" w:rsidRPr="00A94CB1" w14:paraId="6A4464A9" w14:textId="77777777" w:rsidTr="00645899">
        <w:tc>
          <w:tcPr>
            <w:tcW w:w="2127" w:type="dxa"/>
            <w:tcBorders>
              <w:top w:val="nil"/>
              <w:left w:val="nil"/>
              <w:bottom w:val="nil"/>
              <w:right w:val="nil"/>
            </w:tcBorders>
            <w:noWrap/>
          </w:tcPr>
          <w:p w14:paraId="6A0B3441" w14:textId="77777777" w:rsidR="00F55D4F" w:rsidRPr="00A94CB1" w:rsidRDefault="00F55D4F" w:rsidP="00645899">
            <w:pPr>
              <w:rPr>
                <w:sz w:val="20"/>
              </w:rPr>
            </w:pPr>
            <w:r w:rsidRPr="00A94CB1">
              <w:rPr>
                <w:sz w:val="20"/>
              </w:rPr>
              <w:t>Non-soluble dietary fiber (%)</w:t>
            </w:r>
          </w:p>
        </w:tc>
        <w:tc>
          <w:tcPr>
            <w:tcW w:w="1559" w:type="dxa"/>
            <w:tcBorders>
              <w:top w:val="nil"/>
              <w:left w:val="nil"/>
              <w:bottom w:val="nil"/>
              <w:right w:val="nil"/>
            </w:tcBorders>
          </w:tcPr>
          <w:p w14:paraId="4AE09D9F" w14:textId="77777777" w:rsidR="00F55D4F" w:rsidRPr="00A94CB1" w:rsidRDefault="00F55D4F" w:rsidP="00645899">
            <w:pPr>
              <w:rPr>
                <w:sz w:val="20"/>
              </w:rPr>
            </w:pPr>
            <w:r w:rsidRPr="00A94CB1">
              <w:rPr>
                <w:sz w:val="20"/>
              </w:rPr>
              <w:t>6.28±0.02</w:t>
            </w:r>
            <w:r w:rsidRPr="00A94CB1">
              <w:rPr>
                <w:sz w:val="20"/>
                <w:vertAlign w:val="superscript"/>
              </w:rPr>
              <w:t>a</w:t>
            </w:r>
          </w:p>
        </w:tc>
        <w:tc>
          <w:tcPr>
            <w:tcW w:w="1701" w:type="dxa"/>
            <w:tcBorders>
              <w:top w:val="nil"/>
              <w:left w:val="nil"/>
              <w:bottom w:val="nil"/>
              <w:right w:val="nil"/>
            </w:tcBorders>
          </w:tcPr>
          <w:p w14:paraId="260BA7D7" w14:textId="77777777" w:rsidR="00F55D4F" w:rsidRPr="00A94CB1" w:rsidRDefault="00F55D4F" w:rsidP="00645899">
            <w:pPr>
              <w:rPr>
                <w:sz w:val="20"/>
              </w:rPr>
            </w:pPr>
            <w:r w:rsidRPr="00A94CB1">
              <w:rPr>
                <w:sz w:val="20"/>
              </w:rPr>
              <w:t>10.56±0.36</w:t>
            </w:r>
            <w:r w:rsidRPr="00A94CB1">
              <w:rPr>
                <w:sz w:val="20"/>
                <w:vertAlign w:val="superscript"/>
              </w:rPr>
              <w:t>d</w:t>
            </w:r>
          </w:p>
        </w:tc>
        <w:tc>
          <w:tcPr>
            <w:tcW w:w="1559" w:type="dxa"/>
            <w:tcBorders>
              <w:top w:val="nil"/>
              <w:left w:val="nil"/>
              <w:bottom w:val="nil"/>
              <w:right w:val="nil"/>
            </w:tcBorders>
          </w:tcPr>
          <w:p w14:paraId="2832BD19" w14:textId="77777777" w:rsidR="00F55D4F" w:rsidRPr="00A94CB1" w:rsidRDefault="00F55D4F" w:rsidP="00645899">
            <w:pPr>
              <w:rPr>
                <w:sz w:val="20"/>
              </w:rPr>
            </w:pPr>
            <w:r w:rsidRPr="00A94CB1">
              <w:rPr>
                <w:sz w:val="20"/>
              </w:rPr>
              <w:t>9.59±0.22</w:t>
            </w:r>
            <w:r w:rsidRPr="00A94CB1">
              <w:rPr>
                <w:sz w:val="20"/>
                <w:vertAlign w:val="superscript"/>
              </w:rPr>
              <w:t>b</w:t>
            </w:r>
          </w:p>
        </w:tc>
        <w:tc>
          <w:tcPr>
            <w:tcW w:w="1635" w:type="dxa"/>
            <w:tcBorders>
              <w:top w:val="nil"/>
              <w:left w:val="nil"/>
              <w:bottom w:val="nil"/>
              <w:right w:val="nil"/>
            </w:tcBorders>
            <w:noWrap/>
          </w:tcPr>
          <w:p w14:paraId="3D8D2154" w14:textId="77777777" w:rsidR="00F55D4F" w:rsidRPr="00A94CB1" w:rsidRDefault="00F55D4F" w:rsidP="00645899">
            <w:pPr>
              <w:rPr>
                <w:sz w:val="20"/>
              </w:rPr>
            </w:pPr>
            <w:r w:rsidRPr="00A94CB1">
              <w:rPr>
                <w:sz w:val="20"/>
              </w:rPr>
              <w:t>10.15±0.07</w:t>
            </w:r>
            <w:r w:rsidRPr="00A94CB1">
              <w:rPr>
                <w:sz w:val="20"/>
                <w:vertAlign w:val="superscript"/>
              </w:rPr>
              <w:t>c</w:t>
            </w:r>
          </w:p>
        </w:tc>
      </w:tr>
      <w:tr w:rsidR="00F55D4F" w:rsidRPr="00A94CB1" w14:paraId="343B9437" w14:textId="77777777" w:rsidTr="00645899">
        <w:tc>
          <w:tcPr>
            <w:tcW w:w="2127" w:type="dxa"/>
            <w:tcBorders>
              <w:top w:val="nil"/>
              <w:left w:val="nil"/>
              <w:right w:val="nil"/>
            </w:tcBorders>
            <w:noWrap/>
          </w:tcPr>
          <w:p w14:paraId="5CD69CBB" w14:textId="77777777" w:rsidR="00F55D4F" w:rsidRPr="00A94CB1" w:rsidRDefault="00F55D4F" w:rsidP="00645899">
            <w:pPr>
              <w:rPr>
                <w:sz w:val="20"/>
              </w:rPr>
            </w:pPr>
            <w:r w:rsidRPr="00A94CB1">
              <w:rPr>
                <w:sz w:val="20"/>
              </w:rPr>
              <w:t>Soluble dietary fiber (%))</w:t>
            </w:r>
          </w:p>
        </w:tc>
        <w:tc>
          <w:tcPr>
            <w:tcW w:w="1559" w:type="dxa"/>
            <w:tcBorders>
              <w:top w:val="nil"/>
              <w:left w:val="nil"/>
              <w:right w:val="nil"/>
            </w:tcBorders>
          </w:tcPr>
          <w:p w14:paraId="30479D02" w14:textId="77777777" w:rsidR="00F55D4F" w:rsidRPr="00A94CB1" w:rsidRDefault="00F55D4F" w:rsidP="00645899">
            <w:pPr>
              <w:rPr>
                <w:sz w:val="20"/>
              </w:rPr>
            </w:pPr>
            <w:r w:rsidRPr="00A94CB1">
              <w:rPr>
                <w:sz w:val="20"/>
              </w:rPr>
              <w:t>0.06±0.02</w:t>
            </w:r>
            <w:r w:rsidRPr="00A94CB1">
              <w:rPr>
                <w:sz w:val="20"/>
                <w:vertAlign w:val="superscript"/>
              </w:rPr>
              <w:t>a</w:t>
            </w:r>
          </w:p>
        </w:tc>
        <w:tc>
          <w:tcPr>
            <w:tcW w:w="1701" w:type="dxa"/>
            <w:tcBorders>
              <w:top w:val="nil"/>
              <w:left w:val="nil"/>
              <w:right w:val="nil"/>
            </w:tcBorders>
          </w:tcPr>
          <w:p w14:paraId="465F1EDB" w14:textId="77777777" w:rsidR="00F55D4F" w:rsidRPr="00A94CB1" w:rsidRDefault="00F55D4F" w:rsidP="00645899">
            <w:pPr>
              <w:rPr>
                <w:sz w:val="20"/>
              </w:rPr>
            </w:pPr>
            <w:r w:rsidRPr="00A94CB1">
              <w:rPr>
                <w:sz w:val="20"/>
              </w:rPr>
              <w:t>0.70±0.01</w:t>
            </w:r>
            <w:r w:rsidRPr="00A94CB1">
              <w:rPr>
                <w:sz w:val="20"/>
                <w:vertAlign w:val="superscript"/>
              </w:rPr>
              <w:t>b</w:t>
            </w:r>
          </w:p>
        </w:tc>
        <w:tc>
          <w:tcPr>
            <w:tcW w:w="1559" w:type="dxa"/>
            <w:tcBorders>
              <w:top w:val="nil"/>
              <w:left w:val="nil"/>
              <w:right w:val="nil"/>
            </w:tcBorders>
          </w:tcPr>
          <w:p w14:paraId="4A2F9C30" w14:textId="77777777" w:rsidR="00F55D4F" w:rsidRPr="00A94CB1" w:rsidRDefault="00F55D4F" w:rsidP="00645899">
            <w:pPr>
              <w:rPr>
                <w:sz w:val="20"/>
              </w:rPr>
            </w:pPr>
            <w:r w:rsidRPr="00A94CB1">
              <w:rPr>
                <w:sz w:val="20"/>
              </w:rPr>
              <w:t>0.69±0.01</w:t>
            </w:r>
            <w:r w:rsidRPr="00A94CB1">
              <w:rPr>
                <w:sz w:val="20"/>
                <w:vertAlign w:val="superscript"/>
              </w:rPr>
              <w:t>b</w:t>
            </w:r>
          </w:p>
        </w:tc>
        <w:tc>
          <w:tcPr>
            <w:tcW w:w="1635" w:type="dxa"/>
            <w:tcBorders>
              <w:top w:val="nil"/>
              <w:left w:val="nil"/>
              <w:right w:val="nil"/>
            </w:tcBorders>
            <w:noWrap/>
          </w:tcPr>
          <w:p w14:paraId="1F87B51B" w14:textId="77777777" w:rsidR="00F55D4F" w:rsidRPr="00A94CB1" w:rsidRDefault="00F55D4F" w:rsidP="00645899">
            <w:pPr>
              <w:rPr>
                <w:sz w:val="20"/>
              </w:rPr>
            </w:pPr>
            <w:r w:rsidRPr="00A94CB1">
              <w:rPr>
                <w:sz w:val="20"/>
              </w:rPr>
              <w:t>0.82±0.08</w:t>
            </w:r>
            <w:r w:rsidRPr="00A94CB1">
              <w:rPr>
                <w:sz w:val="20"/>
                <w:vertAlign w:val="superscript"/>
              </w:rPr>
              <w:t>c</w:t>
            </w:r>
          </w:p>
        </w:tc>
      </w:tr>
    </w:tbl>
    <w:p w14:paraId="556AB924" w14:textId="77777777" w:rsidR="006F5B87" w:rsidRDefault="006F5B87" w:rsidP="006F5B87">
      <w:pPr>
        <w:pStyle w:val="Paragraph"/>
      </w:pPr>
      <w:r>
        <w:t>Different letters within the raw indicate significant differences at P&lt;0.05.</w:t>
      </w:r>
    </w:p>
    <w:p w14:paraId="7A4D76E9" w14:textId="77777777" w:rsidR="006F5B87" w:rsidRDefault="006F5B87" w:rsidP="006F5B87">
      <w:pPr>
        <w:pStyle w:val="Paragraph"/>
      </w:pPr>
    </w:p>
    <w:p w14:paraId="41B1E8CC" w14:textId="77777777" w:rsidR="00F55D4F" w:rsidRDefault="00F55D4F" w:rsidP="00F55D4F">
      <w:pPr>
        <w:pStyle w:val="Paragraph"/>
      </w:pPr>
      <w:r>
        <w:t>According to chemical complicity analysis, gluten-free organic brown rice noodles formulations I, II, and III contain macronutrients (carbohydrate, fat, protein). Gluten-free organic brown rice noodles outperform commercial white rice noodles in protein, fiber, resistant starch, low carbohydrate, and low fat (p&lt;0.05). The water content of commercial white rice noodles and organic brown rice noodles is 12.80±0.57 and 14.74±1.23 grams. This moisture content is within the acceptable range for a long-lasting product.</w:t>
      </w:r>
    </w:p>
    <w:p w14:paraId="613CA842" w14:textId="77777777" w:rsidR="00F55D4F" w:rsidRDefault="00F55D4F" w:rsidP="00F55D4F">
      <w:pPr>
        <w:pStyle w:val="Paragraph"/>
      </w:pPr>
    </w:p>
    <w:p w14:paraId="6F0FD71F" w14:textId="77777777" w:rsidR="00F55D4F" w:rsidRDefault="00F55D4F" w:rsidP="00F55D4F">
      <w:pPr>
        <w:pStyle w:val="Paragraph"/>
      </w:pPr>
      <w:r>
        <w:t>Gluten-free organic brown rice noodles contain protein, dietary fiber, and dietary fiber, all of which have the functional potential to manage glucose and lipid profiles. Dietary fiber and resistant starch cannot be digested in the colon, but they can be fermented by microflora. Slow gastrointestinal processes can delay blood glucose rises, control the glycemic response, and lower the risk of colon cancer.</w:t>
      </w:r>
    </w:p>
    <w:p w14:paraId="4DBCB6B9" w14:textId="77777777" w:rsidR="00F55D4F" w:rsidRDefault="00F55D4F" w:rsidP="00F55D4F">
      <w:pPr>
        <w:pStyle w:val="Paragraph"/>
      </w:pPr>
      <w:r>
        <w:t>It contains more fiber than commercial white rice noodles made from rice sprout flour and Mung bean/Vigna radiata. Food can be used as a source of dietary fiber if it contains at least 3% fiber [16]. According to the findings of this study, the fiber content of rice noodles reduces milk by 7%. As a result, brown rice noodles can be considered a source of fiber. Foods high in dietary fiber can reduce glycemic response and influence the low glycemic index [17].</w:t>
      </w:r>
    </w:p>
    <w:p w14:paraId="437DEE3A" w14:textId="25299F65" w:rsidR="006F5B87" w:rsidRDefault="00F55D4F" w:rsidP="00F55D4F">
      <w:pPr>
        <w:pStyle w:val="Paragraph"/>
      </w:pPr>
      <w:r>
        <w:t xml:space="preserve">Gluten-free brown rice noodles formulations, i.e., I, II, and III have lower carbohydrate content than commercial white rice noodles (p&lt;0.05). Based on chemical composition analysis, carbohydrates have the highest percentage when </w:t>
      </w:r>
      <w:r>
        <w:lastRenderedPageBreak/>
        <w:t>compared to other chemical compositions. Carbohydrates are one of the components that contribute to the body's dominant energy availability. Gluten-free organic brown rice noodles can be used as an alternative carbohydrate source based on the carbohydrate content.</w:t>
      </w:r>
    </w:p>
    <w:p w14:paraId="04AC6B4C" w14:textId="77777777" w:rsidR="006F5B87" w:rsidRDefault="006F5B87" w:rsidP="006F5B87">
      <w:pPr>
        <w:pStyle w:val="Paragraph"/>
        <w:ind w:firstLine="0"/>
      </w:pPr>
    </w:p>
    <w:p w14:paraId="5128FF1C" w14:textId="4C87578F" w:rsidR="006F5B87" w:rsidRPr="00E76112" w:rsidRDefault="006F5B87" w:rsidP="00E76112">
      <w:pPr>
        <w:pStyle w:val="Paragraph"/>
        <w:ind w:firstLine="0"/>
        <w:jc w:val="center"/>
        <w:rPr>
          <w:b/>
          <w:bCs/>
        </w:rPr>
      </w:pPr>
      <w:r w:rsidRPr="00E76112">
        <w:rPr>
          <w:b/>
          <w:bCs/>
        </w:rPr>
        <w:t>Color</w:t>
      </w:r>
      <w:r w:rsidR="00E76112" w:rsidRPr="00E76112">
        <w:rPr>
          <w:b/>
          <w:bCs/>
        </w:rPr>
        <w:t xml:space="preserve"> Analysis</w:t>
      </w:r>
    </w:p>
    <w:p w14:paraId="70C6AB5B" w14:textId="77777777" w:rsidR="00F55D4F" w:rsidRDefault="00F55D4F" w:rsidP="00F55D4F">
      <w:pPr>
        <w:pStyle w:val="Paragraph"/>
      </w:pPr>
      <w:r>
        <w:t>Food color is a characteristic that can provide the first impression of a product before the panelists provide another sensory response. The color of food may influence consumer/panelist acceptance of a product [18]. Compared to commercial white rice noodles, the formulation of gluten-free organic brown rice noodles affects the amount of warn amie produced. The composition of brown rice sprout flour, mung bean/Vigna radiata and tapioca flour varies between rice noodles organic formulations I, II, and III. Table 3 shows how increasing the amount of rice flour in milk affects brightness.</w:t>
      </w:r>
    </w:p>
    <w:p w14:paraId="5390D198" w14:textId="0DF9E063" w:rsidR="00040BCF" w:rsidRDefault="00F55D4F" w:rsidP="006F5B87">
      <w:pPr>
        <w:pStyle w:val="Paragraph"/>
      </w:pPr>
      <w:r>
        <w:t>Table 3. Color comparison of commercial rice and different formulation gluten-free organic brown rice noodles</w:t>
      </w:r>
    </w:p>
    <w:tbl>
      <w:tblPr>
        <w:tblW w:w="6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2"/>
        <w:gridCol w:w="1560"/>
        <w:gridCol w:w="1433"/>
        <w:gridCol w:w="1612"/>
      </w:tblGrid>
      <w:tr w:rsidR="00F55D4F" w14:paraId="7BFC7743" w14:textId="77777777" w:rsidTr="00F55D4F">
        <w:tc>
          <w:tcPr>
            <w:tcW w:w="2042" w:type="dxa"/>
            <w:tcBorders>
              <w:top w:val="single" w:sz="4" w:space="0" w:color="000000"/>
              <w:left w:val="nil"/>
              <w:bottom w:val="single" w:sz="4" w:space="0" w:color="000000"/>
              <w:right w:val="nil"/>
            </w:tcBorders>
            <w:noWrap/>
          </w:tcPr>
          <w:p w14:paraId="1FD5A85C" w14:textId="77777777" w:rsidR="00F55D4F" w:rsidRPr="00F55D4F" w:rsidRDefault="00F55D4F" w:rsidP="00645899">
            <w:pPr>
              <w:rPr>
                <w:sz w:val="20"/>
              </w:rPr>
            </w:pPr>
          </w:p>
        </w:tc>
        <w:tc>
          <w:tcPr>
            <w:tcW w:w="1560" w:type="dxa"/>
            <w:tcBorders>
              <w:top w:val="single" w:sz="4" w:space="0" w:color="000000"/>
              <w:left w:val="nil"/>
              <w:bottom w:val="single" w:sz="4" w:space="0" w:color="000000"/>
              <w:right w:val="nil"/>
            </w:tcBorders>
            <w:noWrap/>
          </w:tcPr>
          <w:p w14:paraId="62A897C7" w14:textId="77777777" w:rsidR="00F55D4F" w:rsidRPr="00F55D4F" w:rsidRDefault="00F55D4F" w:rsidP="00645899">
            <w:pPr>
              <w:rPr>
                <w:sz w:val="20"/>
              </w:rPr>
            </w:pPr>
            <w:r w:rsidRPr="00F55D4F">
              <w:rPr>
                <w:sz w:val="20"/>
              </w:rPr>
              <w:t>L</w:t>
            </w:r>
          </w:p>
        </w:tc>
        <w:tc>
          <w:tcPr>
            <w:tcW w:w="1433" w:type="dxa"/>
            <w:tcBorders>
              <w:top w:val="single" w:sz="4" w:space="0" w:color="000000"/>
              <w:left w:val="nil"/>
              <w:bottom w:val="single" w:sz="4" w:space="0" w:color="000000"/>
              <w:right w:val="nil"/>
            </w:tcBorders>
            <w:noWrap/>
          </w:tcPr>
          <w:p w14:paraId="78D39CA2" w14:textId="77777777" w:rsidR="00F55D4F" w:rsidRPr="00F55D4F" w:rsidRDefault="00F55D4F" w:rsidP="00645899">
            <w:pPr>
              <w:rPr>
                <w:sz w:val="20"/>
              </w:rPr>
            </w:pPr>
            <w:r w:rsidRPr="00F55D4F">
              <w:rPr>
                <w:sz w:val="20"/>
              </w:rPr>
              <w:t>a</w:t>
            </w:r>
          </w:p>
        </w:tc>
        <w:tc>
          <w:tcPr>
            <w:tcW w:w="1612" w:type="dxa"/>
            <w:tcBorders>
              <w:top w:val="single" w:sz="4" w:space="0" w:color="000000"/>
              <w:left w:val="nil"/>
              <w:bottom w:val="single" w:sz="4" w:space="0" w:color="000000"/>
              <w:right w:val="nil"/>
            </w:tcBorders>
            <w:noWrap/>
          </w:tcPr>
          <w:p w14:paraId="692CEFE8" w14:textId="77777777" w:rsidR="00F55D4F" w:rsidRPr="00F55D4F" w:rsidRDefault="00F55D4F" w:rsidP="00645899">
            <w:pPr>
              <w:rPr>
                <w:sz w:val="20"/>
              </w:rPr>
            </w:pPr>
            <w:r w:rsidRPr="00F55D4F">
              <w:rPr>
                <w:sz w:val="20"/>
              </w:rPr>
              <w:t>b</w:t>
            </w:r>
          </w:p>
        </w:tc>
      </w:tr>
      <w:tr w:rsidR="00F55D4F" w14:paraId="7BF6E107" w14:textId="77777777" w:rsidTr="00F55D4F">
        <w:tc>
          <w:tcPr>
            <w:tcW w:w="2042" w:type="dxa"/>
            <w:tcBorders>
              <w:top w:val="single" w:sz="4" w:space="0" w:color="000000"/>
              <w:left w:val="nil"/>
              <w:bottom w:val="single" w:sz="4" w:space="0" w:color="000000"/>
              <w:right w:val="nil"/>
            </w:tcBorders>
            <w:noWrap/>
          </w:tcPr>
          <w:p w14:paraId="1F783955" w14:textId="77777777" w:rsidR="00F55D4F" w:rsidRPr="00F55D4F" w:rsidRDefault="00F55D4F" w:rsidP="00645899">
            <w:pPr>
              <w:rPr>
                <w:sz w:val="20"/>
              </w:rPr>
            </w:pPr>
            <w:r w:rsidRPr="00F55D4F">
              <w:rPr>
                <w:sz w:val="20"/>
              </w:rPr>
              <w:t>White rice noodle (control)</w:t>
            </w:r>
          </w:p>
        </w:tc>
        <w:tc>
          <w:tcPr>
            <w:tcW w:w="1560" w:type="dxa"/>
            <w:tcBorders>
              <w:top w:val="single" w:sz="4" w:space="0" w:color="000000"/>
              <w:left w:val="nil"/>
              <w:bottom w:val="single" w:sz="4" w:space="0" w:color="000000"/>
              <w:right w:val="nil"/>
            </w:tcBorders>
            <w:noWrap/>
          </w:tcPr>
          <w:p w14:paraId="623C2C3F" w14:textId="77777777" w:rsidR="00F55D4F" w:rsidRPr="00F55D4F" w:rsidRDefault="00F55D4F" w:rsidP="00645899">
            <w:pPr>
              <w:rPr>
                <w:sz w:val="20"/>
              </w:rPr>
            </w:pPr>
            <w:r w:rsidRPr="00F55D4F">
              <w:rPr>
                <w:sz w:val="20"/>
              </w:rPr>
              <w:t>72.56±1.16d</w:t>
            </w:r>
          </w:p>
        </w:tc>
        <w:tc>
          <w:tcPr>
            <w:tcW w:w="1433" w:type="dxa"/>
            <w:tcBorders>
              <w:top w:val="single" w:sz="4" w:space="0" w:color="000000"/>
              <w:left w:val="nil"/>
              <w:bottom w:val="single" w:sz="4" w:space="0" w:color="000000"/>
              <w:right w:val="nil"/>
            </w:tcBorders>
            <w:noWrap/>
          </w:tcPr>
          <w:p w14:paraId="397A59D5" w14:textId="77777777" w:rsidR="00F55D4F" w:rsidRPr="00F55D4F" w:rsidRDefault="00F55D4F" w:rsidP="00645899">
            <w:pPr>
              <w:rPr>
                <w:sz w:val="20"/>
              </w:rPr>
            </w:pPr>
            <w:r w:rsidRPr="00F55D4F">
              <w:rPr>
                <w:sz w:val="20"/>
              </w:rPr>
              <w:t>0.49±0.06a</w:t>
            </w:r>
          </w:p>
        </w:tc>
        <w:tc>
          <w:tcPr>
            <w:tcW w:w="1612" w:type="dxa"/>
            <w:tcBorders>
              <w:top w:val="single" w:sz="4" w:space="0" w:color="000000"/>
              <w:left w:val="nil"/>
              <w:bottom w:val="single" w:sz="4" w:space="0" w:color="000000"/>
              <w:right w:val="nil"/>
            </w:tcBorders>
            <w:noWrap/>
          </w:tcPr>
          <w:p w14:paraId="25D51E44" w14:textId="77777777" w:rsidR="00F55D4F" w:rsidRPr="00F55D4F" w:rsidRDefault="00F55D4F" w:rsidP="00645899">
            <w:pPr>
              <w:rPr>
                <w:sz w:val="20"/>
              </w:rPr>
            </w:pPr>
            <w:r w:rsidRPr="00F55D4F">
              <w:rPr>
                <w:sz w:val="20"/>
              </w:rPr>
              <w:t>11.41±1.18a</w:t>
            </w:r>
          </w:p>
        </w:tc>
      </w:tr>
      <w:tr w:rsidR="00F55D4F" w14:paraId="3BBAB000" w14:textId="77777777" w:rsidTr="00F55D4F">
        <w:tc>
          <w:tcPr>
            <w:tcW w:w="2042" w:type="dxa"/>
            <w:tcBorders>
              <w:top w:val="single" w:sz="4" w:space="0" w:color="000000"/>
              <w:left w:val="nil"/>
              <w:bottom w:val="single" w:sz="4" w:space="0" w:color="000000"/>
              <w:right w:val="nil"/>
            </w:tcBorders>
            <w:noWrap/>
          </w:tcPr>
          <w:p w14:paraId="4923D0F0" w14:textId="77777777" w:rsidR="00F55D4F" w:rsidRPr="00F55D4F" w:rsidRDefault="00F55D4F" w:rsidP="00645899">
            <w:pPr>
              <w:rPr>
                <w:sz w:val="20"/>
              </w:rPr>
            </w:pPr>
            <w:r w:rsidRPr="00F55D4F">
              <w:rPr>
                <w:sz w:val="20"/>
              </w:rPr>
              <w:t>Formulation I</w:t>
            </w:r>
          </w:p>
        </w:tc>
        <w:tc>
          <w:tcPr>
            <w:tcW w:w="1560" w:type="dxa"/>
            <w:tcBorders>
              <w:top w:val="single" w:sz="4" w:space="0" w:color="000000"/>
              <w:left w:val="nil"/>
              <w:bottom w:val="single" w:sz="4" w:space="0" w:color="000000"/>
              <w:right w:val="nil"/>
            </w:tcBorders>
            <w:noWrap/>
          </w:tcPr>
          <w:p w14:paraId="7E1369B7" w14:textId="77777777" w:rsidR="00F55D4F" w:rsidRPr="00F55D4F" w:rsidRDefault="00F55D4F" w:rsidP="00645899">
            <w:pPr>
              <w:rPr>
                <w:sz w:val="20"/>
              </w:rPr>
            </w:pPr>
            <w:r w:rsidRPr="00F55D4F">
              <w:rPr>
                <w:sz w:val="20"/>
              </w:rPr>
              <w:t>43.25±0.09b</w:t>
            </w:r>
          </w:p>
        </w:tc>
        <w:tc>
          <w:tcPr>
            <w:tcW w:w="1433" w:type="dxa"/>
            <w:tcBorders>
              <w:top w:val="single" w:sz="4" w:space="0" w:color="000000"/>
              <w:left w:val="nil"/>
              <w:bottom w:val="single" w:sz="4" w:space="0" w:color="000000"/>
              <w:right w:val="nil"/>
            </w:tcBorders>
            <w:noWrap/>
          </w:tcPr>
          <w:p w14:paraId="49CB8C36" w14:textId="77777777" w:rsidR="00F55D4F" w:rsidRPr="00F55D4F" w:rsidRDefault="00F55D4F" w:rsidP="00645899">
            <w:pPr>
              <w:rPr>
                <w:sz w:val="20"/>
              </w:rPr>
            </w:pPr>
            <w:r w:rsidRPr="00F55D4F">
              <w:rPr>
                <w:sz w:val="20"/>
              </w:rPr>
              <w:t>3.42±0.18b</w:t>
            </w:r>
          </w:p>
        </w:tc>
        <w:tc>
          <w:tcPr>
            <w:tcW w:w="1612" w:type="dxa"/>
            <w:tcBorders>
              <w:top w:val="single" w:sz="4" w:space="0" w:color="000000"/>
              <w:left w:val="nil"/>
              <w:bottom w:val="single" w:sz="4" w:space="0" w:color="000000"/>
              <w:right w:val="nil"/>
            </w:tcBorders>
            <w:noWrap/>
          </w:tcPr>
          <w:p w14:paraId="20CEE1D7" w14:textId="77777777" w:rsidR="00F55D4F" w:rsidRPr="00F55D4F" w:rsidRDefault="00F55D4F" w:rsidP="00645899">
            <w:pPr>
              <w:rPr>
                <w:sz w:val="20"/>
              </w:rPr>
            </w:pPr>
            <w:r w:rsidRPr="00F55D4F">
              <w:rPr>
                <w:sz w:val="20"/>
              </w:rPr>
              <w:t>17.80±0.05c</w:t>
            </w:r>
          </w:p>
        </w:tc>
      </w:tr>
      <w:tr w:rsidR="00F55D4F" w14:paraId="26C952AF" w14:textId="77777777" w:rsidTr="00F55D4F">
        <w:tc>
          <w:tcPr>
            <w:tcW w:w="2042" w:type="dxa"/>
            <w:tcBorders>
              <w:top w:val="single" w:sz="4" w:space="0" w:color="000000"/>
              <w:left w:val="nil"/>
              <w:bottom w:val="single" w:sz="4" w:space="0" w:color="000000"/>
              <w:right w:val="nil"/>
            </w:tcBorders>
            <w:noWrap/>
          </w:tcPr>
          <w:p w14:paraId="03FEC100" w14:textId="77777777" w:rsidR="00F55D4F" w:rsidRPr="00F55D4F" w:rsidRDefault="00F55D4F" w:rsidP="00645899">
            <w:pPr>
              <w:rPr>
                <w:sz w:val="20"/>
              </w:rPr>
            </w:pPr>
            <w:r w:rsidRPr="00F55D4F">
              <w:rPr>
                <w:sz w:val="20"/>
              </w:rPr>
              <w:t>Formulation II</w:t>
            </w:r>
          </w:p>
        </w:tc>
        <w:tc>
          <w:tcPr>
            <w:tcW w:w="1560" w:type="dxa"/>
            <w:tcBorders>
              <w:top w:val="single" w:sz="4" w:space="0" w:color="000000"/>
              <w:left w:val="nil"/>
              <w:bottom w:val="single" w:sz="4" w:space="0" w:color="000000"/>
              <w:right w:val="nil"/>
            </w:tcBorders>
            <w:noWrap/>
          </w:tcPr>
          <w:p w14:paraId="5F3EDE09" w14:textId="77777777" w:rsidR="00F55D4F" w:rsidRPr="00F55D4F" w:rsidRDefault="00F55D4F" w:rsidP="00645899">
            <w:pPr>
              <w:rPr>
                <w:sz w:val="20"/>
              </w:rPr>
            </w:pPr>
            <w:r w:rsidRPr="00F55D4F">
              <w:rPr>
                <w:sz w:val="20"/>
              </w:rPr>
              <w:t>44.23±2.14c</w:t>
            </w:r>
          </w:p>
        </w:tc>
        <w:tc>
          <w:tcPr>
            <w:tcW w:w="1433" w:type="dxa"/>
            <w:tcBorders>
              <w:top w:val="single" w:sz="4" w:space="0" w:color="000000"/>
              <w:left w:val="nil"/>
              <w:bottom w:val="single" w:sz="4" w:space="0" w:color="000000"/>
              <w:right w:val="nil"/>
            </w:tcBorders>
            <w:noWrap/>
          </w:tcPr>
          <w:p w14:paraId="09D8F296" w14:textId="77777777" w:rsidR="00F55D4F" w:rsidRPr="00F55D4F" w:rsidRDefault="00F55D4F" w:rsidP="00645899">
            <w:pPr>
              <w:rPr>
                <w:sz w:val="20"/>
              </w:rPr>
            </w:pPr>
            <w:r w:rsidRPr="00F55D4F">
              <w:rPr>
                <w:sz w:val="20"/>
              </w:rPr>
              <w:t>3.86±0.45c</w:t>
            </w:r>
          </w:p>
        </w:tc>
        <w:tc>
          <w:tcPr>
            <w:tcW w:w="1612" w:type="dxa"/>
            <w:tcBorders>
              <w:top w:val="single" w:sz="4" w:space="0" w:color="000000"/>
              <w:left w:val="nil"/>
              <w:bottom w:val="single" w:sz="4" w:space="0" w:color="000000"/>
              <w:right w:val="nil"/>
            </w:tcBorders>
            <w:noWrap/>
          </w:tcPr>
          <w:p w14:paraId="62DF2CDF" w14:textId="77777777" w:rsidR="00F55D4F" w:rsidRPr="00F55D4F" w:rsidRDefault="00F55D4F" w:rsidP="00645899">
            <w:pPr>
              <w:rPr>
                <w:sz w:val="20"/>
              </w:rPr>
            </w:pPr>
            <w:r w:rsidRPr="00F55D4F">
              <w:rPr>
                <w:sz w:val="20"/>
              </w:rPr>
              <w:t>19.37±1.05d</w:t>
            </w:r>
          </w:p>
        </w:tc>
      </w:tr>
      <w:tr w:rsidR="00F55D4F" w14:paraId="4E8B4A8F" w14:textId="77777777" w:rsidTr="00F55D4F">
        <w:tc>
          <w:tcPr>
            <w:tcW w:w="2042" w:type="dxa"/>
            <w:tcBorders>
              <w:top w:val="single" w:sz="4" w:space="0" w:color="000000"/>
              <w:left w:val="nil"/>
              <w:bottom w:val="single" w:sz="4" w:space="0" w:color="000000"/>
              <w:right w:val="nil"/>
            </w:tcBorders>
            <w:noWrap/>
          </w:tcPr>
          <w:p w14:paraId="1475DE17" w14:textId="77777777" w:rsidR="00F55D4F" w:rsidRPr="00F55D4F" w:rsidRDefault="00F55D4F" w:rsidP="00645899">
            <w:pPr>
              <w:rPr>
                <w:sz w:val="20"/>
              </w:rPr>
            </w:pPr>
            <w:r w:rsidRPr="00F55D4F">
              <w:rPr>
                <w:sz w:val="20"/>
              </w:rPr>
              <w:t>Formulation III</w:t>
            </w:r>
          </w:p>
        </w:tc>
        <w:tc>
          <w:tcPr>
            <w:tcW w:w="1560" w:type="dxa"/>
            <w:tcBorders>
              <w:top w:val="single" w:sz="4" w:space="0" w:color="000000"/>
              <w:left w:val="nil"/>
              <w:bottom w:val="single" w:sz="4" w:space="0" w:color="000000"/>
              <w:right w:val="nil"/>
            </w:tcBorders>
            <w:noWrap/>
          </w:tcPr>
          <w:p w14:paraId="08D5DC05" w14:textId="77777777" w:rsidR="00F55D4F" w:rsidRPr="00F55D4F" w:rsidRDefault="00F55D4F" w:rsidP="00645899">
            <w:pPr>
              <w:rPr>
                <w:sz w:val="20"/>
              </w:rPr>
            </w:pPr>
            <w:r w:rsidRPr="00F55D4F">
              <w:rPr>
                <w:sz w:val="20"/>
              </w:rPr>
              <w:t>32.02±0.19a</w:t>
            </w:r>
          </w:p>
        </w:tc>
        <w:tc>
          <w:tcPr>
            <w:tcW w:w="1433" w:type="dxa"/>
            <w:tcBorders>
              <w:top w:val="single" w:sz="4" w:space="0" w:color="000000"/>
              <w:left w:val="nil"/>
              <w:bottom w:val="single" w:sz="4" w:space="0" w:color="000000"/>
              <w:right w:val="nil"/>
            </w:tcBorders>
            <w:noWrap/>
          </w:tcPr>
          <w:p w14:paraId="0F66601F" w14:textId="77777777" w:rsidR="00F55D4F" w:rsidRPr="00F55D4F" w:rsidRDefault="00F55D4F" w:rsidP="00645899">
            <w:pPr>
              <w:rPr>
                <w:sz w:val="20"/>
              </w:rPr>
            </w:pPr>
            <w:r w:rsidRPr="00F55D4F">
              <w:rPr>
                <w:sz w:val="20"/>
              </w:rPr>
              <w:t>7.89±0.22d</w:t>
            </w:r>
          </w:p>
        </w:tc>
        <w:tc>
          <w:tcPr>
            <w:tcW w:w="1612" w:type="dxa"/>
            <w:tcBorders>
              <w:top w:val="single" w:sz="4" w:space="0" w:color="000000"/>
              <w:left w:val="nil"/>
              <w:bottom w:val="single" w:sz="4" w:space="0" w:color="000000"/>
              <w:right w:val="nil"/>
            </w:tcBorders>
            <w:noWrap/>
          </w:tcPr>
          <w:p w14:paraId="6582307E" w14:textId="77777777" w:rsidR="00F55D4F" w:rsidRPr="00F55D4F" w:rsidRDefault="00F55D4F" w:rsidP="00645899">
            <w:pPr>
              <w:rPr>
                <w:sz w:val="20"/>
              </w:rPr>
            </w:pPr>
            <w:r w:rsidRPr="00F55D4F">
              <w:rPr>
                <w:sz w:val="20"/>
              </w:rPr>
              <w:t>13.17±1.18b</w:t>
            </w:r>
          </w:p>
        </w:tc>
      </w:tr>
    </w:tbl>
    <w:p w14:paraId="6266C74C" w14:textId="77777777" w:rsidR="006F5B87" w:rsidRDefault="006F5B87" w:rsidP="006F5B87">
      <w:pPr>
        <w:pStyle w:val="Paragraph"/>
      </w:pPr>
      <w:r>
        <w:t>Different letters within the column indicate significant differences at P&lt;0.05.</w:t>
      </w:r>
    </w:p>
    <w:p w14:paraId="1CE35A4F" w14:textId="77777777" w:rsidR="00F55D4F" w:rsidRDefault="00F55D4F" w:rsidP="006F5B87">
      <w:pPr>
        <w:pStyle w:val="Paragraph"/>
      </w:pPr>
    </w:p>
    <w:p w14:paraId="01CC52F6" w14:textId="77777777" w:rsidR="00F55D4F" w:rsidRDefault="00F55D4F" w:rsidP="00F55D4F">
      <w:pPr>
        <w:pStyle w:val="Paragraph"/>
      </w:pPr>
      <w:r>
        <w:t xml:space="preserve">According to the findings of this study, rice noodles injected with formulas I, II, and III have lower L* values than commercial white rice noodles (p&lt;0.05). This means that the brightness of brown rice noodles (43.25±0.09) is lower than that of commercial white rice noodles (72.56±1.16). Gluten-free brown rice formulation III has the lowest brightness level compared to the other two gluten-free brown rice noodles formulations. This is due to the high proportion of tapioca flour in the composition of its constituents. </w:t>
      </w:r>
    </w:p>
    <w:p w14:paraId="1BF8A11A" w14:textId="483FB9BD" w:rsidR="006F5B87" w:rsidRDefault="00F55D4F" w:rsidP="00F55D4F">
      <w:pPr>
        <w:pStyle w:val="Paragraph"/>
      </w:pPr>
      <w:r>
        <w:t>According to the number, a, commercial white rice noodles have the least intensity of red color compared to gluten-free brown rice noodles (p&lt;0.05). Similarly, number b indicates that commercial white rice noodles have the least yellow color than the three gluten-free organic brown rice noodles formulations. Compared to the other two formulations, gluten-free organic brown rice noodle formulation III has the least yellow color.</w:t>
      </w:r>
    </w:p>
    <w:p w14:paraId="4D811FB9" w14:textId="77777777" w:rsidR="00E76112" w:rsidRDefault="00E76112" w:rsidP="00E76112">
      <w:pPr>
        <w:pStyle w:val="Paragraph"/>
        <w:ind w:firstLine="0"/>
      </w:pPr>
    </w:p>
    <w:p w14:paraId="2C492AE7" w14:textId="234948F8" w:rsidR="006F5B87" w:rsidRPr="00E76112" w:rsidRDefault="006F5B87" w:rsidP="00E76112">
      <w:pPr>
        <w:pStyle w:val="Paragraph"/>
        <w:ind w:firstLine="0"/>
        <w:jc w:val="center"/>
        <w:rPr>
          <w:b/>
          <w:bCs/>
        </w:rPr>
      </w:pPr>
      <w:r w:rsidRPr="00E76112">
        <w:rPr>
          <w:b/>
          <w:bCs/>
        </w:rPr>
        <w:t>Sensory evaluation</w:t>
      </w:r>
    </w:p>
    <w:p w14:paraId="0DFFAC33" w14:textId="5BCA0D67" w:rsidR="006F5B87" w:rsidRDefault="00F55D4F" w:rsidP="006F5B87">
      <w:pPr>
        <w:pStyle w:val="Paragraph"/>
      </w:pPr>
      <w:r w:rsidRPr="00F55D4F">
        <w:t>The physical, color, shape, and texture of a food product strongly influence its acceptance. The physical appearance of food is the first thing consumers evaluate when purchasing a product [19]. Table 3 shows that gluten-free organic brown rice noodles received a favorable response from the panelists. However, commercial white noodles continue to have the highest acceptance rate compared to milk-injected rice noodles in formulations I, II, or III.</w:t>
      </w:r>
    </w:p>
    <w:p w14:paraId="45A2DE77" w14:textId="7E1B2530" w:rsidR="006F5B87" w:rsidRDefault="006F5B87" w:rsidP="006F5B87">
      <w:pPr>
        <w:pStyle w:val="Paragraph"/>
      </w:pPr>
      <w:r>
        <w:t>Table 4. Sensory evaluation of three formulations of gluten-free noodle rice</w:t>
      </w:r>
    </w:p>
    <w:tbl>
      <w:tblPr>
        <w:tblW w:w="8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1333"/>
        <w:gridCol w:w="1276"/>
        <w:gridCol w:w="1417"/>
        <w:gridCol w:w="1276"/>
        <w:gridCol w:w="1379"/>
      </w:tblGrid>
      <w:tr w:rsidR="00F55D4F" w:rsidRPr="00A94CB1" w14:paraId="3F7E1A62" w14:textId="77777777" w:rsidTr="00645899">
        <w:tc>
          <w:tcPr>
            <w:tcW w:w="1877" w:type="dxa"/>
            <w:tcBorders>
              <w:left w:val="nil"/>
              <w:right w:val="nil"/>
            </w:tcBorders>
            <w:noWrap/>
          </w:tcPr>
          <w:p w14:paraId="2F58477A" w14:textId="77777777" w:rsidR="00F55D4F" w:rsidRPr="00A94CB1" w:rsidRDefault="00F55D4F" w:rsidP="00645899">
            <w:pPr>
              <w:jc w:val="center"/>
              <w:rPr>
                <w:rFonts w:asciiTheme="majorBidi" w:hAnsiTheme="majorBidi" w:cstheme="majorBidi"/>
                <w:sz w:val="20"/>
              </w:rPr>
            </w:pPr>
          </w:p>
        </w:tc>
        <w:tc>
          <w:tcPr>
            <w:tcW w:w="1333" w:type="dxa"/>
            <w:tcBorders>
              <w:left w:val="nil"/>
              <w:right w:val="nil"/>
            </w:tcBorders>
            <w:noWrap/>
          </w:tcPr>
          <w:p w14:paraId="68BAE66A" w14:textId="77777777" w:rsidR="00F55D4F" w:rsidRPr="00A94CB1" w:rsidRDefault="00F55D4F" w:rsidP="00645899">
            <w:pPr>
              <w:jc w:val="center"/>
              <w:rPr>
                <w:rFonts w:asciiTheme="majorBidi" w:hAnsiTheme="majorBidi" w:cstheme="majorBidi"/>
                <w:sz w:val="20"/>
              </w:rPr>
            </w:pPr>
            <w:r w:rsidRPr="00A94CB1">
              <w:rPr>
                <w:rFonts w:asciiTheme="majorBidi" w:hAnsiTheme="majorBidi" w:cstheme="majorBidi"/>
                <w:sz w:val="20"/>
              </w:rPr>
              <w:t>Color</w:t>
            </w:r>
          </w:p>
        </w:tc>
        <w:tc>
          <w:tcPr>
            <w:tcW w:w="1276" w:type="dxa"/>
            <w:tcBorders>
              <w:left w:val="nil"/>
              <w:right w:val="nil"/>
            </w:tcBorders>
            <w:noWrap/>
          </w:tcPr>
          <w:p w14:paraId="65265B34" w14:textId="77777777" w:rsidR="00F55D4F" w:rsidRPr="00A94CB1" w:rsidRDefault="00F55D4F" w:rsidP="00645899">
            <w:pPr>
              <w:jc w:val="center"/>
              <w:rPr>
                <w:rFonts w:asciiTheme="majorBidi" w:hAnsiTheme="majorBidi" w:cstheme="majorBidi"/>
                <w:sz w:val="20"/>
              </w:rPr>
            </w:pPr>
            <w:r w:rsidRPr="00A94CB1">
              <w:rPr>
                <w:rFonts w:asciiTheme="majorBidi" w:hAnsiTheme="majorBidi" w:cstheme="majorBidi"/>
                <w:sz w:val="20"/>
              </w:rPr>
              <w:t>Aroma</w:t>
            </w:r>
          </w:p>
        </w:tc>
        <w:tc>
          <w:tcPr>
            <w:tcW w:w="1417" w:type="dxa"/>
            <w:tcBorders>
              <w:left w:val="nil"/>
              <w:right w:val="nil"/>
            </w:tcBorders>
            <w:noWrap/>
          </w:tcPr>
          <w:p w14:paraId="0B85CCE9" w14:textId="77777777" w:rsidR="00F55D4F" w:rsidRPr="00A94CB1" w:rsidRDefault="00F55D4F" w:rsidP="00645899">
            <w:pPr>
              <w:jc w:val="center"/>
              <w:rPr>
                <w:rFonts w:asciiTheme="majorBidi" w:hAnsiTheme="majorBidi" w:cstheme="majorBidi"/>
                <w:sz w:val="20"/>
              </w:rPr>
            </w:pPr>
            <w:r w:rsidRPr="00A94CB1">
              <w:rPr>
                <w:rFonts w:asciiTheme="majorBidi" w:hAnsiTheme="majorBidi" w:cstheme="majorBidi"/>
                <w:sz w:val="20"/>
              </w:rPr>
              <w:t>Taste</w:t>
            </w:r>
          </w:p>
        </w:tc>
        <w:tc>
          <w:tcPr>
            <w:tcW w:w="1276" w:type="dxa"/>
            <w:tcBorders>
              <w:left w:val="nil"/>
              <w:right w:val="nil"/>
            </w:tcBorders>
            <w:noWrap/>
          </w:tcPr>
          <w:p w14:paraId="2712B327" w14:textId="77777777" w:rsidR="00F55D4F" w:rsidRPr="00A94CB1" w:rsidRDefault="00F55D4F" w:rsidP="00645899">
            <w:pPr>
              <w:jc w:val="center"/>
              <w:rPr>
                <w:rFonts w:asciiTheme="majorBidi" w:hAnsiTheme="majorBidi" w:cstheme="majorBidi"/>
                <w:sz w:val="20"/>
              </w:rPr>
            </w:pPr>
            <w:r w:rsidRPr="00A94CB1">
              <w:rPr>
                <w:rFonts w:asciiTheme="majorBidi" w:hAnsiTheme="majorBidi" w:cstheme="majorBidi"/>
                <w:sz w:val="20"/>
              </w:rPr>
              <w:t>Textur</w:t>
            </w:r>
          </w:p>
        </w:tc>
        <w:tc>
          <w:tcPr>
            <w:tcW w:w="1379" w:type="dxa"/>
            <w:tcBorders>
              <w:left w:val="nil"/>
              <w:right w:val="nil"/>
            </w:tcBorders>
            <w:noWrap/>
          </w:tcPr>
          <w:p w14:paraId="136FB4F7" w14:textId="77777777" w:rsidR="00F55D4F" w:rsidRPr="00A94CB1" w:rsidRDefault="00F55D4F" w:rsidP="00645899">
            <w:pPr>
              <w:jc w:val="center"/>
              <w:rPr>
                <w:rFonts w:asciiTheme="majorBidi" w:hAnsiTheme="majorBidi" w:cstheme="majorBidi"/>
                <w:sz w:val="20"/>
              </w:rPr>
            </w:pPr>
            <w:r w:rsidRPr="00A94CB1">
              <w:rPr>
                <w:rFonts w:asciiTheme="majorBidi" w:hAnsiTheme="majorBidi" w:cstheme="majorBidi"/>
                <w:sz w:val="20"/>
              </w:rPr>
              <w:t>Overall</w:t>
            </w:r>
          </w:p>
        </w:tc>
      </w:tr>
      <w:tr w:rsidR="00F55D4F" w:rsidRPr="00A94CB1" w14:paraId="57815599" w14:textId="77777777" w:rsidTr="00645899">
        <w:tc>
          <w:tcPr>
            <w:tcW w:w="1877" w:type="dxa"/>
            <w:tcBorders>
              <w:top w:val="nil"/>
              <w:left w:val="nil"/>
              <w:bottom w:val="nil"/>
              <w:right w:val="nil"/>
            </w:tcBorders>
            <w:noWrap/>
          </w:tcPr>
          <w:p w14:paraId="63C6F359"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Formulation I</w:t>
            </w:r>
          </w:p>
        </w:tc>
        <w:tc>
          <w:tcPr>
            <w:tcW w:w="1333" w:type="dxa"/>
            <w:tcBorders>
              <w:top w:val="nil"/>
              <w:left w:val="nil"/>
              <w:bottom w:val="nil"/>
              <w:right w:val="nil"/>
            </w:tcBorders>
            <w:noWrap/>
          </w:tcPr>
          <w:p w14:paraId="62727DB0"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5.98±0.68</w:t>
            </w:r>
            <w:r w:rsidRPr="00A94CB1">
              <w:rPr>
                <w:rFonts w:asciiTheme="majorBidi" w:hAnsiTheme="majorBidi" w:cstheme="majorBidi"/>
                <w:sz w:val="20"/>
                <w:vertAlign w:val="superscript"/>
              </w:rPr>
              <w:t>c</w:t>
            </w:r>
          </w:p>
        </w:tc>
        <w:tc>
          <w:tcPr>
            <w:tcW w:w="1276" w:type="dxa"/>
            <w:tcBorders>
              <w:top w:val="nil"/>
              <w:left w:val="nil"/>
              <w:bottom w:val="nil"/>
              <w:right w:val="nil"/>
            </w:tcBorders>
            <w:noWrap/>
          </w:tcPr>
          <w:p w14:paraId="5D4CB967"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6.38±0.53</w:t>
            </w:r>
            <w:r w:rsidRPr="00A94CB1">
              <w:rPr>
                <w:rFonts w:asciiTheme="majorBidi" w:hAnsiTheme="majorBidi" w:cstheme="majorBidi"/>
                <w:sz w:val="20"/>
                <w:vertAlign w:val="superscript"/>
              </w:rPr>
              <w:t>c</w:t>
            </w:r>
          </w:p>
        </w:tc>
        <w:tc>
          <w:tcPr>
            <w:tcW w:w="1417" w:type="dxa"/>
            <w:tcBorders>
              <w:top w:val="nil"/>
              <w:left w:val="nil"/>
              <w:bottom w:val="nil"/>
              <w:right w:val="nil"/>
            </w:tcBorders>
            <w:noWrap/>
          </w:tcPr>
          <w:p w14:paraId="637196E8"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5.98±0.68</w:t>
            </w:r>
            <w:r w:rsidRPr="00A94CB1">
              <w:rPr>
                <w:rFonts w:asciiTheme="majorBidi" w:hAnsiTheme="majorBidi" w:cstheme="majorBidi"/>
                <w:sz w:val="20"/>
                <w:vertAlign w:val="superscript"/>
              </w:rPr>
              <w:t>c</w:t>
            </w:r>
          </w:p>
        </w:tc>
        <w:tc>
          <w:tcPr>
            <w:tcW w:w="1276" w:type="dxa"/>
            <w:tcBorders>
              <w:top w:val="nil"/>
              <w:left w:val="nil"/>
              <w:bottom w:val="nil"/>
              <w:right w:val="nil"/>
            </w:tcBorders>
            <w:noWrap/>
          </w:tcPr>
          <w:p w14:paraId="17B7311A"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6.12±0.72</w:t>
            </w:r>
            <w:r w:rsidRPr="00A94CB1">
              <w:rPr>
                <w:rFonts w:asciiTheme="majorBidi" w:hAnsiTheme="majorBidi" w:cstheme="majorBidi"/>
                <w:sz w:val="20"/>
                <w:vertAlign w:val="superscript"/>
              </w:rPr>
              <w:t>c</w:t>
            </w:r>
          </w:p>
        </w:tc>
        <w:tc>
          <w:tcPr>
            <w:tcW w:w="1379" w:type="dxa"/>
            <w:tcBorders>
              <w:top w:val="nil"/>
              <w:left w:val="nil"/>
              <w:bottom w:val="nil"/>
              <w:right w:val="nil"/>
            </w:tcBorders>
            <w:noWrap/>
          </w:tcPr>
          <w:p w14:paraId="69E37EB8"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6.44±0.54</w:t>
            </w:r>
            <w:r w:rsidRPr="00A94CB1">
              <w:rPr>
                <w:rFonts w:asciiTheme="majorBidi" w:hAnsiTheme="majorBidi" w:cstheme="majorBidi"/>
                <w:sz w:val="20"/>
                <w:vertAlign w:val="superscript"/>
              </w:rPr>
              <w:t>b</w:t>
            </w:r>
          </w:p>
        </w:tc>
      </w:tr>
      <w:tr w:rsidR="00F55D4F" w:rsidRPr="00A94CB1" w14:paraId="557C86D1" w14:textId="77777777" w:rsidTr="00645899">
        <w:tc>
          <w:tcPr>
            <w:tcW w:w="1877" w:type="dxa"/>
            <w:tcBorders>
              <w:top w:val="nil"/>
              <w:left w:val="nil"/>
              <w:bottom w:val="nil"/>
              <w:right w:val="nil"/>
            </w:tcBorders>
            <w:noWrap/>
          </w:tcPr>
          <w:p w14:paraId="17BDB8FC"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Formulation II</w:t>
            </w:r>
          </w:p>
        </w:tc>
        <w:tc>
          <w:tcPr>
            <w:tcW w:w="1333" w:type="dxa"/>
            <w:tcBorders>
              <w:top w:val="nil"/>
              <w:left w:val="nil"/>
              <w:bottom w:val="nil"/>
              <w:right w:val="nil"/>
            </w:tcBorders>
            <w:noWrap/>
          </w:tcPr>
          <w:p w14:paraId="646E4C53"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5.14±0.61</w:t>
            </w:r>
            <w:r w:rsidRPr="00A94CB1">
              <w:rPr>
                <w:rFonts w:asciiTheme="majorBidi" w:hAnsiTheme="majorBidi" w:cstheme="majorBidi"/>
                <w:sz w:val="20"/>
                <w:vertAlign w:val="superscript"/>
              </w:rPr>
              <w:t>b</w:t>
            </w:r>
          </w:p>
        </w:tc>
        <w:tc>
          <w:tcPr>
            <w:tcW w:w="1276" w:type="dxa"/>
            <w:tcBorders>
              <w:top w:val="nil"/>
              <w:left w:val="nil"/>
              <w:bottom w:val="nil"/>
              <w:right w:val="nil"/>
            </w:tcBorders>
            <w:noWrap/>
          </w:tcPr>
          <w:p w14:paraId="7672EF81"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5.52±0.58</w:t>
            </w:r>
            <w:r w:rsidRPr="00A94CB1">
              <w:rPr>
                <w:rFonts w:asciiTheme="majorBidi" w:hAnsiTheme="majorBidi" w:cstheme="majorBidi"/>
                <w:sz w:val="20"/>
                <w:vertAlign w:val="superscript"/>
              </w:rPr>
              <w:t>b</w:t>
            </w:r>
          </w:p>
        </w:tc>
        <w:tc>
          <w:tcPr>
            <w:tcW w:w="1417" w:type="dxa"/>
            <w:tcBorders>
              <w:top w:val="nil"/>
              <w:left w:val="nil"/>
              <w:bottom w:val="nil"/>
              <w:right w:val="nil"/>
            </w:tcBorders>
            <w:noWrap/>
          </w:tcPr>
          <w:p w14:paraId="325B2286"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5.14±0.61</w:t>
            </w:r>
            <w:r w:rsidRPr="00A94CB1">
              <w:rPr>
                <w:rFonts w:asciiTheme="majorBidi" w:hAnsiTheme="majorBidi" w:cstheme="majorBidi"/>
                <w:sz w:val="20"/>
                <w:vertAlign w:val="superscript"/>
              </w:rPr>
              <w:t>b</w:t>
            </w:r>
          </w:p>
        </w:tc>
        <w:tc>
          <w:tcPr>
            <w:tcW w:w="1276" w:type="dxa"/>
            <w:tcBorders>
              <w:top w:val="nil"/>
              <w:left w:val="nil"/>
              <w:bottom w:val="nil"/>
              <w:right w:val="nil"/>
            </w:tcBorders>
            <w:noWrap/>
          </w:tcPr>
          <w:p w14:paraId="6D482F7D"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5.16±0.71</w:t>
            </w:r>
            <w:r w:rsidRPr="00A94CB1">
              <w:rPr>
                <w:rFonts w:asciiTheme="majorBidi" w:hAnsiTheme="majorBidi" w:cstheme="majorBidi"/>
                <w:sz w:val="20"/>
                <w:vertAlign w:val="superscript"/>
              </w:rPr>
              <w:t>b</w:t>
            </w:r>
          </w:p>
        </w:tc>
        <w:tc>
          <w:tcPr>
            <w:tcW w:w="1379" w:type="dxa"/>
            <w:tcBorders>
              <w:top w:val="nil"/>
              <w:left w:val="nil"/>
              <w:bottom w:val="nil"/>
              <w:right w:val="nil"/>
            </w:tcBorders>
            <w:noWrap/>
          </w:tcPr>
          <w:p w14:paraId="0552D330"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5.10±0.74</w:t>
            </w:r>
            <w:r w:rsidRPr="00A94CB1">
              <w:rPr>
                <w:rFonts w:asciiTheme="majorBidi" w:hAnsiTheme="majorBidi" w:cstheme="majorBidi"/>
                <w:sz w:val="20"/>
                <w:vertAlign w:val="superscript"/>
              </w:rPr>
              <w:t>a</w:t>
            </w:r>
          </w:p>
        </w:tc>
      </w:tr>
      <w:tr w:rsidR="00F55D4F" w:rsidRPr="00A94CB1" w14:paraId="4B2AEED4" w14:textId="77777777" w:rsidTr="00645899">
        <w:tc>
          <w:tcPr>
            <w:tcW w:w="1877" w:type="dxa"/>
            <w:tcBorders>
              <w:top w:val="nil"/>
              <w:left w:val="nil"/>
              <w:bottom w:val="nil"/>
              <w:right w:val="nil"/>
            </w:tcBorders>
            <w:noWrap/>
          </w:tcPr>
          <w:p w14:paraId="254CEA7A"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Formulation III</w:t>
            </w:r>
          </w:p>
        </w:tc>
        <w:tc>
          <w:tcPr>
            <w:tcW w:w="1333" w:type="dxa"/>
            <w:tcBorders>
              <w:top w:val="nil"/>
              <w:left w:val="nil"/>
              <w:bottom w:val="nil"/>
              <w:right w:val="nil"/>
            </w:tcBorders>
            <w:noWrap/>
          </w:tcPr>
          <w:p w14:paraId="12CC090A"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3.82±0.72</w:t>
            </w:r>
            <w:r w:rsidRPr="00A94CB1">
              <w:rPr>
                <w:rFonts w:asciiTheme="majorBidi" w:hAnsiTheme="majorBidi" w:cstheme="majorBidi"/>
                <w:sz w:val="20"/>
                <w:vertAlign w:val="superscript"/>
              </w:rPr>
              <w:t>a</w:t>
            </w:r>
          </w:p>
        </w:tc>
        <w:tc>
          <w:tcPr>
            <w:tcW w:w="1276" w:type="dxa"/>
            <w:tcBorders>
              <w:top w:val="nil"/>
              <w:left w:val="nil"/>
              <w:bottom w:val="nil"/>
              <w:right w:val="nil"/>
            </w:tcBorders>
            <w:noWrap/>
          </w:tcPr>
          <w:p w14:paraId="38837962"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3.74±0.66</w:t>
            </w:r>
            <w:r w:rsidRPr="00A94CB1">
              <w:rPr>
                <w:rFonts w:asciiTheme="majorBidi" w:hAnsiTheme="majorBidi" w:cstheme="majorBidi"/>
                <w:sz w:val="20"/>
                <w:vertAlign w:val="superscript"/>
              </w:rPr>
              <w:t>a</w:t>
            </w:r>
          </w:p>
        </w:tc>
        <w:tc>
          <w:tcPr>
            <w:tcW w:w="1417" w:type="dxa"/>
            <w:tcBorders>
              <w:top w:val="nil"/>
              <w:left w:val="nil"/>
              <w:bottom w:val="nil"/>
              <w:right w:val="nil"/>
            </w:tcBorders>
            <w:noWrap/>
          </w:tcPr>
          <w:p w14:paraId="26D479A6"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4.20±0.92</w:t>
            </w:r>
            <w:r w:rsidRPr="00A94CB1">
              <w:rPr>
                <w:rFonts w:asciiTheme="majorBidi" w:hAnsiTheme="majorBidi" w:cstheme="majorBidi"/>
                <w:sz w:val="20"/>
                <w:vertAlign w:val="superscript"/>
              </w:rPr>
              <w:t>a</w:t>
            </w:r>
          </w:p>
        </w:tc>
        <w:tc>
          <w:tcPr>
            <w:tcW w:w="1276" w:type="dxa"/>
            <w:tcBorders>
              <w:top w:val="nil"/>
              <w:left w:val="nil"/>
              <w:bottom w:val="nil"/>
              <w:right w:val="nil"/>
            </w:tcBorders>
            <w:noWrap/>
          </w:tcPr>
          <w:p w14:paraId="404B8F00"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4.00±0.76</w:t>
            </w:r>
            <w:r w:rsidRPr="00A94CB1">
              <w:rPr>
                <w:rFonts w:asciiTheme="majorBidi" w:hAnsiTheme="majorBidi" w:cstheme="majorBidi"/>
                <w:sz w:val="20"/>
                <w:vertAlign w:val="superscript"/>
              </w:rPr>
              <w:t>a</w:t>
            </w:r>
          </w:p>
        </w:tc>
        <w:tc>
          <w:tcPr>
            <w:tcW w:w="1379" w:type="dxa"/>
            <w:tcBorders>
              <w:top w:val="nil"/>
              <w:left w:val="nil"/>
              <w:bottom w:val="nil"/>
              <w:right w:val="nil"/>
            </w:tcBorders>
            <w:noWrap/>
          </w:tcPr>
          <w:p w14:paraId="2DB9C798"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5.10±0.68</w:t>
            </w:r>
            <w:r w:rsidRPr="00A94CB1">
              <w:rPr>
                <w:rFonts w:asciiTheme="majorBidi" w:hAnsiTheme="majorBidi" w:cstheme="majorBidi"/>
                <w:sz w:val="20"/>
                <w:vertAlign w:val="superscript"/>
              </w:rPr>
              <w:t>a</w:t>
            </w:r>
          </w:p>
        </w:tc>
      </w:tr>
      <w:tr w:rsidR="00F55D4F" w:rsidRPr="00A94CB1" w14:paraId="0B1229CB" w14:textId="77777777" w:rsidTr="00645899">
        <w:tc>
          <w:tcPr>
            <w:tcW w:w="1877" w:type="dxa"/>
            <w:tcBorders>
              <w:top w:val="nil"/>
              <w:left w:val="nil"/>
              <w:bottom w:val="nil"/>
              <w:right w:val="nil"/>
            </w:tcBorders>
            <w:noWrap/>
          </w:tcPr>
          <w:p w14:paraId="49192856"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Kontrol</w:t>
            </w:r>
          </w:p>
        </w:tc>
        <w:tc>
          <w:tcPr>
            <w:tcW w:w="1333" w:type="dxa"/>
            <w:tcBorders>
              <w:top w:val="nil"/>
              <w:left w:val="nil"/>
              <w:bottom w:val="nil"/>
              <w:right w:val="nil"/>
            </w:tcBorders>
            <w:noWrap/>
          </w:tcPr>
          <w:p w14:paraId="652D459B"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7.30±0.74</w:t>
            </w:r>
            <w:r w:rsidRPr="00A94CB1">
              <w:rPr>
                <w:rFonts w:asciiTheme="majorBidi" w:hAnsiTheme="majorBidi" w:cstheme="majorBidi"/>
                <w:sz w:val="20"/>
                <w:vertAlign w:val="superscript"/>
              </w:rPr>
              <w:t>d</w:t>
            </w:r>
          </w:p>
        </w:tc>
        <w:tc>
          <w:tcPr>
            <w:tcW w:w="1276" w:type="dxa"/>
            <w:tcBorders>
              <w:top w:val="nil"/>
              <w:left w:val="nil"/>
              <w:bottom w:val="nil"/>
              <w:right w:val="nil"/>
            </w:tcBorders>
            <w:noWrap/>
          </w:tcPr>
          <w:p w14:paraId="14D42766"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7.24±0.62</w:t>
            </w:r>
            <w:r w:rsidRPr="00A94CB1">
              <w:rPr>
                <w:rFonts w:asciiTheme="majorBidi" w:hAnsiTheme="majorBidi" w:cstheme="majorBidi"/>
                <w:sz w:val="20"/>
                <w:vertAlign w:val="superscript"/>
              </w:rPr>
              <w:t>d</w:t>
            </w:r>
          </w:p>
        </w:tc>
        <w:tc>
          <w:tcPr>
            <w:tcW w:w="1417" w:type="dxa"/>
            <w:tcBorders>
              <w:top w:val="nil"/>
              <w:left w:val="nil"/>
              <w:bottom w:val="nil"/>
              <w:right w:val="nil"/>
            </w:tcBorders>
            <w:noWrap/>
          </w:tcPr>
          <w:p w14:paraId="29F83099"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7.3±0.74</w:t>
            </w:r>
            <w:r w:rsidRPr="00A94CB1">
              <w:rPr>
                <w:rFonts w:asciiTheme="majorBidi" w:hAnsiTheme="majorBidi" w:cstheme="majorBidi"/>
                <w:sz w:val="20"/>
                <w:vertAlign w:val="superscript"/>
              </w:rPr>
              <w:t>d</w:t>
            </w:r>
          </w:p>
        </w:tc>
        <w:tc>
          <w:tcPr>
            <w:tcW w:w="1276" w:type="dxa"/>
            <w:tcBorders>
              <w:top w:val="nil"/>
              <w:left w:val="nil"/>
              <w:bottom w:val="nil"/>
              <w:right w:val="nil"/>
            </w:tcBorders>
            <w:noWrap/>
          </w:tcPr>
          <w:p w14:paraId="316D2E6E"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7.38±0.85</w:t>
            </w:r>
            <w:r w:rsidRPr="00A94CB1">
              <w:rPr>
                <w:rFonts w:asciiTheme="majorBidi" w:hAnsiTheme="majorBidi" w:cstheme="majorBidi"/>
                <w:sz w:val="20"/>
                <w:vertAlign w:val="superscript"/>
              </w:rPr>
              <w:t>d</w:t>
            </w:r>
          </w:p>
        </w:tc>
        <w:tc>
          <w:tcPr>
            <w:tcW w:w="1379" w:type="dxa"/>
            <w:tcBorders>
              <w:top w:val="nil"/>
              <w:left w:val="nil"/>
              <w:bottom w:val="nil"/>
              <w:right w:val="nil"/>
            </w:tcBorders>
            <w:noWrap/>
          </w:tcPr>
          <w:p w14:paraId="449B0B6D" w14:textId="77777777" w:rsidR="00F55D4F" w:rsidRPr="00A94CB1" w:rsidRDefault="00F55D4F" w:rsidP="00645899">
            <w:pPr>
              <w:rPr>
                <w:rFonts w:asciiTheme="majorBidi" w:hAnsiTheme="majorBidi" w:cstheme="majorBidi"/>
                <w:sz w:val="20"/>
              </w:rPr>
            </w:pPr>
            <w:r w:rsidRPr="00A94CB1">
              <w:rPr>
                <w:rFonts w:asciiTheme="majorBidi" w:hAnsiTheme="majorBidi" w:cstheme="majorBidi"/>
                <w:sz w:val="20"/>
              </w:rPr>
              <w:t>7.58±0.50</w:t>
            </w:r>
            <w:r w:rsidRPr="00A94CB1">
              <w:rPr>
                <w:rFonts w:asciiTheme="majorBidi" w:hAnsiTheme="majorBidi" w:cstheme="majorBidi"/>
                <w:sz w:val="20"/>
                <w:vertAlign w:val="superscript"/>
              </w:rPr>
              <w:t>c</w:t>
            </w:r>
          </w:p>
        </w:tc>
      </w:tr>
      <w:tr w:rsidR="00F55D4F" w:rsidRPr="00A94CB1" w14:paraId="473D1540" w14:textId="77777777" w:rsidTr="00645899">
        <w:tc>
          <w:tcPr>
            <w:tcW w:w="1877" w:type="dxa"/>
            <w:tcBorders>
              <w:top w:val="nil"/>
              <w:left w:val="nil"/>
              <w:right w:val="nil"/>
            </w:tcBorders>
            <w:noWrap/>
          </w:tcPr>
          <w:p w14:paraId="52DA1860" w14:textId="77777777" w:rsidR="00F55D4F" w:rsidRPr="00A94CB1" w:rsidRDefault="00F55D4F" w:rsidP="00645899">
            <w:pPr>
              <w:rPr>
                <w:rFonts w:asciiTheme="majorBidi" w:hAnsiTheme="majorBidi" w:cstheme="majorBidi"/>
                <w:sz w:val="20"/>
                <w:highlight w:val="yellow"/>
              </w:rPr>
            </w:pPr>
          </w:p>
        </w:tc>
        <w:tc>
          <w:tcPr>
            <w:tcW w:w="1333" w:type="dxa"/>
            <w:tcBorders>
              <w:top w:val="nil"/>
              <w:left w:val="nil"/>
              <w:right w:val="nil"/>
            </w:tcBorders>
            <w:noWrap/>
          </w:tcPr>
          <w:p w14:paraId="13E60D98" w14:textId="77777777" w:rsidR="00F55D4F" w:rsidRPr="00A94CB1" w:rsidRDefault="00F55D4F" w:rsidP="00645899">
            <w:pPr>
              <w:rPr>
                <w:rFonts w:asciiTheme="majorBidi" w:hAnsiTheme="majorBidi" w:cstheme="majorBidi"/>
                <w:sz w:val="20"/>
                <w:highlight w:val="yellow"/>
              </w:rPr>
            </w:pPr>
          </w:p>
        </w:tc>
        <w:tc>
          <w:tcPr>
            <w:tcW w:w="1276" w:type="dxa"/>
            <w:tcBorders>
              <w:top w:val="nil"/>
              <w:left w:val="nil"/>
              <w:right w:val="nil"/>
            </w:tcBorders>
            <w:noWrap/>
          </w:tcPr>
          <w:p w14:paraId="7BA43736" w14:textId="77777777" w:rsidR="00F55D4F" w:rsidRPr="00A94CB1" w:rsidRDefault="00F55D4F" w:rsidP="00645899">
            <w:pPr>
              <w:rPr>
                <w:rFonts w:asciiTheme="majorBidi" w:hAnsiTheme="majorBidi" w:cstheme="majorBidi"/>
                <w:sz w:val="20"/>
                <w:highlight w:val="yellow"/>
              </w:rPr>
            </w:pPr>
          </w:p>
        </w:tc>
        <w:tc>
          <w:tcPr>
            <w:tcW w:w="1417" w:type="dxa"/>
            <w:tcBorders>
              <w:top w:val="nil"/>
              <w:left w:val="nil"/>
              <w:right w:val="nil"/>
            </w:tcBorders>
            <w:noWrap/>
          </w:tcPr>
          <w:p w14:paraId="65E71F41" w14:textId="77777777" w:rsidR="00F55D4F" w:rsidRPr="00A94CB1" w:rsidRDefault="00F55D4F" w:rsidP="00645899">
            <w:pPr>
              <w:rPr>
                <w:rFonts w:asciiTheme="majorBidi" w:hAnsiTheme="majorBidi" w:cstheme="majorBidi"/>
                <w:sz w:val="20"/>
                <w:highlight w:val="yellow"/>
              </w:rPr>
            </w:pPr>
          </w:p>
        </w:tc>
        <w:tc>
          <w:tcPr>
            <w:tcW w:w="1276" w:type="dxa"/>
            <w:tcBorders>
              <w:top w:val="nil"/>
              <w:left w:val="nil"/>
              <w:right w:val="nil"/>
            </w:tcBorders>
            <w:noWrap/>
          </w:tcPr>
          <w:p w14:paraId="6EA6FE91" w14:textId="77777777" w:rsidR="00F55D4F" w:rsidRPr="00A94CB1" w:rsidRDefault="00F55D4F" w:rsidP="00645899">
            <w:pPr>
              <w:rPr>
                <w:rFonts w:asciiTheme="majorBidi" w:hAnsiTheme="majorBidi" w:cstheme="majorBidi"/>
                <w:sz w:val="20"/>
                <w:highlight w:val="yellow"/>
              </w:rPr>
            </w:pPr>
          </w:p>
        </w:tc>
        <w:tc>
          <w:tcPr>
            <w:tcW w:w="1379" w:type="dxa"/>
            <w:tcBorders>
              <w:top w:val="nil"/>
              <w:left w:val="nil"/>
              <w:right w:val="nil"/>
            </w:tcBorders>
            <w:noWrap/>
          </w:tcPr>
          <w:p w14:paraId="1780E77B" w14:textId="77777777" w:rsidR="00F55D4F" w:rsidRPr="00A94CB1" w:rsidRDefault="00F55D4F" w:rsidP="00645899">
            <w:pPr>
              <w:rPr>
                <w:rFonts w:asciiTheme="majorBidi" w:hAnsiTheme="majorBidi" w:cstheme="majorBidi"/>
                <w:sz w:val="20"/>
                <w:highlight w:val="yellow"/>
              </w:rPr>
            </w:pPr>
          </w:p>
        </w:tc>
      </w:tr>
    </w:tbl>
    <w:p w14:paraId="3B246FC6" w14:textId="77777777" w:rsidR="00F55D4F" w:rsidRDefault="00F55D4F" w:rsidP="00F55D4F">
      <w:pPr>
        <w:pStyle w:val="Paragraph"/>
      </w:pPr>
      <w:r>
        <w:t>Different letters within the column indicate significant differences at P&lt;0.05.</w:t>
      </w:r>
    </w:p>
    <w:p w14:paraId="6BF1ED2B" w14:textId="77777777" w:rsidR="00F55D4F" w:rsidRDefault="00F55D4F" w:rsidP="00F55D4F">
      <w:pPr>
        <w:pStyle w:val="Paragraph"/>
      </w:pPr>
    </w:p>
    <w:p w14:paraId="5866C1C2" w14:textId="4B941512" w:rsidR="00F55D4F" w:rsidRDefault="00F55D4F" w:rsidP="00F55D4F">
      <w:pPr>
        <w:pStyle w:val="Paragraph"/>
      </w:pPr>
      <w:r>
        <w:t xml:space="preserve">The color of brown rice, which is typically light brown, influences rice noodles' color. One of the constituent ingredients is </w:t>
      </w:r>
      <w:r w:rsidR="00A94CB1">
        <w:t xml:space="preserve">germinated </w:t>
      </w:r>
      <w:r>
        <w:t>Mung bean</w:t>
      </w:r>
      <w:r w:rsidR="00A94CB1">
        <w:t>/ Vigna radiata</w:t>
      </w:r>
      <w:r>
        <w:t xml:space="preserve"> flour, which is thought to affect the taste and aroma of gluten-free brown rice noodles produced. Compared to formulations II and III, the gluten-free brown rice noodles with the lowest proportion (formulation I) have a chewy texture. This is because tapioca flour is one of the constituent ingredients. Tapioca flour </w:t>
      </w:r>
      <w:r w:rsidR="00A94CB1">
        <w:t>and sago were</w:t>
      </w:r>
      <w:r>
        <w:t xml:space="preserve"> used in the production of noodles as a binder for other ingredients.</w:t>
      </w:r>
    </w:p>
    <w:p w14:paraId="73F1DF37" w14:textId="32D982E6" w:rsidR="006F5B87" w:rsidRDefault="00F55D4F" w:rsidP="00F55D4F">
      <w:pPr>
        <w:pStyle w:val="Paragraph"/>
      </w:pPr>
      <w:r>
        <w:t xml:space="preserve">According to sensory evaluation, gluten-free organic brown rice noodles formulation I has the highest sensory response compared to formulations II and III, indicating that it can be developed as one of the carbohydrate food sources. </w:t>
      </w:r>
    </w:p>
    <w:p w14:paraId="210D271C" w14:textId="77777777" w:rsidR="006F5B87" w:rsidRDefault="006F5B87" w:rsidP="006F5B87">
      <w:pPr>
        <w:pStyle w:val="Paragraph"/>
      </w:pPr>
    </w:p>
    <w:p w14:paraId="00A765CF" w14:textId="77777777" w:rsidR="006F5B87" w:rsidRDefault="006F5B87" w:rsidP="006F5B87">
      <w:pPr>
        <w:pStyle w:val="Paragraph"/>
      </w:pPr>
    </w:p>
    <w:p w14:paraId="36A29CD9" w14:textId="336C99C7" w:rsidR="006F5B87" w:rsidRPr="006F5B87" w:rsidRDefault="006F5B87" w:rsidP="006F5B87">
      <w:pPr>
        <w:pStyle w:val="Paragraph"/>
        <w:jc w:val="center"/>
        <w:rPr>
          <w:b/>
          <w:bCs/>
          <w:sz w:val="24"/>
          <w:szCs w:val="24"/>
        </w:rPr>
      </w:pPr>
      <w:r w:rsidRPr="006F5B87">
        <w:rPr>
          <w:b/>
          <w:bCs/>
          <w:sz w:val="24"/>
          <w:szCs w:val="24"/>
        </w:rPr>
        <w:lastRenderedPageBreak/>
        <w:t>CONCLUSION</w:t>
      </w:r>
    </w:p>
    <w:p w14:paraId="1767FADD" w14:textId="5582891B" w:rsidR="006F5B87" w:rsidRDefault="00F55D4F" w:rsidP="006F5B87">
      <w:pPr>
        <w:pStyle w:val="Paragraph"/>
      </w:pPr>
      <w:r w:rsidRPr="00F55D4F">
        <w:t>Gluten-free organic brown rice noodles formulation I was a rice noodle with the best sensory response and is the most popular of the formulations II and III. The benefits of this May include its high protein, dietary fiber, low fat, and carbohydrate content. Gluten-free organic brown rice noodles are expected to be developed into functional foods for diabetes, lipid disorders, or indigestion.</w:t>
      </w:r>
      <w:r>
        <w:t xml:space="preserve"> </w:t>
      </w:r>
    </w:p>
    <w:p w14:paraId="0B0FB573" w14:textId="77777777" w:rsidR="006F5B87" w:rsidRDefault="006F5B87" w:rsidP="006F5B87">
      <w:pPr>
        <w:pStyle w:val="Paragraph"/>
      </w:pPr>
    </w:p>
    <w:p w14:paraId="74B0A2FD" w14:textId="14C58BA5" w:rsidR="006F5B87" w:rsidRPr="006F5B87" w:rsidRDefault="006F5B87" w:rsidP="006F5B87">
      <w:pPr>
        <w:pStyle w:val="Paragraph"/>
        <w:jc w:val="center"/>
        <w:rPr>
          <w:b/>
          <w:bCs/>
          <w:sz w:val="24"/>
          <w:szCs w:val="24"/>
        </w:rPr>
      </w:pPr>
      <w:r w:rsidRPr="006F5B87">
        <w:rPr>
          <w:b/>
          <w:bCs/>
          <w:sz w:val="24"/>
          <w:szCs w:val="24"/>
        </w:rPr>
        <w:t>ACKNOWLEDGMENT</w:t>
      </w:r>
    </w:p>
    <w:p w14:paraId="3125E0DA" w14:textId="13C14A1E" w:rsidR="006F5B87" w:rsidRDefault="006F5B87" w:rsidP="006F5B87">
      <w:pPr>
        <w:pStyle w:val="Paragraph"/>
      </w:pPr>
      <w:r>
        <w:t>The authors would like to thank the Directorate General of Higher Education of the Republic of Indonesia and Yogyakarta State University, which funded this research with contract number</w:t>
      </w:r>
      <w:r w:rsidR="00A94CB1">
        <w:t>…</w:t>
      </w:r>
      <w:r>
        <w:t>.</w:t>
      </w:r>
    </w:p>
    <w:p w14:paraId="4945E55C" w14:textId="77777777" w:rsidR="002F1975" w:rsidRDefault="002F1975" w:rsidP="006F5B87">
      <w:pPr>
        <w:pStyle w:val="Paragraph"/>
      </w:pPr>
    </w:p>
    <w:p w14:paraId="152FDC58" w14:textId="0A8C5AE7" w:rsidR="006F5B87" w:rsidRPr="002F1975" w:rsidRDefault="002F1975" w:rsidP="002F1975">
      <w:pPr>
        <w:pStyle w:val="Paragraph"/>
        <w:jc w:val="center"/>
        <w:rPr>
          <w:b/>
          <w:bCs/>
          <w:sz w:val="24"/>
          <w:szCs w:val="24"/>
        </w:rPr>
      </w:pPr>
      <w:r w:rsidRPr="002F1975">
        <w:rPr>
          <w:b/>
          <w:bCs/>
          <w:sz w:val="24"/>
          <w:szCs w:val="24"/>
        </w:rPr>
        <w:t>CONFLICT OF INTEREST</w:t>
      </w:r>
    </w:p>
    <w:p w14:paraId="0D89EB5E" w14:textId="6B560A9F" w:rsidR="006F5B87" w:rsidRDefault="006F5B87" w:rsidP="006F5B87">
      <w:pPr>
        <w:pStyle w:val="Paragraph"/>
      </w:pPr>
      <w:r>
        <w:t>The authors do not have any conflict of interest.</w:t>
      </w:r>
    </w:p>
    <w:p w14:paraId="5EE26541" w14:textId="2E53533E" w:rsidR="006F5B87" w:rsidRDefault="006F5B87" w:rsidP="006F5B87">
      <w:pPr>
        <w:pStyle w:val="Paragraph"/>
      </w:pPr>
    </w:p>
    <w:p w14:paraId="4DAD4930" w14:textId="0BDDA436" w:rsidR="006F5B87" w:rsidRDefault="006F5B87" w:rsidP="006F5B87">
      <w:pPr>
        <w:pStyle w:val="Paragraph"/>
      </w:pPr>
    </w:p>
    <w:p w14:paraId="50F16310" w14:textId="77777777" w:rsidR="006F5B87" w:rsidRDefault="006F5B87" w:rsidP="006F5B87">
      <w:pPr>
        <w:pStyle w:val="Paragraph"/>
      </w:pPr>
    </w:p>
    <w:p w14:paraId="1714B526" w14:textId="2E1A5CE1" w:rsidR="008032C3" w:rsidRPr="00A24F3D" w:rsidRDefault="0016385D" w:rsidP="0092028E">
      <w:pPr>
        <w:pStyle w:val="Heading1"/>
        <w:spacing w:before="0" w:after="0"/>
      </w:pPr>
      <w:r w:rsidRPr="00075EA6">
        <w:rPr>
          <w:rFonts w:asciiTheme="majorBidi" w:hAnsiTheme="majorBidi" w:cstheme="majorBidi"/>
        </w:rPr>
        <w:t>References</w:t>
      </w:r>
      <w:r w:rsidR="00B1000D">
        <w:rPr>
          <w:rFonts w:asciiTheme="majorBidi" w:hAnsiTheme="majorBidi" w:cstheme="majorBidi"/>
        </w:rPr>
        <w:br/>
      </w:r>
    </w:p>
    <w:p w14:paraId="56047F67" w14:textId="140A5BB5" w:rsidR="00782E71" w:rsidRDefault="00782E71" w:rsidP="00782E71">
      <w:pPr>
        <w:pStyle w:val="Paragraph"/>
        <w:ind w:left="426" w:hanging="426"/>
      </w:pPr>
      <w:r>
        <w:t>1.</w:t>
      </w:r>
      <w:r>
        <w:tab/>
        <w:t>V. Kumar, A. K. Sinha, H. P. S. Makkar, and K. Becker, Food Chem., vol. 120, no. 4, pp. 945–959, 2010.</w:t>
      </w:r>
    </w:p>
    <w:p w14:paraId="0598788D" w14:textId="7C1F998D" w:rsidR="00782E71" w:rsidRDefault="00782E71" w:rsidP="00782E71">
      <w:pPr>
        <w:pStyle w:val="Paragraph"/>
        <w:ind w:left="426" w:hanging="426"/>
      </w:pPr>
      <w:r>
        <w:t>2.</w:t>
      </w:r>
      <w:r>
        <w:tab/>
        <w:t>P. Daliu, A. Santini, and E. Novellino, Expert Rev. Clin. Pharmacol., vol. 12, no. 1, pp. 1–7, 2019.</w:t>
      </w:r>
    </w:p>
    <w:p w14:paraId="45555C70" w14:textId="5F373ED6" w:rsidR="00782E71" w:rsidRDefault="00782E71" w:rsidP="00782E71">
      <w:pPr>
        <w:pStyle w:val="Paragraph"/>
        <w:ind w:left="426" w:hanging="426"/>
      </w:pPr>
      <w:r>
        <w:t>3.</w:t>
      </w:r>
      <w:r>
        <w:tab/>
        <w:t>A. Santini and E. Novellino, Multidisciplinary Digital Publishing Institute, 2017.</w:t>
      </w:r>
    </w:p>
    <w:p w14:paraId="76C81CC3" w14:textId="6EF7950A" w:rsidR="00782E71" w:rsidRDefault="00782E71" w:rsidP="00782E71">
      <w:pPr>
        <w:pStyle w:val="Paragraph"/>
        <w:ind w:left="426" w:hanging="426"/>
      </w:pPr>
      <w:r>
        <w:t>4.</w:t>
      </w:r>
      <w:r>
        <w:tab/>
        <w:t>D.-H. Cho and S.-T. Lim, Food Chem., vol. 196, pp. 259–271, 2016.</w:t>
      </w:r>
    </w:p>
    <w:p w14:paraId="76044A24" w14:textId="494E0CCC" w:rsidR="00782E71" w:rsidRDefault="00782E71" w:rsidP="00782E71">
      <w:pPr>
        <w:pStyle w:val="Paragraph"/>
        <w:ind w:left="426" w:hanging="426"/>
      </w:pPr>
      <w:r>
        <w:t>5.</w:t>
      </w:r>
      <w:r>
        <w:tab/>
        <w:t>F. Cornejo, P. J. Caceres, C. Martínez-Villaluenga, C. M. Rosell, and J. Frias, Food Chem., vol. 173, pp. 298–304, 2015.</w:t>
      </w:r>
    </w:p>
    <w:p w14:paraId="1D9D3719" w14:textId="5ACB2B1B" w:rsidR="00782E71" w:rsidRDefault="00782E71" w:rsidP="00782E71">
      <w:pPr>
        <w:pStyle w:val="Paragraph"/>
        <w:ind w:left="426" w:hanging="426"/>
      </w:pPr>
      <w:r>
        <w:t>6.</w:t>
      </w:r>
      <w:r>
        <w:tab/>
        <w:t>Y.-T. Lin, C.-C. Pao, S.-T. Wu, and C.-Y. Chang, Biomed Res. Int., vol. 2015, 2015.</w:t>
      </w:r>
    </w:p>
    <w:p w14:paraId="335782D7" w14:textId="60C92A90" w:rsidR="00782E71" w:rsidRDefault="00782E71" w:rsidP="00782E71">
      <w:pPr>
        <w:pStyle w:val="Paragraph"/>
        <w:ind w:left="426" w:hanging="426"/>
      </w:pPr>
      <w:r>
        <w:t>7.</w:t>
      </w:r>
      <w:r>
        <w:tab/>
        <w:t>M. U. Imam, N. H. Azmi, M. I. Bhanger, N. Ismail, and M. Ismail, Evidence-based Complement. Altern. Med., vol. 2012, 2012.</w:t>
      </w:r>
    </w:p>
    <w:p w14:paraId="3F4333E5" w14:textId="432226F9" w:rsidR="00782E71" w:rsidRDefault="00782E71" w:rsidP="00782E71">
      <w:pPr>
        <w:pStyle w:val="Paragraph"/>
        <w:ind w:left="426" w:hanging="426"/>
      </w:pPr>
      <w:r>
        <w:t>8.</w:t>
      </w:r>
      <w:r>
        <w:tab/>
      </w:r>
      <w:r w:rsidRPr="00782E71">
        <w:t>F. B. Matias, Q, Wen</w:t>
      </w:r>
      <w:r w:rsidRPr="00782E71">
        <w:rPr>
          <w:rFonts w:ascii="MS Mincho" w:eastAsia="MS Mincho" w:hAnsi="MS Mincho" w:cs="MS Mincho" w:hint="eastAsia"/>
        </w:rPr>
        <w:t>，</w:t>
      </w:r>
      <w:r w:rsidRPr="00782E71">
        <w:t>L. Wen, R. Li, D Tu</w:t>
      </w:r>
      <w:r w:rsidRPr="00782E71">
        <w:rPr>
          <w:rFonts w:ascii="MS Mincho" w:eastAsia="MS Mincho" w:hAnsi="MS Mincho" w:cs="MS Mincho" w:hint="eastAsia"/>
        </w:rPr>
        <w:t>，</w:t>
      </w:r>
      <w:r w:rsidRPr="00782E71">
        <w:t>S. He</w:t>
      </w:r>
      <w:r w:rsidRPr="00782E71">
        <w:rPr>
          <w:rFonts w:ascii="MS Mincho" w:eastAsia="MS Mincho" w:hAnsi="MS Mincho" w:cs="MS Mincho" w:hint="eastAsia"/>
        </w:rPr>
        <w:t>，</w:t>
      </w:r>
      <w:r w:rsidRPr="00782E71">
        <w:t>Z. Wang</w:t>
      </w:r>
      <w:r w:rsidRPr="00782E71">
        <w:rPr>
          <w:rFonts w:ascii="MS Mincho" w:eastAsia="MS Mincho" w:hAnsi="MS Mincho" w:cs="MS Mincho" w:hint="eastAsia"/>
        </w:rPr>
        <w:t>，</w:t>
      </w:r>
      <w:r w:rsidRPr="00782E71">
        <w:t>H. Huang and J. Wu, J.</w:t>
      </w:r>
      <w:r>
        <w:t>, J. Microbiol. Biotechnol. Food Sci., vol. 2019, pp. 295–298, 2019.</w:t>
      </w:r>
    </w:p>
    <w:p w14:paraId="102A9E1A" w14:textId="25C6E33E" w:rsidR="00782E71" w:rsidRDefault="00782E71" w:rsidP="00782E71">
      <w:pPr>
        <w:pStyle w:val="Paragraph"/>
        <w:ind w:left="426" w:hanging="426"/>
      </w:pPr>
      <w:r>
        <w:t>9.</w:t>
      </w:r>
      <w:r>
        <w:tab/>
        <w:t>C.-H. Oh and S.-H. Oh, J. Med. Food, vol. 7, no. 1, pp. 19–23, 2004.</w:t>
      </w:r>
    </w:p>
    <w:p w14:paraId="4E0010FA" w14:textId="53418E68" w:rsidR="00782E71" w:rsidRDefault="00782E71" w:rsidP="00782E71">
      <w:pPr>
        <w:pStyle w:val="Paragraph"/>
        <w:ind w:left="426" w:hanging="426"/>
      </w:pPr>
      <w:r>
        <w:t>10.</w:t>
      </w:r>
      <w:r>
        <w:tab/>
        <w:t>F. Wu, H. Chen, N. Yang, X. Duan, Z. Jin, and X. Xu, Cereal Chem., vol. 90, no. 6, pp. 601–607, 2013.</w:t>
      </w:r>
    </w:p>
    <w:p w14:paraId="7398363C" w14:textId="1306A66B" w:rsidR="00782E71" w:rsidRDefault="00782E71" w:rsidP="00782E71">
      <w:pPr>
        <w:pStyle w:val="Paragraph"/>
        <w:ind w:left="426" w:hanging="426"/>
      </w:pPr>
      <w:r>
        <w:t>11.</w:t>
      </w:r>
      <w:r>
        <w:tab/>
        <w:t>X. Guo, T. Li, K. Tang, and R. H. Liu, J. Agric. Food Chem., vol. 60, no. 44, pp. 11050–11055, 2012.</w:t>
      </w:r>
    </w:p>
    <w:p w14:paraId="31659FD2" w14:textId="011D6774" w:rsidR="00782E71" w:rsidRDefault="00782E71" w:rsidP="00782E71">
      <w:pPr>
        <w:pStyle w:val="Paragraph"/>
        <w:ind w:left="426" w:hanging="426"/>
      </w:pPr>
      <w:r>
        <w:t>12.</w:t>
      </w:r>
      <w:r>
        <w:tab/>
        <w:t>H.-M. Lee, J.-S. Im, J.-D. Park, J.-S. Kum, H.-Y. Lee, and Y.-T. Lee, Korean J. Food Sci. Technol., vol. 45, no. 3, pp. 333–338, 2013.</w:t>
      </w:r>
    </w:p>
    <w:p w14:paraId="22B1173A" w14:textId="13221391" w:rsidR="00782E71" w:rsidRDefault="00782E71" w:rsidP="00782E71">
      <w:pPr>
        <w:pStyle w:val="Paragraph"/>
        <w:ind w:left="426" w:hanging="426"/>
      </w:pPr>
      <w:r>
        <w:t>13</w:t>
      </w:r>
      <w:r w:rsidR="00777448">
        <w:t>.</w:t>
      </w:r>
      <w:r>
        <w:tab/>
        <w:t>H. N. Englyst, S. M. Kingman, and J. H. Cummings, Eur. J. Clin. Nutr., vol. 46, p. S33, 1992.</w:t>
      </w:r>
    </w:p>
    <w:p w14:paraId="7ED4E109" w14:textId="6DAF2B2F" w:rsidR="00782E71" w:rsidRDefault="00782E71" w:rsidP="00782E71">
      <w:pPr>
        <w:pStyle w:val="Paragraph"/>
        <w:ind w:left="426" w:hanging="426"/>
      </w:pPr>
      <w:r>
        <w:t>14</w:t>
      </w:r>
      <w:r w:rsidR="00777448">
        <w:t>.</w:t>
      </w:r>
      <w:r>
        <w:tab/>
        <w:t>O. N. Donkor, L. Stojanovska, P. Ginn, J. Ashton, and T. Vasiljevic, Food Chem., vol. 135, no. 3, pp. 950–959, 2012.</w:t>
      </w:r>
    </w:p>
    <w:p w14:paraId="47CA15B9" w14:textId="60A1B67A" w:rsidR="00782E71" w:rsidRDefault="00782E71" w:rsidP="00782E71">
      <w:pPr>
        <w:pStyle w:val="Paragraph"/>
        <w:ind w:left="426" w:hanging="426"/>
      </w:pPr>
      <w:r>
        <w:t>15</w:t>
      </w:r>
      <w:r w:rsidR="00777448">
        <w:t>.</w:t>
      </w:r>
      <w:r>
        <w:tab/>
        <w:t>Y. K. Low, M. E. Effarizah, and L. H. Cheng, Food Rev. Int., vol. 36, no. 8, pp. 781–794, 2020.</w:t>
      </w:r>
    </w:p>
    <w:p w14:paraId="2EB03300" w14:textId="36E25105" w:rsidR="00782E71" w:rsidRDefault="00782E71" w:rsidP="00782E71">
      <w:pPr>
        <w:pStyle w:val="Paragraph"/>
        <w:ind w:left="426" w:hanging="426"/>
      </w:pPr>
      <w:r>
        <w:t>16</w:t>
      </w:r>
      <w:r w:rsidR="00777448">
        <w:t>.</w:t>
      </w:r>
      <w:r>
        <w:tab/>
        <w:t>M. Foschia, D. Peressini, A. Sensidoni, and C. S. Brennan, J. Cereal Sci., vol. 58, no. 2, pp. 216–227, 2013.</w:t>
      </w:r>
    </w:p>
    <w:p w14:paraId="38A143D8" w14:textId="3BD87932" w:rsidR="00782E71" w:rsidRDefault="00782E71" w:rsidP="00782E71">
      <w:pPr>
        <w:pStyle w:val="Paragraph"/>
        <w:ind w:left="426" w:hanging="426"/>
      </w:pPr>
      <w:r>
        <w:t>17</w:t>
      </w:r>
      <w:r w:rsidR="00777448">
        <w:t>.</w:t>
      </w:r>
      <w:r>
        <w:tab/>
        <w:t>K. Foster-Powell, S. H. A. Holt, and J. C. Brand-Miller, Am. J. Clin. Nutr., vol. 76, no. 1, pp. 5–56, 2002.</w:t>
      </w:r>
    </w:p>
    <w:p w14:paraId="1DB47BD4" w14:textId="07646E77" w:rsidR="00782E71" w:rsidRDefault="00782E71" w:rsidP="00782E71">
      <w:pPr>
        <w:pStyle w:val="Paragraph"/>
        <w:ind w:left="426" w:hanging="426"/>
      </w:pPr>
      <w:r>
        <w:t>18</w:t>
      </w:r>
      <w:r w:rsidR="00777448">
        <w:t>.</w:t>
      </w:r>
      <w:r>
        <w:tab/>
        <w:t>S. Westland and M. J. Shin, JAIC-Journal Int. Colour Assoc., vol. 14, 2015.</w:t>
      </w:r>
    </w:p>
    <w:p w14:paraId="482EFFFC" w14:textId="43AF5F9B" w:rsidR="008032C3" w:rsidRPr="00A24F3D" w:rsidRDefault="00782E71" w:rsidP="00782E71">
      <w:pPr>
        <w:pStyle w:val="Paragraph"/>
        <w:ind w:left="426" w:hanging="426"/>
      </w:pPr>
      <w:r>
        <w:t>19</w:t>
      </w:r>
      <w:r w:rsidR="00777448">
        <w:t>.</w:t>
      </w:r>
      <w:r>
        <w:tab/>
        <w:t>S. Grujić, B. Odžaković, and M. Ciganović, in Proceedings of II International Congress Food Technology Quality and Safety, 2014, pp. 28–30.</w:t>
      </w:r>
    </w:p>
    <w:sectPr w:rsidR="008032C3" w:rsidRPr="00A24F3D"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5"/>
  </w:num>
  <w:num w:numId="2">
    <w:abstractNumId w:val="3"/>
  </w:num>
  <w:num w:numId="3">
    <w:abstractNumId w:val="12"/>
  </w:num>
  <w:num w:numId="4">
    <w:abstractNumId w:val="7"/>
  </w:num>
  <w:num w:numId="5">
    <w:abstractNumId w:val="11"/>
  </w:num>
  <w:num w:numId="6">
    <w:abstractNumId w:val="4"/>
  </w:num>
  <w:num w:numId="7">
    <w:abstractNumId w:val="6"/>
  </w:num>
  <w:num w:numId="8">
    <w:abstractNumId w:val="1"/>
  </w:num>
  <w:num w:numId="9">
    <w:abstractNumId w:val="14"/>
  </w:num>
  <w:num w:numId="10">
    <w:abstractNumId w:val="9"/>
  </w:num>
  <w:num w:numId="11">
    <w:abstractNumId w:val="13"/>
  </w:num>
  <w:num w:numId="12">
    <w:abstractNumId w:val="10"/>
  </w:num>
  <w:num w:numId="13">
    <w:abstractNumId w:val="5"/>
  </w:num>
  <w:num w:numId="14">
    <w:abstractNumId w:val="14"/>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40BCF"/>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832F3"/>
    <w:rsid w:val="001937E9"/>
    <w:rsid w:val="001964E5"/>
    <w:rsid w:val="001B263B"/>
    <w:rsid w:val="001B476A"/>
    <w:rsid w:val="001C764F"/>
    <w:rsid w:val="001C7BB3"/>
    <w:rsid w:val="001D469C"/>
    <w:rsid w:val="0021619E"/>
    <w:rsid w:val="0023171B"/>
    <w:rsid w:val="002318D1"/>
    <w:rsid w:val="00236BFC"/>
    <w:rsid w:val="00237437"/>
    <w:rsid w:val="002502FD"/>
    <w:rsid w:val="00274622"/>
    <w:rsid w:val="00285D24"/>
    <w:rsid w:val="00290390"/>
    <w:rsid w:val="002915D3"/>
    <w:rsid w:val="002924DB"/>
    <w:rsid w:val="002941DA"/>
    <w:rsid w:val="002B5648"/>
    <w:rsid w:val="002E3C35"/>
    <w:rsid w:val="002F1975"/>
    <w:rsid w:val="002F5298"/>
    <w:rsid w:val="00326AE0"/>
    <w:rsid w:val="00337E4F"/>
    <w:rsid w:val="00340C36"/>
    <w:rsid w:val="00346A9D"/>
    <w:rsid w:val="0039376F"/>
    <w:rsid w:val="003A287B"/>
    <w:rsid w:val="003A5C85"/>
    <w:rsid w:val="003A61B1"/>
    <w:rsid w:val="003B0050"/>
    <w:rsid w:val="003D01D2"/>
    <w:rsid w:val="003D6312"/>
    <w:rsid w:val="003E7C74"/>
    <w:rsid w:val="003F31C6"/>
    <w:rsid w:val="0040225B"/>
    <w:rsid w:val="00402DA2"/>
    <w:rsid w:val="00425AC2"/>
    <w:rsid w:val="0044771F"/>
    <w:rsid w:val="00496E1D"/>
    <w:rsid w:val="004B151D"/>
    <w:rsid w:val="004C7243"/>
    <w:rsid w:val="004E21DE"/>
    <w:rsid w:val="004E3C57"/>
    <w:rsid w:val="004E3CB2"/>
    <w:rsid w:val="00525813"/>
    <w:rsid w:val="0053513F"/>
    <w:rsid w:val="00552126"/>
    <w:rsid w:val="00574405"/>
    <w:rsid w:val="005854B0"/>
    <w:rsid w:val="00585A5C"/>
    <w:rsid w:val="005A0E21"/>
    <w:rsid w:val="005B3A34"/>
    <w:rsid w:val="005B50BD"/>
    <w:rsid w:val="005D49AF"/>
    <w:rsid w:val="005E415C"/>
    <w:rsid w:val="005E71ED"/>
    <w:rsid w:val="005E7946"/>
    <w:rsid w:val="005F7475"/>
    <w:rsid w:val="00611299"/>
    <w:rsid w:val="00613B4D"/>
    <w:rsid w:val="00616365"/>
    <w:rsid w:val="00616F3B"/>
    <w:rsid w:val="006249A7"/>
    <w:rsid w:val="006418BF"/>
    <w:rsid w:val="0064225B"/>
    <w:rsid w:val="006763F9"/>
    <w:rsid w:val="006949BC"/>
    <w:rsid w:val="006C5D8F"/>
    <w:rsid w:val="006C6320"/>
    <w:rsid w:val="006D1229"/>
    <w:rsid w:val="006D372F"/>
    <w:rsid w:val="006D7A18"/>
    <w:rsid w:val="006E4474"/>
    <w:rsid w:val="006F5B87"/>
    <w:rsid w:val="00701388"/>
    <w:rsid w:val="00723B7F"/>
    <w:rsid w:val="00725861"/>
    <w:rsid w:val="0073393A"/>
    <w:rsid w:val="0073539D"/>
    <w:rsid w:val="00767B8A"/>
    <w:rsid w:val="00775481"/>
    <w:rsid w:val="00777448"/>
    <w:rsid w:val="00782E71"/>
    <w:rsid w:val="007A233B"/>
    <w:rsid w:val="007B4863"/>
    <w:rsid w:val="007C65E6"/>
    <w:rsid w:val="007D406B"/>
    <w:rsid w:val="007D4407"/>
    <w:rsid w:val="007E1CA3"/>
    <w:rsid w:val="008032C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028E"/>
    <w:rsid w:val="00922E5A"/>
    <w:rsid w:val="00943315"/>
    <w:rsid w:val="00946C27"/>
    <w:rsid w:val="0098674D"/>
    <w:rsid w:val="009A4F3D"/>
    <w:rsid w:val="009B696B"/>
    <w:rsid w:val="009B7671"/>
    <w:rsid w:val="009D75E6"/>
    <w:rsid w:val="009E5BA1"/>
    <w:rsid w:val="009F056E"/>
    <w:rsid w:val="00A07525"/>
    <w:rsid w:val="00A24F3D"/>
    <w:rsid w:val="00A26DCD"/>
    <w:rsid w:val="00A314BB"/>
    <w:rsid w:val="00A32B7D"/>
    <w:rsid w:val="00A5596B"/>
    <w:rsid w:val="00A646B3"/>
    <w:rsid w:val="00A6739B"/>
    <w:rsid w:val="00A71E8B"/>
    <w:rsid w:val="00A90413"/>
    <w:rsid w:val="00A94CB1"/>
    <w:rsid w:val="00AA728C"/>
    <w:rsid w:val="00AB0A9C"/>
    <w:rsid w:val="00AB7119"/>
    <w:rsid w:val="00AC782A"/>
    <w:rsid w:val="00AD5855"/>
    <w:rsid w:val="00AE7500"/>
    <w:rsid w:val="00AE7F87"/>
    <w:rsid w:val="00AF3542"/>
    <w:rsid w:val="00AF5ABE"/>
    <w:rsid w:val="00B00415"/>
    <w:rsid w:val="00B03C2A"/>
    <w:rsid w:val="00B1000D"/>
    <w:rsid w:val="00B10134"/>
    <w:rsid w:val="00B16BFE"/>
    <w:rsid w:val="00B40CC9"/>
    <w:rsid w:val="00B500E5"/>
    <w:rsid w:val="00B50AF0"/>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4766A"/>
    <w:rsid w:val="00D53A12"/>
    <w:rsid w:val="00D87E2A"/>
    <w:rsid w:val="00DB0C43"/>
    <w:rsid w:val="00DC78F3"/>
    <w:rsid w:val="00DE3354"/>
    <w:rsid w:val="00DE6A6A"/>
    <w:rsid w:val="00DF7DCD"/>
    <w:rsid w:val="00E42C20"/>
    <w:rsid w:val="00E50B7D"/>
    <w:rsid w:val="00E76112"/>
    <w:rsid w:val="00E904A1"/>
    <w:rsid w:val="00EB7D28"/>
    <w:rsid w:val="00EC0D0C"/>
    <w:rsid w:val="00EC6453"/>
    <w:rsid w:val="00ED4A2C"/>
    <w:rsid w:val="00EF6940"/>
    <w:rsid w:val="00F05ECB"/>
    <w:rsid w:val="00F2044A"/>
    <w:rsid w:val="00F20BFC"/>
    <w:rsid w:val="00F24D5F"/>
    <w:rsid w:val="00F55D4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hgkelc">
    <w:name w:val="hgkelc"/>
    <w:rsid w:val="0004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ipalupi@uny.ac.id" TargetMode="External"/><Relationship Id="rId5" Type="http://schemas.openxmlformats.org/officeDocument/2006/relationships/numbering" Target="numbering.xml"/><Relationship Id="rId10" Type="http://schemas.openxmlformats.org/officeDocument/2006/relationships/hyperlink" Target="mailto:windarwati@gmail.com" TargetMode="External"/><Relationship Id="rId4" Type="http://schemas.openxmlformats.org/officeDocument/2006/relationships/customXml" Target="../customXml/item4.xml"/><Relationship Id="rId9" Type="http://schemas.openxmlformats.org/officeDocument/2006/relationships/hyperlink" Target="mailto:mutiara_nugraheni@uny.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F547E-9CB9-4BC3-8DFD-2A6C8199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513</TotalTime>
  <Pages>5</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Mutiara</cp:lastModifiedBy>
  <cp:revision>23</cp:revision>
  <cp:lastPrinted>2011-03-03T08:29:00Z</cp:lastPrinted>
  <dcterms:created xsi:type="dcterms:W3CDTF">2021-09-10T01:21:00Z</dcterms:created>
  <dcterms:modified xsi:type="dcterms:W3CDTF">2021-09-28T05:01:00Z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391903b3-68c9-3265-8027-ce48a5c8b00e</vt:lpwstr>
  </property>
</Properties>
</file>