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15EA" w14:textId="2972A3EA" w:rsidR="0016385D" w:rsidRPr="00075EA6" w:rsidRDefault="002A1F66" w:rsidP="00090674">
      <w:pPr>
        <w:pStyle w:val="PaperTitle"/>
        <w:rPr>
          <w:b w:val="0"/>
          <w:bCs/>
          <w:sz w:val="24"/>
          <w:szCs w:val="24"/>
        </w:rPr>
      </w:pPr>
      <w:r>
        <w:t>The Analysis of Liquefaction Potential in Balaroa Area, Palu City, Central Sulawesi</w:t>
      </w:r>
      <w:r w:rsidR="00BE5FD1" w:rsidRPr="002B5648">
        <w:t xml:space="preserve"> </w:t>
      </w:r>
    </w:p>
    <w:p w14:paraId="548D96A3" w14:textId="1548A952" w:rsidR="00C14B14" w:rsidRDefault="002A1F66" w:rsidP="002A1F66">
      <w:pPr>
        <w:pStyle w:val="AuthorName"/>
        <w:spacing w:after="0"/>
        <w:rPr>
          <w:sz w:val="20"/>
          <w:lang w:val="en-GB" w:eastAsia="en-GB"/>
        </w:rPr>
      </w:pPr>
      <w:r>
        <w:t>S.A Namira</w:t>
      </w:r>
      <w:r w:rsidR="00EF6940" w:rsidRPr="2F830975">
        <w:rPr>
          <w:vertAlign w:val="superscript"/>
        </w:rPr>
        <w:t>1,</w:t>
      </w:r>
      <w:r w:rsidR="003A5C85" w:rsidRPr="2F830975">
        <w:rPr>
          <w:vertAlign w:val="superscript"/>
        </w:rPr>
        <w:t xml:space="preserve"> </w:t>
      </w:r>
      <w:r w:rsidR="00EF6940" w:rsidRPr="2F830975">
        <w:rPr>
          <w:vertAlign w:val="superscript"/>
        </w:rPr>
        <w:t>a)</w:t>
      </w:r>
      <w:r>
        <w:t>, T.F Fathani</w:t>
      </w:r>
      <w:r>
        <w:rPr>
          <w:vertAlign w:val="superscript"/>
        </w:rPr>
        <w:t>1</w:t>
      </w:r>
      <w:r>
        <w:t xml:space="preserve"> &amp; A.D</w:t>
      </w:r>
      <w:r w:rsidR="00FF4457">
        <w:t xml:space="preserve"> </w:t>
      </w:r>
      <w:r>
        <w:t>Adi</w:t>
      </w:r>
      <w:r>
        <w:rPr>
          <w:vertAlign w:val="superscript"/>
        </w:rPr>
        <w:t>1</w:t>
      </w:r>
    </w:p>
    <w:p w14:paraId="5E05E235" w14:textId="23C06C15" w:rsidR="003A5C85" w:rsidRPr="00075EA6" w:rsidRDefault="00027428" w:rsidP="002A1F66">
      <w:pPr>
        <w:pStyle w:val="AuthorAffiliation"/>
      </w:pPr>
      <w:r w:rsidRPr="00075EA6">
        <w:rPr>
          <w:i w:val="0"/>
          <w:iCs/>
          <w:vertAlign w:val="superscript"/>
        </w:rPr>
        <w:t>1</w:t>
      </w:r>
      <w:r w:rsidR="002A1F66">
        <w:t xml:space="preserve">Department of Civil and Environmental Engineering, </w:t>
      </w:r>
      <w:r w:rsidR="003F0F00">
        <w:t xml:space="preserve">Universitas </w:t>
      </w:r>
      <w:r w:rsidR="002A1F66">
        <w:t>Gadjah Mada, Yogyakarta</w:t>
      </w:r>
      <w:r w:rsidR="0016385D" w:rsidRPr="00075EA6">
        <w:t xml:space="preserve"> </w:t>
      </w:r>
      <w:r w:rsidR="00ED4A2C" w:rsidRPr="00075EA6">
        <w:br/>
      </w:r>
      <w:r w:rsidR="00003D7C" w:rsidRPr="00075EA6">
        <w:rPr>
          <w:szCs w:val="28"/>
          <w:vertAlign w:val="superscript"/>
        </w:rPr>
        <w:t>a)</w:t>
      </w:r>
      <w:r w:rsidR="00003D7C" w:rsidRPr="00075EA6">
        <w:t xml:space="preserve"> Corresponding</w:t>
      </w:r>
      <w:r w:rsidR="004E3CB2" w:rsidRPr="00075EA6">
        <w:t xml:space="preserve"> author: </w:t>
      </w:r>
      <w:r w:rsidR="002A1F66">
        <w:t>suci.a.n@mail.ugm.ac.id</w:t>
      </w:r>
    </w:p>
    <w:p w14:paraId="22C3F2A8" w14:textId="27FF22D1" w:rsidR="0016385D" w:rsidRPr="00075EA6" w:rsidRDefault="002A1F66" w:rsidP="002A1F66">
      <w:pPr>
        <w:pStyle w:val="Abstract"/>
        <w:ind w:left="0" w:right="4"/>
      </w:pPr>
      <w:r w:rsidRPr="00075EA6">
        <w:rPr>
          <w:b/>
          <w:bCs/>
        </w:rPr>
        <w:t>Abstract.</w:t>
      </w:r>
      <w:r w:rsidRPr="00075EA6">
        <w:t xml:space="preserve"> </w:t>
      </w:r>
      <w:r w:rsidRPr="00D81278">
        <w:t>On September 28, 2018, Mw 7.</w:t>
      </w:r>
      <w:r w:rsidR="00224402">
        <w:t>5</w:t>
      </w:r>
      <w:r w:rsidRPr="00D81278">
        <w:t xml:space="preserve"> earthquake in Central Sulawesi caused by a shift in the Palu Koro fault triggered several disasters. This includes tsunamis along the coast of Palu City and liquefaction in several areas including Balaroa, Petobo, Jono Oge, and Sibalaya. The liquefaction phenomenon is the loss of soil strength during earthquake higher than 0.1 g which generally occurs in loose sandy soil with high groundwater levels. This study aims to determine the liquefaction potential in Balaroa, Palu City, Central Sulawesi. The analysis of liquefaction potential was carried out using the Settle3 software with N-SPT (Standard Penetration Test) and PGA (peak ground acceleration) data of 0.33 g. Each analysis produced a safety factor value based on the review point. Furthermore, the Liquefaction Potential Index (LPI) as well as Liquefaction Severity Index (LSI) were calculated. Based on the analysis carried out through two review points of the soil test, the results of this study showed that the drilling point of BH 01 (at the top part of the area) had liquefaction potential with high damage potential. Meanwhile, the drilling point of BH 02 (at the un-liquified area) had liquefaction potential</w:t>
      </w:r>
      <w:r w:rsidR="006255A6">
        <w:t>.</w:t>
      </w:r>
    </w:p>
    <w:p w14:paraId="75AAF495" w14:textId="449C729B" w:rsidR="002A1F66" w:rsidRPr="00000814" w:rsidRDefault="002A1F66" w:rsidP="00000814">
      <w:pPr>
        <w:pStyle w:val="Heading1"/>
      </w:pPr>
      <w:r w:rsidRPr="00000814">
        <w:t>INTRODUCTION</w:t>
      </w:r>
    </w:p>
    <w:p w14:paraId="04F6A57B" w14:textId="6B74123C" w:rsidR="00FB27A7" w:rsidRDefault="00FB27A7" w:rsidP="00D41B71">
      <w:pPr>
        <w:pStyle w:val="Paragraph"/>
      </w:pPr>
      <w:r>
        <w:t>The Central Sulawesi region is known as a meeting place for three of the world's major tectonic plates, the Indo- Australian Plate, the Pacific Plate, and the Eurasian Plate. As a result, this region is prone to natural disasters, especially those caused by plate movements, which encourage a shift on the Koro Palu Slide Fault. This also caused a 7.</w:t>
      </w:r>
      <w:r w:rsidR="00224402">
        <w:t>5</w:t>
      </w:r>
      <w:r>
        <w:t xml:space="preserve"> </w:t>
      </w:r>
      <w:r w:rsidR="00786C75">
        <w:t xml:space="preserve">magnitude </w:t>
      </w:r>
      <w:r>
        <w:t xml:space="preserve">earthquake that destroyed the coast of Palu Bay on September 28, 2018. This earthquake also triggered a tsunami and liquefaction </w:t>
      </w:r>
      <w:r w:rsidRPr="00FB27A7">
        <w:t>causing severe damages and the death of approximately 2000 people. The earthquake triggered liquefaction in Palu City</w:t>
      </w:r>
      <w:r w:rsidR="00786C75">
        <w:t xml:space="preserve">, namely in </w:t>
      </w:r>
      <w:r w:rsidRPr="00FB27A7">
        <w:t>Balaroa, Petobo, Sibalaya, Jono Oge, and Lolu Village areas</w:t>
      </w:r>
      <w:r>
        <w:t xml:space="preserve"> </w:t>
      </w:r>
      <w:r w:rsidRPr="00C402D2">
        <w:fldChar w:fldCharType="begin" w:fldLock="1"/>
      </w:r>
      <w:r w:rsidRPr="00C402D2">
        <w:instrText>ADDIN CSL_CITATION {"citationItems":[{"id":"ITEM-1","itemData":{"DOI":"10.1029/2001JB000324","author":[{"dropping-particle":"","family":"Bock","given":"Y","non-dropping-particle":"","parse-names":false,"suffix":""},{"dropping-particle":"","family":"Prawirodirdjo","given":"L","non-dropping-particle":"","parse-names":false,"suffix":""},{"dropping-particle":"","family":"Genrich","given":"J F","non-dropping-particle":"","parse-names":false,"suffix":""},{"dropping-particle":"","family":"Stevens","given":"C W","non-dropping-particle":"","parse-names":false,"suffix":""},{"dropping-particle":"","family":"Mccaffrey","given":"R","non-dropping-particle":"","parse-names":false,"suffix":""},{"dropping-particle":"","family":"Subarya","given":"C","non-dropping-particle":"","parse-names":false,"suffix":""},{"dropping-particle":"","family":"Puntodewo","given":"S S O","non-dropping-particle":"","parse-names":false,"suffix":""},{"dropping-particle":"","family":"Calais","given":"E","non-dropping-particle":"","parse-names":false,"suffix":""}],"container-title":"Journal of Geophysical Research","id":"ITEM-1","issued":{"date-parts":[["2003"]]},"title":"Crustal motion in Indonesia from Global Positioning System measurements","type":"article-journal","volume":"108"},"uris":["http://www.mendeley.com/documents/?uuid=9f9c0f01-97e1-454f-9203-d79cc031ee6e"]}],"mendeley":{"formattedCitation":"(Bock et al., 2003)","manualFormatting":"(Bock dkk., 2003)","plainTextFormattedCitation":"(Bock et al., 2003)","previouslyFormattedCitation":"(Bock et al., 2003)"},"properties":{"noteIndex":0},"schema":"https://github.com/citation-style-language/schema/raw/master/csl-citation.json"}</w:instrText>
      </w:r>
      <w:r w:rsidRPr="00C402D2">
        <w:fldChar w:fldCharType="separate"/>
      </w:r>
      <w:r w:rsidRPr="00C402D2">
        <w:t>(Parura &amp; Rahardyan, 2020)</w:t>
      </w:r>
      <w:r w:rsidRPr="00C402D2">
        <w:fldChar w:fldCharType="end"/>
      </w:r>
      <w:r w:rsidRPr="00C402D2">
        <w:t>.</w:t>
      </w:r>
    </w:p>
    <w:p w14:paraId="1E033DE3" w14:textId="4B3FADE4" w:rsidR="00D41B71" w:rsidRDefault="002A1F66" w:rsidP="00D41B71">
      <w:pPr>
        <w:pStyle w:val="Paragraph"/>
      </w:pPr>
      <w:r w:rsidRPr="002A1F66">
        <w:fldChar w:fldCharType="begin"/>
      </w:r>
      <w:r w:rsidRPr="002A1F66">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2A1F66">
        <w:fldChar w:fldCharType="separate"/>
      </w:r>
      <w:r w:rsidRPr="002A1F66">
        <w:t>Widyaningrum (2012)</w:t>
      </w:r>
      <w:r w:rsidRPr="002A1F66">
        <w:fldChar w:fldCharType="end"/>
      </w:r>
      <w:r w:rsidRPr="002A1F66">
        <w:t xml:space="preserve"> carried out a study related to liquefaction potential in Palu City and </w:t>
      </w:r>
      <w:r w:rsidR="00786C75">
        <w:t>developed</w:t>
      </w:r>
      <w:r w:rsidR="00786C75" w:rsidRPr="002A1F66">
        <w:t xml:space="preserve"> </w:t>
      </w:r>
      <w:r w:rsidRPr="002A1F66">
        <w:t xml:space="preserve">a liquefaction hazard map. </w:t>
      </w:r>
      <w:r w:rsidR="00786C75">
        <w:t>In</w:t>
      </w:r>
      <w:r w:rsidR="00786C75" w:rsidRPr="002A1F66">
        <w:t xml:space="preserve"> </w:t>
      </w:r>
      <w:r w:rsidRPr="002A1F66">
        <w:t>the map, some places were categorized as liquefaction hazards with very high potential which was acceptable. However, based on the earthquake in Palu which resulted in liquefaction, it is the largest event in world history with infrastructure losses reaching 85% and causing many fatalities.</w:t>
      </w:r>
      <w:r w:rsidR="00D41B71">
        <w:t xml:space="preserve"> </w:t>
      </w:r>
      <w:r w:rsidR="002C313F">
        <w:t>Figure 1</w:t>
      </w:r>
      <w:r w:rsidR="002C313F">
        <w:rPr>
          <w:color w:val="0000FF"/>
        </w:rPr>
        <w:t xml:space="preserve"> </w:t>
      </w:r>
      <w:r w:rsidR="002C313F">
        <w:t xml:space="preserve">shows a satellite photograph by Google Earth and some photographs of damage in Balaroa district in Palu city. The direction of the large ground flow is shown by a yellow arrow in this figure. The ground flow occurred from south-west </w:t>
      </w:r>
      <w:r w:rsidR="00786C75">
        <w:t>to</w:t>
      </w:r>
      <w:r w:rsidR="002C313F">
        <w:t xml:space="preserve"> north-east. Large ground </w:t>
      </w:r>
      <w:r w:rsidR="00786C75">
        <w:t>settlements</w:t>
      </w:r>
      <w:r w:rsidR="002C313F">
        <w:t xml:space="preserve"> and large tension cracks appeared at the upper side of the flow and </w:t>
      </w:r>
      <w:r w:rsidR="00786C75">
        <w:t>collapsed</w:t>
      </w:r>
      <w:r w:rsidR="002C313F">
        <w:t xml:space="preserve"> houses were piled up and many houses were buried in the flowed soil at the lower side (</w:t>
      </w:r>
      <w:r w:rsidR="002C313F" w:rsidRPr="00AA6953">
        <w:rPr>
          <w:lang w:val="id-ID"/>
        </w:rPr>
        <w:fldChar w:fldCharType="begin" w:fldLock="1"/>
      </w:r>
      <w:r w:rsidR="002C313F" w:rsidRPr="00AA6953">
        <w:rPr>
          <w:lang w:val="id-ID"/>
        </w:rPr>
        <w:instrText>ADDIN CSL_CITATION {"citationItems":[{"id":"ITEM-1","itemData":{"ISSN":"21978670","abstract":"Background: On September 28th, 2018, at 18:02 local time (10:02 UTC), a strong earthquake of magnitude Mw = 7.5 struck Central Sulawesi Province, Indonesia. The epicenter was located at 0.256o south latitude and 119.846o east longitude, around 77 km from Palu city, and 20 km below the ground surface. To understand the damage caused by the earthquake, and find a solution to mitigate the geo-disasters in Indonesia, a preliminary investigation on the 2018 Sulawesi earthquake was conducted from 16 to 20 November 2018. This quick report focuses on ground displacements induced by fault movement and large-scale ground flow. Results: During the survey, there is some geotechnical damage were found, such as ground displacement induced by fault movement, liquefaction, landslides, and large-scale ground flow in some certain areas. Large ground displacement was found in some particular areas, such as Kedondong, Pipa Air, Pangeran Diponegoro and Cemara streets in Palu city. The earthquake also triggered large-scale ground flow in some different sites, such as Balaroa and Petobo districts in Palu city and Jono Oge and Sibalaya Villages. Conclusions: The locations of large ground displacements appeared at surface coincide well with the estimated fault line. Therefore the large ground displacements were seems to be induced by the fault movement. Large ground flow caused severe damage to not only human but also houses and buildings. The mechanism of the large ground flow should be clarified in near future.","author":[{"dropping-particle":"","family":"Miyajima","given":"Masakatsu","non-dropping-particle":"","parse-names":false,"suffix":""},{"dropping-particle":"","family":"Setiawan","given":"Hendra","non-dropping-particle":"","parse-names":false,"suffix":""},{"dropping-particle":"","family":"Yoshida","given":"Masaho","non-dropping-particle":"","parse-names":false,"suffix":""},{"dropping-particle":"","family":"Ono","given":"Yusuke","non-dropping-particle":"","parse-names":false,"suffix":""},{"dropping-particle":"","family":"Kosa","given":"Kenji","non-dropping-particle":"","parse-names":false,"suffix":""},{"dropping-particle":"","family":"Oktaviana","given":"Ida Sri","non-dropping-particle":"","parse-names":false,"suffix":""},{"dropping-particle":"","family":"Martini","given":"","non-dropping-particle":"","parse-names":false,"suffix":""},{"dropping-particle":"","family":"Irdhiani","given":"","non-dropping-particle":"","parse-names":false,"suffix":""}],"container-title":"Geoenvironmental Disasters","id":"ITEM-1","issue":"1","issued":{"date-parts":[["2019"]]},"page":"2-9","publisher":"Geoenvironmental Disasters","title":"Geotechnical damage in the 2018 Sulawesi earthquake, Indonesia","type":"article-journal","volume":"6"},"uris":["http://www.mendeley.com/documents/?uuid=b2531fc7-a725-49a4-b9d6-dc55c937f16c"]}],"mendeley":{"formattedCitation":"(Miyajima et al., 2019)","manualFormatting":"Miyajima dkk. (2019)","plainTextFormattedCitation":"(Miyajima et al., 2019)","previouslyFormattedCitation":"(Miyajima et al., 2019)"},"properties":{"noteIndex":0},"schema":"https://github.com/citation-style-language/schema/raw/master/csl-citation.json"}</w:instrText>
      </w:r>
      <w:r w:rsidR="002C313F" w:rsidRPr="00AA6953">
        <w:rPr>
          <w:lang w:val="id-ID"/>
        </w:rPr>
        <w:fldChar w:fldCharType="separate"/>
      </w:r>
      <w:r w:rsidR="002C313F" w:rsidRPr="00AA6953">
        <w:rPr>
          <w:noProof/>
          <w:lang w:val="id-ID"/>
        </w:rPr>
        <w:t xml:space="preserve">Miyajima </w:t>
      </w:r>
      <w:r w:rsidR="002C313F">
        <w:rPr>
          <w:noProof/>
        </w:rPr>
        <w:t>et al</w:t>
      </w:r>
      <w:r w:rsidR="00432380">
        <w:rPr>
          <w:noProof/>
        </w:rPr>
        <w:t xml:space="preserve">. </w:t>
      </w:r>
      <w:r w:rsidR="002C313F" w:rsidRPr="00AA6953">
        <w:rPr>
          <w:noProof/>
          <w:lang w:val="id-ID"/>
        </w:rPr>
        <w:t>2019)</w:t>
      </w:r>
      <w:r w:rsidR="002C313F" w:rsidRPr="00AA6953">
        <w:rPr>
          <w:lang w:val="id-ID"/>
        </w:rPr>
        <w:fldChar w:fldCharType="end"/>
      </w:r>
      <w:r w:rsidR="00432380">
        <w:t xml:space="preserve">. </w:t>
      </w:r>
    </w:p>
    <w:p w14:paraId="0767E0E4" w14:textId="2250E65D" w:rsidR="00432380" w:rsidRPr="00432380" w:rsidRDefault="002C313F" w:rsidP="00D41B71">
      <w:pPr>
        <w:pStyle w:val="Paragraph"/>
        <w:rPr>
          <w:lang w:val="id-ID"/>
        </w:rPr>
      </w:pPr>
      <w:r w:rsidRPr="00AA6953">
        <w:rPr>
          <w:lang w:val="id-ID"/>
        </w:rPr>
        <w:fldChar w:fldCharType="begin" w:fldLock="1"/>
      </w:r>
      <w:r w:rsidRPr="00AA6953">
        <w:rPr>
          <w:lang w:val="id-ID"/>
        </w:rPr>
        <w:instrText>ADDIN CSL_CITATION {"citationItems":[{"id":"ITEM-1","itemData":{"author":[{"dropping-particle":"","family":"Nurdin","given":"Sukiman","non-dropping-particle":"","parse-names":false,"suffix":""},{"dropping-particle":"","family":"Tadulako","given":"Universitas","non-dropping-particle":"","parse-names":false,"suffix":""},{"dropping-particle":"","family":"Arsyad","given":"Ardy","non-dropping-particle":"","parse-names":false,"suffix":""},{"dropping-particle":"","family":"Hasanuddin","given":"Universitas","non-dropping-particle":"","parse-names":false,"suffix":""},{"dropping-particle":"","family":"Harianto","given":"Tri","non-dropping-particle":"","parse-names":false,"suffix":""},{"dropping-particle":"","family":"Hasanuddin","given":"Universitas","non-dropping-particle":"","parse-names":false,"suffix":""},{"dropping-particle":"","family":"Aswad","given":"Sabrianto","non-dropping-particle":"","parse-names":false,"suffix":""},{"dropping-particle":"","family":"Hasanuddin","given":"Universitas","non-dropping-particle":"","parse-names":false,"suffix":""}],"id":"ITEM-1","issue":"November","issued":{"date-parts":[["2019"]]},"title":"Proceeding 23rd Annual National Conference on Geotechnical Engineering","type":"article-journal"},"uris":["http://www.mendeley.com/documents/?uuid=d80ab37b-1e09-4847-a320-47a767a20a41"]}],"mendeley":{"formattedCitation":"(Nurdin et al., 2019)","manualFormatting":"Nurdin dkk. (2019)","plainTextFormattedCitation":"(Nurdin et al., 2019)","previouslyFormattedCitation":"(Nurdin et al., 2019)"},"properties":{"noteIndex":0},"schema":"https://github.com/citation-style-language/schema/raw/master/csl-citation.json"}</w:instrText>
      </w:r>
      <w:r w:rsidRPr="00AA6953">
        <w:rPr>
          <w:lang w:val="id-ID"/>
        </w:rPr>
        <w:fldChar w:fldCharType="separate"/>
      </w:r>
      <w:r w:rsidRPr="00AA6953">
        <w:rPr>
          <w:noProof/>
          <w:lang w:val="id-ID"/>
        </w:rPr>
        <w:t xml:space="preserve">Nurdin </w:t>
      </w:r>
      <w:r>
        <w:rPr>
          <w:noProof/>
        </w:rPr>
        <w:t>et al.</w:t>
      </w:r>
      <w:r w:rsidRPr="00AA6953">
        <w:rPr>
          <w:noProof/>
          <w:lang w:val="id-ID"/>
        </w:rPr>
        <w:t xml:space="preserve"> (2019)</w:t>
      </w:r>
      <w:r w:rsidRPr="00AA6953">
        <w:rPr>
          <w:lang w:val="id-ID"/>
        </w:rPr>
        <w:fldChar w:fldCharType="end"/>
      </w:r>
      <w:r w:rsidRPr="00AA6953">
        <w:rPr>
          <w:lang w:val="id-ID"/>
        </w:rPr>
        <w:t xml:space="preserve"> </w:t>
      </w:r>
      <w:r w:rsidRPr="00E57FB2">
        <w:rPr>
          <w:lang w:val="id-ID"/>
        </w:rPr>
        <w:t>identif</w:t>
      </w:r>
      <w:r w:rsidR="00786C75">
        <w:t>ied</w:t>
      </w:r>
      <w:r w:rsidRPr="00E57FB2">
        <w:rPr>
          <w:lang w:val="id-ID"/>
        </w:rPr>
        <w:t xml:space="preserve"> topographical conditions at the time of earthquake and liquefaction, </w:t>
      </w:r>
      <w:r>
        <w:t>t</w:t>
      </w:r>
      <w:r w:rsidRPr="005C1AFD">
        <w:t>he results of the resistivity test at lane 1 (</w:t>
      </w:r>
      <w:r>
        <w:t>B</w:t>
      </w:r>
      <w:r w:rsidRPr="005C1AFD">
        <w:t>alaroa) show</w:t>
      </w:r>
      <w:r w:rsidR="00786C75">
        <w:t>ed</w:t>
      </w:r>
      <w:r w:rsidRPr="005C1AFD">
        <w:t xml:space="preserve"> the occurrence of the phenomenon of a distressed aquifer that </w:t>
      </w:r>
      <w:r w:rsidR="00786C75">
        <w:t>broke</w:t>
      </w:r>
      <w:r w:rsidRPr="005C1AFD">
        <w:t xml:space="preserve">, causing an increase in water content in the soil layers above. This phenomenon is one indicator causing the occurrence of liquefaction in </w:t>
      </w:r>
      <w:r>
        <w:t>Balaroa</w:t>
      </w:r>
      <w:r w:rsidRPr="005C1AFD">
        <w:t>.</w:t>
      </w:r>
      <w:r w:rsidR="00432380">
        <w:t xml:space="preserve"> </w:t>
      </w:r>
    </w:p>
    <w:p w14:paraId="5E0C5391" w14:textId="4C700B88" w:rsidR="00432380" w:rsidRDefault="00432380" w:rsidP="00D41B71">
      <w:pPr>
        <w:pStyle w:val="Paragraph"/>
      </w:pPr>
      <w:r w:rsidRPr="00AA6953">
        <w:rPr>
          <w:lang w:val="id-ID"/>
        </w:rPr>
        <w:fldChar w:fldCharType="begin" w:fldLock="1"/>
      </w:r>
      <w:r w:rsidRPr="00AA6953">
        <w:rPr>
          <w:lang w:val="id-ID"/>
        </w:rPr>
        <w:instrText>ADDIN CSL_CITATION {"citationItems":[{"id":"ITEM-1","itemData":{"author":[{"dropping-particle":"","family":"Nurdin","given":"Sukiman","non-dropping-particle":"","parse-names":false,"suffix":""},{"dropping-particle":"","family":"Tadulako","given":"Universitas","non-dropping-particle":"","parse-names":false,"suffix":""},{"dropping-particle":"","family":"Arsyad","given":"Ardy","non-dropping-particle":"","parse-names":false,"suffix":""},{"dropping-particle":"","family":"Hasanuddin","given":"Universitas","non-dropping-particle":"","parse-names":false,"suffix":""},{"dropping-particle":"","family":"Harianto","given":"Tri","non-dropping-particle":"","parse-names":false,"suffix":""},{"dropping-particle":"","family":"Hasanuddin","given":"Universitas","non-dropping-particle":"","parse-names":false,"suffix":""},{"dropping-particle":"","family":"Aswad","given":"Sabrianto","non-dropping-particle":"","parse-names":false,"suffix":""},{"dropping-particle":"","family":"Hasanuddin","given":"Universitas","non-dropping-particle":"","parse-names":false,"suffix":""}],"id":"ITEM-1","issue":"November","issued":{"date-parts":[["2019"]]},"title":"Proceeding 23rd Annual National Conference on Geotechnical Engineering","type":"article-journal"},"uris":["http://www.mendeley.com/documents/?uuid=d80ab37b-1e09-4847-a320-47a767a20a41"]}],"mendeley":{"formattedCitation":"(Nurdin et al., 2019)","manualFormatting":"Nurdin dkk. (2019)","plainTextFormattedCitation":"(Nurdin et al., 2019)","previouslyFormattedCitation":"(Nurdin et al., 2019)"},"properties":{"noteIndex":0},"schema":"https://github.com/citation-style-language/schema/raw/master/csl-citation.json"}</w:instrText>
      </w:r>
      <w:r w:rsidRPr="00AA6953">
        <w:rPr>
          <w:lang w:val="id-ID"/>
        </w:rPr>
        <w:fldChar w:fldCharType="separate"/>
      </w:r>
      <w:r>
        <w:rPr>
          <w:noProof/>
        </w:rPr>
        <w:t>Jalil</w:t>
      </w:r>
      <w:r w:rsidRPr="00AA6953">
        <w:rPr>
          <w:noProof/>
          <w:lang w:val="id-ID"/>
        </w:rPr>
        <w:t xml:space="preserve"> </w:t>
      </w:r>
      <w:r>
        <w:rPr>
          <w:noProof/>
        </w:rPr>
        <w:t>et al.</w:t>
      </w:r>
      <w:r w:rsidRPr="00AA6953">
        <w:rPr>
          <w:noProof/>
          <w:lang w:val="id-ID"/>
        </w:rPr>
        <w:t xml:space="preserve"> (2019)</w:t>
      </w:r>
      <w:r w:rsidRPr="00AA6953">
        <w:rPr>
          <w:lang w:val="id-ID"/>
        </w:rPr>
        <w:fldChar w:fldCharType="end"/>
      </w:r>
      <w:r>
        <w:t xml:space="preserve"> </w:t>
      </w:r>
      <w:r w:rsidRPr="00432380">
        <w:t>explore</w:t>
      </w:r>
      <w:r w:rsidR="00786C75">
        <w:t>d</w:t>
      </w:r>
      <w:r w:rsidRPr="00432380">
        <w:t xml:space="preserve"> the causing factors of the massive mudflow</w:t>
      </w:r>
      <w:r w:rsidR="00D41B71">
        <w:t xml:space="preserve">, </w:t>
      </w:r>
      <w:r>
        <w:t>t</w:t>
      </w:r>
      <w:r w:rsidR="002C313F">
        <w:t>he semi-empirical method confirm</w:t>
      </w:r>
      <w:r w:rsidR="00786C75">
        <w:t>ed</w:t>
      </w:r>
      <w:r w:rsidR="002C313F">
        <w:t xml:space="preserve"> that Balaroa, Petobo, and Jono Oge have high potential for large-scale liquefaction to occur at a maximum depth of 16 meters below the ground surface. Having loose soil grain with high water content, the soil will turn into a massive amount of mud during the liquefaction. In addition, ground slopes and ground vibration due to the earthquake will create massive mudflows </w:t>
      </w:r>
      <w:proofErr w:type="gramStart"/>
      <w:r w:rsidR="002C313F">
        <w:t>similar to</w:t>
      </w:r>
      <w:proofErr w:type="gramEnd"/>
      <w:r w:rsidR="002C313F">
        <w:t xml:space="preserve"> flash flood. However, the mudflows movement is slow since the slope inclination is slight.</w:t>
      </w:r>
      <w:r>
        <w:t xml:space="preserve"> </w:t>
      </w:r>
      <w:r w:rsidR="002C313F">
        <w:t xml:space="preserve">Also, </w:t>
      </w:r>
      <w:r w:rsidR="002C313F" w:rsidRPr="00AA6953">
        <w:rPr>
          <w:lang w:val="id-ID"/>
        </w:rPr>
        <w:fldChar w:fldCharType="begin" w:fldLock="1"/>
      </w:r>
      <w:r w:rsidR="002C313F" w:rsidRPr="00AA6953">
        <w:rPr>
          <w:lang w:val="id-ID"/>
        </w:rPr>
        <w:instrText>ADDIN CSL_CITATION {"citationItems":[{"id":"ITEM-1","itemData":{"ISSN":"23385502","abstract":"The Mw 7.5 Sulawesi Earthquake 2018 was a catastrophic disaster that resulted in large numbers of casualties. This study aimed to investigate the damages of liquefaction-induced-flow failure in three areas in Palu city, i.e. Petobo, Balaroa, and Jono Oge. It was found that this flow failure occurred on a large scale at a very gentle ground inclination, ranging from 1 to 3%. In order to gain an understanding of the soil conditions in these specific locations, Portable Dynamic Cone Penetration Tests were conducted in Petobo. The results showed that the soil layers in the affected area were in a loose state compared to the non-affected areas. Furthermore, some spots of freshwater inundation were recognized in Petobo and Balaroa, even two weeks after the disaster. Based on this evidence, a mechanism of liquefaction-induced-flow failure caused by a confined aquifer is proposed.","author":[{"dropping-particle":"","family":"Hidayat","given":"Risqi Faris","non-dropping-particle":"","parse-names":false,"suffix":""},{"dropping-particle":"","family":"Kiyota","given":"Takashi","non-dropping-particle":"","parse-names":false,"suffix":""},{"dropping-particle":"","family":"Tada","given":"Naoto","non-dropping-particle":"","parse-names":false,"suffix":""},{"dropping-particle":"","family":"Hayakawa","given":"Jun","non-dropping-particle":"","parse-names":false,"suffix":""},{"dropping-particle":"","family":"Nawir","given":"Hasbullah","non-dropping-particle":"","parse-names":false,"suffix":""}],"container-title":"Journal of Engineering and Technological Sciences","id":"ITEM-1","issue":"1","issued":{"date-parts":[["2020"]]},"page":"51-65","title":"Reconnaissance on liquefaction-induced flow failure caused by the 2018 Mw 7.5 sulawesi earthquake, palu, Indonesia","type":"article-journal","volume":"52"},"uris":["http://www.mendeley.com/documents/?uuid=c2779963-6648-4e95-8d8b-e24413131324"]}],"mendeley":{"formattedCitation":"(Hidayat, Kiyota, Tada, Hayakawa, &amp; Nawir, 2020)","manualFormatting":"Hidayat dkk. (2020)","plainTextFormattedCitation":"(Hidayat, Kiyota, Tada, Hayakawa, &amp; Nawir, 2020)","previouslyFormattedCitation":"(Hidayat, Kiyota, Tada, Hayakawa, &amp; Nawir, 2020)"},"properties":{"noteIndex":0},"schema":"https://github.com/citation-style-language/schema/raw/master/csl-citation.json"}</w:instrText>
      </w:r>
      <w:r w:rsidR="002C313F" w:rsidRPr="00AA6953">
        <w:rPr>
          <w:lang w:val="id-ID"/>
        </w:rPr>
        <w:fldChar w:fldCharType="separate"/>
      </w:r>
      <w:r w:rsidR="002C313F" w:rsidRPr="00AA6953">
        <w:rPr>
          <w:noProof/>
          <w:lang w:val="id-ID"/>
        </w:rPr>
        <w:t xml:space="preserve">Hidayat </w:t>
      </w:r>
      <w:r w:rsidR="002C313F">
        <w:rPr>
          <w:noProof/>
        </w:rPr>
        <w:t xml:space="preserve">et al. </w:t>
      </w:r>
      <w:r w:rsidR="002C313F" w:rsidRPr="00AA6953">
        <w:rPr>
          <w:noProof/>
          <w:lang w:val="id-ID"/>
        </w:rPr>
        <w:t>(2020)</w:t>
      </w:r>
      <w:r w:rsidR="002C313F" w:rsidRPr="00AA6953">
        <w:rPr>
          <w:lang w:val="id-ID"/>
        </w:rPr>
        <w:fldChar w:fldCharType="end"/>
      </w:r>
      <w:r w:rsidR="002C313F" w:rsidRPr="00AA6953">
        <w:rPr>
          <w:lang w:val="id-ID"/>
        </w:rPr>
        <w:t xml:space="preserve"> </w:t>
      </w:r>
      <w:r w:rsidR="002C313F" w:rsidRPr="00E57FB2">
        <w:rPr>
          <w:lang w:val="id-ID"/>
        </w:rPr>
        <w:t xml:space="preserve">conducted an analysis to determine the mechanism and level of geotechnical damage due to the earthquake in Palu City on September 28, 2018 using a </w:t>
      </w:r>
      <w:r w:rsidR="002C313F">
        <w:t>D</w:t>
      </w:r>
      <w:r w:rsidR="002C313F" w:rsidRPr="00E57FB2">
        <w:rPr>
          <w:lang w:val="id-ID"/>
        </w:rPr>
        <w:t xml:space="preserve">ynamic </w:t>
      </w:r>
      <w:r w:rsidR="002C313F">
        <w:t>C</w:t>
      </w:r>
      <w:r w:rsidR="002C313F" w:rsidRPr="00E57FB2">
        <w:rPr>
          <w:lang w:val="id-ID"/>
        </w:rPr>
        <w:t xml:space="preserve">one </w:t>
      </w:r>
      <w:r w:rsidR="002C313F">
        <w:t>P</w:t>
      </w:r>
      <w:r w:rsidR="002C313F" w:rsidRPr="00E57FB2">
        <w:rPr>
          <w:lang w:val="id-ID"/>
        </w:rPr>
        <w:t xml:space="preserve">enetration </w:t>
      </w:r>
      <w:r w:rsidR="002C313F">
        <w:t>T</w:t>
      </w:r>
      <w:r w:rsidR="002C313F" w:rsidRPr="00E57FB2">
        <w:rPr>
          <w:lang w:val="id-ID"/>
        </w:rPr>
        <w:t>est</w:t>
      </w:r>
      <w:r w:rsidR="002C313F">
        <w:t xml:space="preserve"> (DCPT)</w:t>
      </w:r>
      <w:r w:rsidR="00786C75">
        <w:t>. T</w:t>
      </w:r>
      <w:r w:rsidR="002C313F" w:rsidRPr="00E57FB2">
        <w:t xml:space="preserve">he results showed that the soil layers in the affected area were in a loose state compared to the non- affected areas. </w:t>
      </w:r>
      <w:r w:rsidR="002C313F" w:rsidRPr="00E57FB2">
        <w:lastRenderedPageBreak/>
        <w:t>Furthermore, some spots of freshwater inundation were recognized in Petobo and Balaroa, even two weeks after the disaster</w:t>
      </w:r>
      <w:r w:rsidR="002C313F">
        <w:t>.</w:t>
      </w:r>
      <w:r w:rsidR="00D41B71">
        <w:t xml:space="preserve"> </w:t>
      </w:r>
      <w:r w:rsidR="002A1F66" w:rsidRPr="002A1F66">
        <w:t xml:space="preserve">In this study, an analysis of the liquefaction potential was carried out based on </w:t>
      </w:r>
      <w:r w:rsidR="00786C75">
        <w:t xml:space="preserve">the </w:t>
      </w:r>
      <w:r w:rsidR="002A1F66" w:rsidRPr="002A1F66">
        <w:t>Standard Penetration Test (SPT) data in the field using the Settle3 software. The results of the analysis are expected to be a reference in the spatial development of the area prone to liquefaction and its related impacts.</w:t>
      </w:r>
    </w:p>
    <w:p w14:paraId="396A34AD" w14:textId="2E374AF3" w:rsidR="00432380" w:rsidRDefault="00432380" w:rsidP="00D41B71">
      <w:pPr>
        <w:pStyle w:val="Paragraph"/>
        <w:ind w:firstLine="0"/>
        <w:jc w:val="center"/>
      </w:pPr>
      <w:r>
        <w:rPr>
          <w:noProof/>
        </w:rPr>
        <w:drawing>
          <wp:inline distT="0" distB="0" distL="0" distR="0" wp14:anchorId="00D59F4C" wp14:editId="396D37A0">
            <wp:extent cx="3902299" cy="2308860"/>
            <wp:effectExtent l="0" t="0" r="0" b="2540"/>
            <wp:docPr id="2" name="Picture 2" descr="A picture containing text, differen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 crow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430" cy="2325504"/>
                    </a:xfrm>
                    <a:prstGeom prst="rect">
                      <a:avLst/>
                    </a:prstGeom>
                  </pic:spPr>
                </pic:pic>
              </a:graphicData>
            </a:graphic>
          </wp:inline>
        </w:drawing>
      </w:r>
    </w:p>
    <w:p w14:paraId="3AA91E5A" w14:textId="11AEFCEB" w:rsidR="00D41B71" w:rsidRPr="00D41B71" w:rsidRDefault="00D41B71" w:rsidP="00D41B71">
      <w:pPr>
        <w:pStyle w:val="FigureCaption"/>
        <w:rPr>
          <w:sz w:val="24"/>
        </w:rPr>
      </w:pPr>
      <w:r>
        <w:rPr>
          <w:b/>
          <w:bCs/>
        </w:rPr>
        <w:t>FIGURE 1</w:t>
      </w:r>
      <w:r w:rsidRPr="00D81278">
        <w:t xml:space="preserve">. </w:t>
      </w:r>
      <w:r>
        <w:t>Satellite photo by Google Earth and some photos of damage in Balaroa district in Palu city (</w:t>
      </w:r>
      <w:r w:rsidRPr="00AA6953">
        <w:rPr>
          <w:lang w:val="id-ID"/>
        </w:rPr>
        <w:fldChar w:fldCharType="begin" w:fldLock="1"/>
      </w:r>
      <w:r w:rsidRPr="00AA6953">
        <w:rPr>
          <w:lang w:val="id-ID"/>
        </w:rPr>
        <w:instrText>ADDIN CSL_CITATION {"citationItems":[{"id":"ITEM-1","itemData":{"ISSN":"21978670","abstract":"Background: On September 28th, 2018, at 18:02 local time (10:02 UTC), a strong earthquake of magnitude Mw = 7.5 struck Central Sulawesi Province, Indonesia. The epicenter was located at 0.256o south latitude and 119.846o east longitude, around 77 km from Palu city, and 20 km below the ground surface. To understand the damage caused by the earthquake, and find a solution to mitigate the geo-disasters in Indonesia, a preliminary investigation on the 2018 Sulawesi earthquake was conducted from 16 to 20 November 2018. This quick report focuses on ground displacements induced by fault movement and large-scale ground flow. Results: During the survey, there is some geotechnical damage were found, such as ground displacement induced by fault movement, liquefaction, landslides, and large-scale ground flow in some certain areas. Large ground displacement was found in some particular areas, such as Kedondong, Pipa Air, Pangeran Diponegoro and Cemara streets in Palu city. The earthquake also triggered large-scale ground flow in some different sites, such as Balaroa and Petobo districts in Palu city and Jono Oge and Sibalaya Villages. Conclusions: The locations of large ground displacements appeared at surface coincide well with the estimated fault line. Therefore the large ground displacements were seems to be induced by the fault movement. Large ground flow caused severe damage to not only human but also houses and buildings. The mechanism of the large ground flow should be clarified in near future.","author":[{"dropping-particle":"","family":"Miyajima","given":"Masakatsu","non-dropping-particle":"","parse-names":false,"suffix":""},{"dropping-particle":"","family":"Setiawan","given":"Hendra","non-dropping-particle":"","parse-names":false,"suffix":""},{"dropping-particle":"","family":"Yoshida","given":"Masaho","non-dropping-particle":"","parse-names":false,"suffix":""},{"dropping-particle":"","family":"Ono","given":"Yusuke","non-dropping-particle":"","parse-names":false,"suffix":""},{"dropping-particle":"","family":"Kosa","given":"Kenji","non-dropping-particle":"","parse-names":false,"suffix":""},{"dropping-particle":"","family":"Oktaviana","given":"Ida Sri","non-dropping-particle":"","parse-names":false,"suffix":""},{"dropping-particle":"","family":"Martini","given":"","non-dropping-particle":"","parse-names":false,"suffix":""},{"dropping-particle":"","family":"Irdhiani","given":"","non-dropping-particle":"","parse-names":false,"suffix":""}],"container-title":"Geoenvironmental Disasters","id":"ITEM-1","issue":"1","issued":{"date-parts":[["2019"]]},"page":"2-9","publisher":"Geoenvironmental Disasters","title":"Geotechnical damage in the 2018 Sulawesi earthquake, Indonesia","type":"article-journal","volume":"6"},"uris":["http://www.mendeley.com/documents/?uuid=b2531fc7-a725-49a4-b9d6-dc55c937f16c"]}],"mendeley":{"formattedCitation":"(Miyajima et al., 2019)","manualFormatting":"Miyajima dkk. (2019)","plainTextFormattedCitation":"(Miyajima et al., 2019)","previouslyFormattedCitation":"(Miyajima et al., 2019)"},"properties":{"noteIndex":0},"schema":"https://github.com/citation-style-language/schema/raw/master/csl-citation.json"}</w:instrText>
      </w:r>
      <w:r w:rsidRPr="00AA6953">
        <w:rPr>
          <w:lang w:val="id-ID"/>
        </w:rPr>
        <w:fldChar w:fldCharType="separate"/>
      </w:r>
      <w:r w:rsidRPr="00AA6953">
        <w:rPr>
          <w:noProof/>
          <w:lang w:val="id-ID"/>
        </w:rPr>
        <w:t xml:space="preserve">Miyajima </w:t>
      </w:r>
      <w:r>
        <w:rPr>
          <w:noProof/>
        </w:rPr>
        <w:t xml:space="preserve">et al. </w:t>
      </w:r>
      <w:r w:rsidRPr="00AA6953">
        <w:rPr>
          <w:noProof/>
          <w:lang w:val="id-ID"/>
        </w:rPr>
        <w:t>2019)</w:t>
      </w:r>
      <w:r w:rsidRPr="00AA6953">
        <w:rPr>
          <w:lang w:val="id-ID"/>
        </w:rPr>
        <w:fldChar w:fldCharType="end"/>
      </w:r>
    </w:p>
    <w:p w14:paraId="73149A50" w14:textId="1E71084E" w:rsidR="002A1F66" w:rsidRPr="00000814" w:rsidRDefault="00C30BFF" w:rsidP="00000814">
      <w:pPr>
        <w:pStyle w:val="Heading1"/>
      </w:pPr>
      <w:r w:rsidRPr="00000814">
        <w:t>RESEARCH METHODS</w:t>
      </w:r>
    </w:p>
    <w:p w14:paraId="42E39EBF" w14:textId="07BEAF42" w:rsidR="00000814" w:rsidRDefault="00C30BFF" w:rsidP="00013880">
      <w:pPr>
        <w:pStyle w:val="Paragraph"/>
      </w:pPr>
      <w:r w:rsidRPr="00C30BFF">
        <w:t>The Mw 7.5 earthquake in Palu City, Central Sulawesi triggered another disaster, namely liquefaction at several points of the City, which led to the change in the soil properties of the affected area. This study was carried</w:t>
      </w:r>
      <w:r w:rsidR="00786C75">
        <w:t xml:space="preserve"> out</w:t>
      </w:r>
      <w:r w:rsidRPr="00C30BFF">
        <w:t xml:space="preserve"> using the Settle3 software to analyze an earthquake with a magnitude of 7.5</w:t>
      </w:r>
      <w:r w:rsidR="00786C75">
        <w:t xml:space="preserve"> Mw</w:t>
      </w:r>
      <w:r w:rsidRPr="00C30BFF">
        <w:t xml:space="preserve">. The liquefaction potential was analyzed using the Liquefaction Potential Index (LPI) and </w:t>
      </w:r>
      <w:r w:rsidR="00786C75">
        <w:t xml:space="preserve">the </w:t>
      </w:r>
      <w:r w:rsidRPr="00C30BFF">
        <w:t xml:space="preserve">Liquefaction Severity Index (LSI) methods. </w:t>
      </w:r>
    </w:p>
    <w:p w14:paraId="33E43519" w14:textId="64250314" w:rsidR="00000814" w:rsidRPr="00BF02A4" w:rsidRDefault="00BF02A4" w:rsidP="00BF02A4">
      <w:pPr>
        <w:pStyle w:val="Heading2"/>
      </w:pPr>
      <w:r w:rsidRPr="00BF02A4">
        <w:t>Data Collection</w:t>
      </w:r>
    </w:p>
    <w:p w14:paraId="408625EE" w14:textId="0177365A" w:rsidR="00000814" w:rsidRDefault="00000814" w:rsidP="00916995">
      <w:pPr>
        <w:pStyle w:val="Paragraph"/>
      </w:pPr>
      <w:r w:rsidRPr="00000814">
        <w:t xml:space="preserve">The data obtained was soil investigation in the form of the SPT test results and laboratory testing carried out in Balaroa Village, Palu City, Central Sulawesi. The earthquake data used in the analysis had a magnitude of 7.5 Mw </w:t>
      </w:r>
      <w:r w:rsidR="00786C75">
        <w:t>and</w:t>
      </w:r>
      <w:r w:rsidR="00786C75" w:rsidRPr="00000814">
        <w:t xml:space="preserve"> </w:t>
      </w:r>
      <w:r w:rsidRPr="00000814">
        <w:t>peak ground acceleration in the study area is 0.33 g. Furthermore, the SPT test results at the review points are shown in Table 1. BH 01 is located at the top part of the liquefaction area, whereas BH 02 is located at the north-side of the area and remain</w:t>
      </w:r>
      <w:r w:rsidR="00786C75">
        <w:t>ed</w:t>
      </w:r>
      <w:r w:rsidRPr="00000814">
        <w:t xml:space="preserve"> un-liquified during the 2018 earthquake.</w:t>
      </w:r>
      <w:r w:rsidR="00013880">
        <w:t xml:space="preserve"> </w:t>
      </w:r>
    </w:p>
    <w:p w14:paraId="6869AE36" w14:textId="77777777" w:rsidR="00000814" w:rsidRPr="00D81278" w:rsidRDefault="00000814" w:rsidP="00916995">
      <w:pPr>
        <w:pStyle w:val="TableCaption"/>
      </w:pPr>
      <w:r w:rsidRPr="00D81278">
        <w:rPr>
          <w:b/>
          <w:bCs/>
        </w:rPr>
        <w:t>Table 1</w:t>
      </w:r>
      <w:r w:rsidRPr="00D81278">
        <w:t>. SPT</w:t>
      </w:r>
      <w:r>
        <w:t xml:space="preserve"> test </w:t>
      </w:r>
      <w:r w:rsidRPr="00D81278">
        <w:t xml:space="preserve">results of BH 01 and BH 02 point </w:t>
      </w:r>
    </w:p>
    <w:tbl>
      <w:tblPr>
        <w:tblW w:w="3310" w:type="pct"/>
        <w:jc w:val="center"/>
        <w:tblBorders>
          <w:top w:val="single" w:sz="4" w:space="0" w:color="auto"/>
          <w:bottom w:val="single" w:sz="4" w:space="0" w:color="auto"/>
        </w:tblBorders>
        <w:tblLook w:val="04A0" w:firstRow="1" w:lastRow="0" w:firstColumn="1" w:lastColumn="0" w:noHBand="0" w:noVBand="1"/>
      </w:tblPr>
      <w:tblGrid>
        <w:gridCol w:w="963"/>
        <w:gridCol w:w="968"/>
        <w:gridCol w:w="1652"/>
        <w:gridCol w:w="960"/>
        <w:gridCol w:w="1653"/>
      </w:tblGrid>
      <w:tr w:rsidR="00000814" w:rsidRPr="00916995" w14:paraId="149235E2" w14:textId="77777777" w:rsidTr="00916995">
        <w:trPr>
          <w:trHeight w:val="20"/>
          <w:jc w:val="center"/>
        </w:trPr>
        <w:tc>
          <w:tcPr>
            <w:tcW w:w="777" w:type="pct"/>
            <w:tcBorders>
              <w:top w:val="single" w:sz="4" w:space="0" w:color="auto"/>
              <w:bottom w:val="single" w:sz="4" w:space="0" w:color="auto"/>
            </w:tcBorders>
            <w:shd w:val="clear" w:color="auto" w:fill="auto"/>
            <w:noWrap/>
            <w:vAlign w:val="center"/>
          </w:tcPr>
          <w:p w14:paraId="394D322C" w14:textId="77777777" w:rsidR="00000814" w:rsidRPr="00916995" w:rsidRDefault="00000814" w:rsidP="00786C75">
            <w:pPr>
              <w:jc w:val="center"/>
              <w:rPr>
                <w:b/>
                <w:bCs/>
                <w:i/>
                <w:iCs/>
                <w:color w:val="000000"/>
                <w:sz w:val="18"/>
                <w:szCs w:val="18"/>
              </w:rPr>
            </w:pPr>
          </w:p>
        </w:tc>
        <w:tc>
          <w:tcPr>
            <w:tcW w:w="2114" w:type="pct"/>
            <w:gridSpan w:val="2"/>
            <w:tcBorders>
              <w:top w:val="single" w:sz="4" w:space="0" w:color="auto"/>
              <w:bottom w:val="single" w:sz="4" w:space="0" w:color="auto"/>
            </w:tcBorders>
            <w:shd w:val="clear" w:color="auto" w:fill="auto"/>
            <w:noWrap/>
            <w:vAlign w:val="center"/>
          </w:tcPr>
          <w:p w14:paraId="618A92AE" w14:textId="77777777" w:rsidR="00000814" w:rsidRPr="00916995" w:rsidRDefault="00000814" w:rsidP="00786C75">
            <w:pPr>
              <w:jc w:val="center"/>
              <w:rPr>
                <w:b/>
                <w:bCs/>
                <w:color w:val="000000"/>
                <w:sz w:val="18"/>
                <w:szCs w:val="18"/>
              </w:rPr>
            </w:pPr>
            <w:r w:rsidRPr="00916995">
              <w:rPr>
                <w:b/>
                <w:bCs/>
                <w:color w:val="000000"/>
                <w:sz w:val="18"/>
                <w:szCs w:val="18"/>
              </w:rPr>
              <w:t>BH 01</w:t>
            </w:r>
          </w:p>
        </w:tc>
        <w:tc>
          <w:tcPr>
            <w:tcW w:w="2109" w:type="pct"/>
            <w:gridSpan w:val="2"/>
            <w:tcBorders>
              <w:top w:val="single" w:sz="4" w:space="0" w:color="auto"/>
              <w:bottom w:val="single" w:sz="4" w:space="0" w:color="auto"/>
            </w:tcBorders>
          </w:tcPr>
          <w:p w14:paraId="1C2A0F1B" w14:textId="77777777" w:rsidR="00000814" w:rsidRPr="00916995" w:rsidRDefault="00000814" w:rsidP="00786C75">
            <w:pPr>
              <w:jc w:val="center"/>
              <w:rPr>
                <w:b/>
                <w:bCs/>
                <w:color w:val="000000"/>
                <w:sz w:val="18"/>
                <w:szCs w:val="18"/>
              </w:rPr>
            </w:pPr>
            <w:r w:rsidRPr="00916995">
              <w:rPr>
                <w:b/>
                <w:bCs/>
                <w:color w:val="000000"/>
                <w:sz w:val="18"/>
                <w:szCs w:val="18"/>
              </w:rPr>
              <w:t>BH 02</w:t>
            </w:r>
          </w:p>
        </w:tc>
      </w:tr>
      <w:tr w:rsidR="00000814" w:rsidRPr="00916995" w14:paraId="56C928A8" w14:textId="77777777" w:rsidTr="00916995">
        <w:trPr>
          <w:trHeight w:val="20"/>
          <w:jc w:val="center"/>
        </w:trPr>
        <w:tc>
          <w:tcPr>
            <w:tcW w:w="777" w:type="pct"/>
            <w:tcBorders>
              <w:top w:val="single" w:sz="4" w:space="0" w:color="auto"/>
              <w:bottom w:val="single" w:sz="4" w:space="0" w:color="auto"/>
            </w:tcBorders>
            <w:shd w:val="clear" w:color="auto" w:fill="auto"/>
            <w:noWrap/>
            <w:vAlign w:val="center"/>
          </w:tcPr>
          <w:p w14:paraId="4829E5FC" w14:textId="77777777" w:rsidR="00000814" w:rsidRPr="00916995" w:rsidRDefault="00000814" w:rsidP="00786C75">
            <w:pPr>
              <w:jc w:val="center"/>
              <w:rPr>
                <w:b/>
                <w:bCs/>
                <w:i/>
                <w:iCs/>
                <w:color w:val="000000"/>
                <w:sz w:val="18"/>
                <w:szCs w:val="18"/>
              </w:rPr>
            </w:pPr>
            <w:r w:rsidRPr="00916995">
              <w:rPr>
                <w:b/>
                <w:bCs/>
                <w:i/>
                <w:iCs/>
                <w:color w:val="000000"/>
                <w:sz w:val="18"/>
                <w:szCs w:val="18"/>
              </w:rPr>
              <w:t xml:space="preserve">z </w:t>
            </w:r>
            <w:r w:rsidRPr="00916995">
              <w:rPr>
                <w:b/>
                <w:bCs/>
                <w:color w:val="000000"/>
                <w:sz w:val="18"/>
                <w:szCs w:val="18"/>
              </w:rPr>
              <w:t>(m)</w:t>
            </w:r>
          </w:p>
        </w:tc>
        <w:tc>
          <w:tcPr>
            <w:tcW w:w="781" w:type="pct"/>
            <w:tcBorders>
              <w:top w:val="single" w:sz="4" w:space="0" w:color="auto"/>
              <w:bottom w:val="single" w:sz="4" w:space="0" w:color="auto"/>
            </w:tcBorders>
            <w:shd w:val="clear" w:color="auto" w:fill="auto"/>
            <w:noWrap/>
            <w:vAlign w:val="center"/>
          </w:tcPr>
          <w:p w14:paraId="0A68C7F2" w14:textId="77777777" w:rsidR="00000814" w:rsidRPr="00916995" w:rsidRDefault="00000814" w:rsidP="00786C75">
            <w:pPr>
              <w:jc w:val="center"/>
              <w:rPr>
                <w:b/>
                <w:bCs/>
                <w:i/>
                <w:iCs/>
                <w:color w:val="000000"/>
                <w:sz w:val="18"/>
                <w:szCs w:val="18"/>
              </w:rPr>
            </w:pPr>
            <w:r w:rsidRPr="00916995">
              <w:rPr>
                <w:b/>
                <w:bCs/>
                <w:i/>
                <w:iCs/>
                <w:color w:val="000000"/>
                <w:sz w:val="18"/>
                <w:szCs w:val="18"/>
              </w:rPr>
              <w:t>N-SPT</w:t>
            </w:r>
          </w:p>
        </w:tc>
        <w:tc>
          <w:tcPr>
            <w:tcW w:w="1333" w:type="pct"/>
            <w:tcBorders>
              <w:top w:val="single" w:sz="4" w:space="0" w:color="auto"/>
              <w:bottom w:val="single" w:sz="4" w:space="0" w:color="auto"/>
            </w:tcBorders>
            <w:shd w:val="clear" w:color="auto" w:fill="auto"/>
            <w:noWrap/>
            <w:vAlign w:val="center"/>
          </w:tcPr>
          <w:p w14:paraId="70CB48C2" w14:textId="77777777" w:rsidR="00000814" w:rsidRPr="00916995" w:rsidRDefault="00000814" w:rsidP="00786C75">
            <w:pPr>
              <w:rPr>
                <w:b/>
                <w:bCs/>
                <w:color w:val="000000"/>
                <w:sz w:val="18"/>
                <w:szCs w:val="18"/>
              </w:rPr>
            </w:pPr>
            <w:r w:rsidRPr="00916995">
              <w:rPr>
                <w:b/>
                <w:bCs/>
                <w:color w:val="000000"/>
                <w:sz w:val="18"/>
                <w:szCs w:val="18"/>
              </w:rPr>
              <w:t>Soil type</w:t>
            </w:r>
          </w:p>
        </w:tc>
        <w:tc>
          <w:tcPr>
            <w:tcW w:w="775" w:type="pct"/>
            <w:tcBorders>
              <w:top w:val="single" w:sz="4" w:space="0" w:color="auto"/>
              <w:bottom w:val="single" w:sz="4" w:space="0" w:color="auto"/>
            </w:tcBorders>
            <w:vAlign w:val="center"/>
          </w:tcPr>
          <w:p w14:paraId="41B31D02" w14:textId="77777777" w:rsidR="00000814" w:rsidRPr="00916995" w:rsidRDefault="00000814" w:rsidP="00786C75">
            <w:pPr>
              <w:jc w:val="center"/>
              <w:rPr>
                <w:b/>
                <w:bCs/>
                <w:color w:val="000000"/>
                <w:sz w:val="18"/>
                <w:szCs w:val="18"/>
              </w:rPr>
            </w:pPr>
            <w:r w:rsidRPr="00916995">
              <w:rPr>
                <w:b/>
                <w:bCs/>
                <w:i/>
                <w:iCs/>
                <w:color w:val="000000"/>
                <w:sz w:val="18"/>
                <w:szCs w:val="18"/>
              </w:rPr>
              <w:t>N-SPT</w:t>
            </w:r>
          </w:p>
        </w:tc>
        <w:tc>
          <w:tcPr>
            <w:tcW w:w="1334" w:type="pct"/>
            <w:tcBorders>
              <w:top w:val="single" w:sz="4" w:space="0" w:color="auto"/>
              <w:bottom w:val="single" w:sz="4" w:space="0" w:color="auto"/>
            </w:tcBorders>
            <w:vAlign w:val="center"/>
          </w:tcPr>
          <w:p w14:paraId="0F6CAA2D" w14:textId="77777777" w:rsidR="00000814" w:rsidRPr="00916995" w:rsidRDefault="00000814" w:rsidP="00786C75">
            <w:pPr>
              <w:jc w:val="center"/>
              <w:rPr>
                <w:b/>
                <w:bCs/>
                <w:color w:val="000000"/>
                <w:sz w:val="18"/>
                <w:szCs w:val="18"/>
              </w:rPr>
            </w:pPr>
            <w:r w:rsidRPr="00916995">
              <w:rPr>
                <w:b/>
                <w:bCs/>
                <w:color w:val="000000"/>
                <w:sz w:val="18"/>
                <w:szCs w:val="18"/>
              </w:rPr>
              <w:t>Soil type</w:t>
            </w:r>
          </w:p>
        </w:tc>
      </w:tr>
      <w:tr w:rsidR="00000814" w:rsidRPr="00916995" w14:paraId="0D1FB0D7" w14:textId="77777777" w:rsidTr="00916995">
        <w:trPr>
          <w:trHeight w:val="20"/>
          <w:jc w:val="center"/>
        </w:trPr>
        <w:tc>
          <w:tcPr>
            <w:tcW w:w="777" w:type="pct"/>
            <w:tcBorders>
              <w:top w:val="single" w:sz="4" w:space="0" w:color="auto"/>
            </w:tcBorders>
            <w:shd w:val="clear" w:color="auto" w:fill="auto"/>
            <w:noWrap/>
            <w:vAlign w:val="center"/>
          </w:tcPr>
          <w:p w14:paraId="7E29AA97" w14:textId="77777777" w:rsidR="00000814" w:rsidRPr="00916995" w:rsidRDefault="00000814" w:rsidP="00786C75">
            <w:pPr>
              <w:jc w:val="center"/>
              <w:rPr>
                <w:color w:val="000000"/>
                <w:sz w:val="18"/>
                <w:szCs w:val="18"/>
              </w:rPr>
            </w:pPr>
            <w:r w:rsidRPr="00916995">
              <w:rPr>
                <w:color w:val="000000"/>
                <w:sz w:val="18"/>
                <w:szCs w:val="18"/>
              </w:rPr>
              <w:t>0</w:t>
            </w:r>
          </w:p>
        </w:tc>
        <w:tc>
          <w:tcPr>
            <w:tcW w:w="781" w:type="pct"/>
            <w:tcBorders>
              <w:top w:val="single" w:sz="4" w:space="0" w:color="auto"/>
            </w:tcBorders>
            <w:shd w:val="clear" w:color="auto" w:fill="auto"/>
            <w:noWrap/>
            <w:vAlign w:val="center"/>
          </w:tcPr>
          <w:p w14:paraId="1F8262D6" w14:textId="77777777" w:rsidR="00000814" w:rsidRPr="00916995" w:rsidRDefault="00000814" w:rsidP="00786C75">
            <w:pPr>
              <w:jc w:val="center"/>
              <w:rPr>
                <w:b/>
                <w:bCs/>
                <w:color w:val="000000"/>
                <w:sz w:val="18"/>
                <w:szCs w:val="18"/>
              </w:rPr>
            </w:pPr>
            <w:r w:rsidRPr="00916995">
              <w:rPr>
                <w:color w:val="000000"/>
                <w:sz w:val="18"/>
                <w:szCs w:val="18"/>
              </w:rPr>
              <w:t>0</w:t>
            </w:r>
          </w:p>
        </w:tc>
        <w:tc>
          <w:tcPr>
            <w:tcW w:w="1333" w:type="pct"/>
            <w:vMerge w:val="restart"/>
            <w:tcBorders>
              <w:top w:val="single" w:sz="4" w:space="0" w:color="auto"/>
            </w:tcBorders>
            <w:shd w:val="clear" w:color="auto" w:fill="auto"/>
            <w:noWrap/>
            <w:vAlign w:val="center"/>
          </w:tcPr>
          <w:p w14:paraId="68166882" w14:textId="77777777" w:rsidR="00000814" w:rsidRPr="00916995" w:rsidRDefault="00000814" w:rsidP="00786C75">
            <w:pPr>
              <w:jc w:val="center"/>
              <w:rPr>
                <w:b/>
                <w:bCs/>
                <w:color w:val="000000"/>
                <w:sz w:val="18"/>
                <w:szCs w:val="18"/>
              </w:rPr>
            </w:pPr>
            <w:r w:rsidRPr="00916995">
              <w:rPr>
                <w:color w:val="000000"/>
                <w:sz w:val="18"/>
                <w:szCs w:val="18"/>
              </w:rPr>
              <w:t>loose sand</w:t>
            </w:r>
          </w:p>
        </w:tc>
        <w:tc>
          <w:tcPr>
            <w:tcW w:w="775" w:type="pct"/>
            <w:tcBorders>
              <w:top w:val="single" w:sz="4" w:space="0" w:color="auto"/>
            </w:tcBorders>
            <w:vAlign w:val="center"/>
          </w:tcPr>
          <w:p w14:paraId="3EB428FB" w14:textId="77777777" w:rsidR="00000814" w:rsidRPr="00916995" w:rsidRDefault="00000814" w:rsidP="00786C75">
            <w:pPr>
              <w:jc w:val="center"/>
              <w:rPr>
                <w:color w:val="000000"/>
                <w:sz w:val="18"/>
                <w:szCs w:val="18"/>
              </w:rPr>
            </w:pPr>
            <w:r w:rsidRPr="00916995">
              <w:rPr>
                <w:color w:val="000000"/>
                <w:sz w:val="18"/>
                <w:szCs w:val="18"/>
              </w:rPr>
              <w:t>0</w:t>
            </w:r>
          </w:p>
        </w:tc>
        <w:tc>
          <w:tcPr>
            <w:tcW w:w="1334" w:type="pct"/>
            <w:vMerge w:val="restart"/>
            <w:tcBorders>
              <w:top w:val="single" w:sz="4" w:space="0" w:color="auto"/>
            </w:tcBorders>
            <w:vAlign w:val="center"/>
          </w:tcPr>
          <w:p w14:paraId="2094F249" w14:textId="77777777" w:rsidR="00000814" w:rsidRPr="00916995" w:rsidRDefault="00000814" w:rsidP="00786C75">
            <w:pPr>
              <w:jc w:val="center"/>
              <w:rPr>
                <w:color w:val="000000"/>
                <w:sz w:val="18"/>
                <w:szCs w:val="18"/>
              </w:rPr>
            </w:pPr>
            <w:r w:rsidRPr="00916995">
              <w:rPr>
                <w:color w:val="000000"/>
                <w:sz w:val="18"/>
                <w:szCs w:val="18"/>
              </w:rPr>
              <w:t>loose sand</w:t>
            </w:r>
          </w:p>
        </w:tc>
      </w:tr>
      <w:tr w:rsidR="00000814" w:rsidRPr="00916995" w14:paraId="21731DF9" w14:textId="77777777" w:rsidTr="00916995">
        <w:trPr>
          <w:trHeight w:val="20"/>
          <w:jc w:val="center"/>
        </w:trPr>
        <w:tc>
          <w:tcPr>
            <w:tcW w:w="777" w:type="pct"/>
            <w:shd w:val="clear" w:color="auto" w:fill="auto"/>
            <w:noWrap/>
            <w:vAlign w:val="center"/>
          </w:tcPr>
          <w:p w14:paraId="13CFE52D" w14:textId="77777777" w:rsidR="00000814" w:rsidRPr="00916995" w:rsidRDefault="00000814" w:rsidP="00786C75">
            <w:pPr>
              <w:jc w:val="center"/>
              <w:rPr>
                <w:color w:val="000000"/>
                <w:sz w:val="18"/>
                <w:szCs w:val="18"/>
              </w:rPr>
            </w:pPr>
            <w:r w:rsidRPr="00916995">
              <w:rPr>
                <w:color w:val="000000"/>
                <w:sz w:val="18"/>
                <w:szCs w:val="18"/>
              </w:rPr>
              <w:t>2</w:t>
            </w:r>
          </w:p>
        </w:tc>
        <w:tc>
          <w:tcPr>
            <w:tcW w:w="781" w:type="pct"/>
            <w:shd w:val="clear" w:color="auto" w:fill="auto"/>
            <w:noWrap/>
            <w:vAlign w:val="center"/>
          </w:tcPr>
          <w:p w14:paraId="2997A440" w14:textId="77777777" w:rsidR="00000814" w:rsidRPr="00916995" w:rsidRDefault="00000814" w:rsidP="00786C75">
            <w:pPr>
              <w:jc w:val="center"/>
              <w:rPr>
                <w:color w:val="000000"/>
                <w:sz w:val="18"/>
                <w:szCs w:val="18"/>
              </w:rPr>
            </w:pPr>
            <w:r w:rsidRPr="00916995">
              <w:rPr>
                <w:color w:val="000000"/>
                <w:sz w:val="18"/>
                <w:szCs w:val="18"/>
              </w:rPr>
              <w:t>7</w:t>
            </w:r>
          </w:p>
        </w:tc>
        <w:tc>
          <w:tcPr>
            <w:tcW w:w="1333" w:type="pct"/>
            <w:vMerge/>
            <w:shd w:val="clear" w:color="auto" w:fill="auto"/>
            <w:noWrap/>
            <w:vAlign w:val="center"/>
          </w:tcPr>
          <w:p w14:paraId="3984E7DE" w14:textId="77777777" w:rsidR="00000814" w:rsidRPr="00916995" w:rsidRDefault="00000814" w:rsidP="00786C75">
            <w:pPr>
              <w:jc w:val="center"/>
              <w:rPr>
                <w:color w:val="000000"/>
                <w:sz w:val="18"/>
                <w:szCs w:val="18"/>
              </w:rPr>
            </w:pPr>
          </w:p>
        </w:tc>
        <w:tc>
          <w:tcPr>
            <w:tcW w:w="775" w:type="pct"/>
            <w:vAlign w:val="center"/>
          </w:tcPr>
          <w:p w14:paraId="3AC00777" w14:textId="77777777" w:rsidR="00000814" w:rsidRPr="00916995" w:rsidRDefault="00000814" w:rsidP="00786C75">
            <w:pPr>
              <w:jc w:val="center"/>
              <w:rPr>
                <w:color w:val="000000"/>
                <w:sz w:val="18"/>
                <w:szCs w:val="18"/>
              </w:rPr>
            </w:pPr>
            <w:r w:rsidRPr="00916995">
              <w:rPr>
                <w:color w:val="000000"/>
                <w:sz w:val="18"/>
                <w:szCs w:val="18"/>
              </w:rPr>
              <w:t>50</w:t>
            </w:r>
          </w:p>
        </w:tc>
        <w:tc>
          <w:tcPr>
            <w:tcW w:w="1334" w:type="pct"/>
            <w:vMerge/>
            <w:vAlign w:val="center"/>
          </w:tcPr>
          <w:p w14:paraId="73EB3592" w14:textId="77777777" w:rsidR="00000814" w:rsidRPr="00916995" w:rsidRDefault="00000814" w:rsidP="00786C75">
            <w:pPr>
              <w:jc w:val="center"/>
              <w:rPr>
                <w:color w:val="000000"/>
                <w:sz w:val="18"/>
                <w:szCs w:val="18"/>
              </w:rPr>
            </w:pPr>
          </w:p>
        </w:tc>
      </w:tr>
      <w:tr w:rsidR="00000814" w:rsidRPr="00916995" w14:paraId="57477D4F" w14:textId="77777777" w:rsidTr="00916995">
        <w:trPr>
          <w:trHeight w:val="20"/>
          <w:jc w:val="center"/>
        </w:trPr>
        <w:tc>
          <w:tcPr>
            <w:tcW w:w="777" w:type="pct"/>
            <w:shd w:val="clear" w:color="auto" w:fill="auto"/>
            <w:noWrap/>
            <w:vAlign w:val="center"/>
          </w:tcPr>
          <w:p w14:paraId="58519DB7" w14:textId="77777777" w:rsidR="00000814" w:rsidRPr="00916995" w:rsidRDefault="00000814" w:rsidP="00786C75">
            <w:pPr>
              <w:jc w:val="center"/>
              <w:rPr>
                <w:color w:val="000000"/>
                <w:sz w:val="18"/>
                <w:szCs w:val="18"/>
              </w:rPr>
            </w:pPr>
            <w:r w:rsidRPr="00916995">
              <w:rPr>
                <w:color w:val="000000"/>
                <w:sz w:val="18"/>
                <w:szCs w:val="18"/>
              </w:rPr>
              <w:t>4</w:t>
            </w:r>
          </w:p>
        </w:tc>
        <w:tc>
          <w:tcPr>
            <w:tcW w:w="781" w:type="pct"/>
            <w:shd w:val="clear" w:color="auto" w:fill="auto"/>
            <w:noWrap/>
            <w:vAlign w:val="center"/>
          </w:tcPr>
          <w:p w14:paraId="4E1C6187" w14:textId="77777777" w:rsidR="00000814" w:rsidRPr="00916995" w:rsidRDefault="00000814" w:rsidP="00786C75">
            <w:pPr>
              <w:jc w:val="center"/>
              <w:rPr>
                <w:color w:val="000000"/>
                <w:sz w:val="18"/>
                <w:szCs w:val="18"/>
              </w:rPr>
            </w:pPr>
            <w:r w:rsidRPr="00916995">
              <w:rPr>
                <w:color w:val="000000"/>
                <w:sz w:val="18"/>
                <w:szCs w:val="18"/>
              </w:rPr>
              <w:t>5</w:t>
            </w:r>
          </w:p>
        </w:tc>
        <w:tc>
          <w:tcPr>
            <w:tcW w:w="1333" w:type="pct"/>
            <w:vMerge/>
            <w:vAlign w:val="center"/>
          </w:tcPr>
          <w:p w14:paraId="31D64F09" w14:textId="77777777" w:rsidR="00000814" w:rsidRPr="00916995" w:rsidRDefault="00000814" w:rsidP="00786C75">
            <w:pPr>
              <w:rPr>
                <w:color w:val="000000"/>
                <w:sz w:val="18"/>
                <w:szCs w:val="18"/>
              </w:rPr>
            </w:pPr>
          </w:p>
        </w:tc>
        <w:tc>
          <w:tcPr>
            <w:tcW w:w="775" w:type="pct"/>
            <w:vAlign w:val="center"/>
          </w:tcPr>
          <w:p w14:paraId="05A2E1B1" w14:textId="77777777" w:rsidR="00000814" w:rsidRPr="00916995" w:rsidRDefault="00000814" w:rsidP="00786C75">
            <w:pPr>
              <w:jc w:val="center"/>
              <w:rPr>
                <w:color w:val="000000"/>
                <w:sz w:val="18"/>
                <w:szCs w:val="18"/>
              </w:rPr>
            </w:pPr>
            <w:r w:rsidRPr="00916995">
              <w:rPr>
                <w:color w:val="000000"/>
                <w:sz w:val="18"/>
                <w:szCs w:val="18"/>
              </w:rPr>
              <w:t>6</w:t>
            </w:r>
          </w:p>
        </w:tc>
        <w:tc>
          <w:tcPr>
            <w:tcW w:w="1334" w:type="pct"/>
            <w:vMerge/>
            <w:vAlign w:val="center"/>
          </w:tcPr>
          <w:p w14:paraId="54B8F979" w14:textId="77777777" w:rsidR="00000814" w:rsidRPr="00916995" w:rsidRDefault="00000814" w:rsidP="00786C75">
            <w:pPr>
              <w:rPr>
                <w:color w:val="000000"/>
                <w:sz w:val="18"/>
                <w:szCs w:val="18"/>
              </w:rPr>
            </w:pPr>
          </w:p>
        </w:tc>
      </w:tr>
      <w:tr w:rsidR="00000814" w:rsidRPr="00916995" w14:paraId="31F825F7" w14:textId="77777777" w:rsidTr="00916995">
        <w:trPr>
          <w:trHeight w:val="20"/>
          <w:jc w:val="center"/>
        </w:trPr>
        <w:tc>
          <w:tcPr>
            <w:tcW w:w="777" w:type="pct"/>
            <w:shd w:val="clear" w:color="auto" w:fill="auto"/>
            <w:noWrap/>
            <w:vAlign w:val="center"/>
          </w:tcPr>
          <w:p w14:paraId="6C9F1E2E" w14:textId="77777777" w:rsidR="00000814" w:rsidRPr="00916995" w:rsidRDefault="00000814" w:rsidP="00786C75">
            <w:pPr>
              <w:jc w:val="center"/>
              <w:rPr>
                <w:color w:val="000000"/>
                <w:sz w:val="18"/>
                <w:szCs w:val="18"/>
              </w:rPr>
            </w:pPr>
            <w:r w:rsidRPr="00916995">
              <w:rPr>
                <w:color w:val="000000"/>
                <w:sz w:val="18"/>
                <w:szCs w:val="18"/>
              </w:rPr>
              <w:t>6</w:t>
            </w:r>
          </w:p>
        </w:tc>
        <w:tc>
          <w:tcPr>
            <w:tcW w:w="781" w:type="pct"/>
            <w:shd w:val="clear" w:color="auto" w:fill="auto"/>
            <w:noWrap/>
            <w:vAlign w:val="center"/>
          </w:tcPr>
          <w:p w14:paraId="2F55CCCA" w14:textId="77777777" w:rsidR="00000814" w:rsidRPr="00916995" w:rsidRDefault="00000814" w:rsidP="00786C75">
            <w:pPr>
              <w:jc w:val="center"/>
              <w:rPr>
                <w:color w:val="000000"/>
                <w:sz w:val="18"/>
                <w:szCs w:val="18"/>
              </w:rPr>
            </w:pPr>
            <w:r w:rsidRPr="00916995">
              <w:rPr>
                <w:color w:val="000000"/>
                <w:sz w:val="18"/>
                <w:szCs w:val="18"/>
              </w:rPr>
              <w:t>10</w:t>
            </w:r>
          </w:p>
        </w:tc>
        <w:tc>
          <w:tcPr>
            <w:tcW w:w="1333" w:type="pct"/>
            <w:vMerge/>
            <w:vAlign w:val="center"/>
          </w:tcPr>
          <w:p w14:paraId="099E2173" w14:textId="77777777" w:rsidR="00000814" w:rsidRPr="00916995" w:rsidRDefault="00000814" w:rsidP="00786C75">
            <w:pPr>
              <w:rPr>
                <w:color w:val="000000"/>
                <w:sz w:val="18"/>
                <w:szCs w:val="18"/>
              </w:rPr>
            </w:pPr>
          </w:p>
        </w:tc>
        <w:tc>
          <w:tcPr>
            <w:tcW w:w="775" w:type="pct"/>
            <w:vAlign w:val="center"/>
          </w:tcPr>
          <w:p w14:paraId="1275F7DF" w14:textId="77777777" w:rsidR="00000814" w:rsidRPr="00916995" w:rsidRDefault="00000814" w:rsidP="00786C75">
            <w:pPr>
              <w:jc w:val="center"/>
              <w:rPr>
                <w:color w:val="000000"/>
                <w:sz w:val="18"/>
                <w:szCs w:val="18"/>
              </w:rPr>
            </w:pPr>
            <w:r w:rsidRPr="00916995">
              <w:rPr>
                <w:color w:val="000000"/>
                <w:sz w:val="18"/>
                <w:szCs w:val="18"/>
              </w:rPr>
              <w:t>5</w:t>
            </w:r>
          </w:p>
        </w:tc>
        <w:tc>
          <w:tcPr>
            <w:tcW w:w="1334" w:type="pct"/>
            <w:vMerge/>
            <w:vAlign w:val="center"/>
          </w:tcPr>
          <w:p w14:paraId="52B2D73D" w14:textId="77777777" w:rsidR="00000814" w:rsidRPr="00916995" w:rsidRDefault="00000814" w:rsidP="00786C75">
            <w:pPr>
              <w:rPr>
                <w:color w:val="000000"/>
                <w:sz w:val="18"/>
                <w:szCs w:val="18"/>
              </w:rPr>
            </w:pPr>
          </w:p>
        </w:tc>
      </w:tr>
      <w:tr w:rsidR="00000814" w:rsidRPr="00916995" w14:paraId="4B6353F7" w14:textId="77777777" w:rsidTr="00916995">
        <w:trPr>
          <w:trHeight w:val="20"/>
          <w:jc w:val="center"/>
        </w:trPr>
        <w:tc>
          <w:tcPr>
            <w:tcW w:w="777" w:type="pct"/>
            <w:shd w:val="clear" w:color="auto" w:fill="auto"/>
            <w:noWrap/>
            <w:vAlign w:val="center"/>
          </w:tcPr>
          <w:p w14:paraId="17D5304D" w14:textId="77777777" w:rsidR="00000814" w:rsidRPr="00916995" w:rsidRDefault="00000814" w:rsidP="00786C75">
            <w:pPr>
              <w:jc w:val="center"/>
              <w:rPr>
                <w:color w:val="000000"/>
                <w:sz w:val="18"/>
                <w:szCs w:val="18"/>
              </w:rPr>
            </w:pPr>
            <w:r w:rsidRPr="00916995">
              <w:rPr>
                <w:color w:val="000000"/>
                <w:sz w:val="18"/>
                <w:szCs w:val="18"/>
              </w:rPr>
              <w:t>8</w:t>
            </w:r>
          </w:p>
        </w:tc>
        <w:tc>
          <w:tcPr>
            <w:tcW w:w="781" w:type="pct"/>
            <w:shd w:val="clear" w:color="auto" w:fill="auto"/>
            <w:noWrap/>
            <w:vAlign w:val="center"/>
          </w:tcPr>
          <w:p w14:paraId="68AABCF5" w14:textId="77777777" w:rsidR="00000814" w:rsidRPr="00916995" w:rsidRDefault="00000814" w:rsidP="00786C75">
            <w:pPr>
              <w:jc w:val="center"/>
              <w:rPr>
                <w:color w:val="000000"/>
                <w:sz w:val="18"/>
                <w:szCs w:val="18"/>
              </w:rPr>
            </w:pPr>
            <w:r w:rsidRPr="00916995">
              <w:rPr>
                <w:color w:val="000000"/>
                <w:sz w:val="18"/>
                <w:szCs w:val="18"/>
              </w:rPr>
              <w:t>68</w:t>
            </w:r>
          </w:p>
        </w:tc>
        <w:tc>
          <w:tcPr>
            <w:tcW w:w="1333" w:type="pct"/>
            <w:shd w:val="clear" w:color="auto" w:fill="auto"/>
            <w:noWrap/>
            <w:vAlign w:val="center"/>
          </w:tcPr>
          <w:p w14:paraId="791FEBAD" w14:textId="77777777" w:rsidR="00000814" w:rsidRPr="00916995" w:rsidRDefault="00000814" w:rsidP="00786C75">
            <w:pPr>
              <w:jc w:val="center"/>
              <w:rPr>
                <w:color w:val="000000"/>
                <w:sz w:val="18"/>
                <w:szCs w:val="18"/>
              </w:rPr>
            </w:pPr>
            <w:r w:rsidRPr="00916995">
              <w:rPr>
                <w:color w:val="000000"/>
                <w:sz w:val="18"/>
                <w:szCs w:val="18"/>
              </w:rPr>
              <w:t>very dense sand</w:t>
            </w:r>
          </w:p>
        </w:tc>
        <w:tc>
          <w:tcPr>
            <w:tcW w:w="775" w:type="pct"/>
            <w:vAlign w:val="center"/>
          </w:tcPr>
          <w:p w14:paraId="58A14288" w14:textId="77777777" w:rsidR="00000814" w:rsidRPr="00916995" w:rsidRDefault="00000814" w:rsidP="00786C75">
            <w:pPr>
              <w:jc w:val="center"/>
              <w:rPr>
                <w:color w:val="000000"/>
                <w:sz w:val="18"/>
                <w:szCs w:val="18"/>
              </w:rPr>
            </w:pPr>
            <w:r w:rsidRPr="00916995">
              <w:rPr>
                <w:color w:val="000000"/>
                <w:sz w:val="18"/>
                <w:szCs w:val="18"/>
              </w:rPr>
              <w:t>41</w:t>
            </w:r>
          </w:p>
        </w:tc>
        <w:tc>
          <w:tcPr>
            <w:tcW w:w="1334" w:type="pct"/>
            <w:vMerge w:val="restart"/>
            <w:vAlign w:val="center"/>
          </w:tcPr>
          <w:p w14:paraId="3D8250D2" w14:textId="77777777" w:rsidR="00000814" w:rsidRPr="00916995" w:rsidRDefault="00000814" w:rsidP="00786C75">
            <w:pPr>
              <w:jc w:val="center"/>
              <w:rPr>
                <w:color w:val="000000"/>
                <w:sz w:val="18"/>
                <w:szCs w:val="18"/>
              </w:rPr>
            </w:pPr>
            <w:r w:rsidRPr="00916995">
              <w:rPr>
                <w:color w:val="000000"/>
                <w:sz w:val="18"/>
                <w:szCs w:val="18"/>
              </w:rPr>
              <w:t>dense sand</w:t>
            </w:r>
          </w:p>
        </w:tc>
      </w:tr>
      <w:tr w:rsidR="00000814" w:rsidRPr="00916995" w14:paraId="311B5005" w14:textId="77777777" w:rsidTr="00916995">
        <w:trPr>
          <w:trHeight w:val="20"/>
          <w:jc w:val="center"/>
        </w:trPr>
        <w:tc>
          <w:tcPr>
            <w:tcW w:w="777" w:type="pct"/>
            <w:shd w:val="clear" w:color="auto" w:fill="auto"/>
            <w:noWrap/>
            <w:vAlign w:val="center"/>
          </w:tcPr>
          <w:p w14:paraId="3C99161A" w14:textId="77777777" w:rsidR="00000814" w:rsidRPr="00916995" w:rsidRDefault="00000814" w:rsidP="00786C75">
            <w:pPr>
              <w:jc w:val="center"/>
              <w:rPr>
                <w:color w:val="000000"/>
                <w:sz w:val="18"/>
                <w:szCs w:val="18"/>
              </w:rPr>
            </w:pPr>
            <w:r w:rsidRPr="00916995">
              <w:rPr>
                <w:color w:val="000000"/>
                <w:sz w:val="18"/>
                <w:szCs w:val="18"/>
              </w:rPr>
              <w:t>10</w:t>
            </w:r>
          </w:p>
        </w:tc>
        <w:tc>
          <w:tcPr>
            <w:tcW w:w="781" w:type="pct"/>
            <w:shd w:val="clear" w:color="auto" w:fill="auto"/>
            <w:noWrap/>
            <w:vAlign w:val="center"/>
          </w:tcPr>
          <w:p w14:paraId="57F1C873" w14:textId="77777777" w:rsidR="00000814" w:rsidRPr="00916995" w:rsidRDefault="00000814" w:rsidP="00786C75">
            <w:pPr>
              <w:jc w:val="center"/>
              <w:rPr>
                <w:color w:val="000000"/>
                <w:sz w:val="18"/>
                <w:szCs w:val="18"/>
              </w:rPr>
            </w:pPr>
            <w:r w:rsidRPr="00916995">
              <w:rPr>
                <w:color w:val="000000"/>
                <w:sz w:val="18"/>
                <w:szCs w:val="18"/>
              </w:rPr>
              <w:t>16</w:t>
            </w:r>
          </w:p>
        </w:tc>
        <w:tc>
          <w:tcPr>
            <w:tcW w:w="1333" w:type="pct"/>
            <w:vMerge w:val="restart"/>
            <w:shd w:val="clear" w:color="auto" w:fill="auto"/>
            <w:noWrap/>
            <w:vAlign w:val="center"/>
          </w:tcPr>
          <w:p w14:paraId="71A3B7EB" w14:textId="77777777" w:rsidR="00000814" w:rsidRPr="00916995" w:rsidRDefault="00000814" w:rsidP="00786C75">
            <w:pPr>
              <w:jc w:val="center"/>
              <w:rPr>
                <w:color w:val="000000"/>
                <w:sz w:val="18"/>
                <w:szCs w:val="18"/>
              </w:rPr>
            </w:pPr>
            <w:r w:rsidRPr="00916995">
              <w:rPr>
                <w:color w:val="000000"/>
                <w:sz w:val="18"/>
                <w:szCs w:val="18"/>
              </w:rPr>
              <w:t>medium sand</w:t>
            </w:r>
          </w:p>
        </w:tc>
        <w:tc>
          <w:tcPr>
            <w:tcW w:w="775" w:type="pct"/>
            <w:vAlign w:val="center"/>
          </w:tcPr>
          <w:p w14:paraId="30D3B1E6" w14:textId="77777777" w:rsidR="00000814" w:rsidRPr="00916995" w:rsidRDefault="00000814" w:rsidP="00786C75">
            <w:pPr>
              <w:jc w:val="center"/>
              <w:rPr>
                <w:color w:val="000000"/>
                <w:sz w:val="18"/>
                <w:szCs w:val="18"/>
              </w:rPr>
            </w:pPr>
            <w:r w:rsidRPr="00916995">
              <w:rPr>
                <w:color w:val="000000"/>
                <w:sz w:val="18"/>
                <w:szCs w:val="18"/>
              </w:rPr>
              <w:t>50</w:t>
            </w:r>
          </w:p>
        </w:tc>
        <w:tc>
          <w:tcPr>
            <w:tcW w:w="1334" w:type="pct"/>
            <w:vMerge/>
            <w:vAlign w:val="center"/>
          </w:tcPr>
          <w:p w14:paraId="445CA463" w14:textId="77777777" w:rsidR="00000814" w:rsidRPr="00916995" w:rsidRDefault="00000814" w:rsidP="00786C75">
            <w:pPr>
              <w:jc w:val="center"/>
              <w:rPr>
                <w:color w:val="000000"/>
                <w:sz w:val="18"/>
                <w:szCs w:val="18"/>
              </w:rPr>
            </w:pPr>
          </w:p>
        </w:tc>
      </w:tr>
      <w:tr w:rsidR="00000814" w:rsidRPr="00916995" w14:paraId="5ED0608A" w14:textId="77777777" w:rsidTr="00916995">
        <w:trPr>
          <w:trHeight w:val="20"/>
          <w:jc w:val="center"/>
        </w:trPr>
        <w:tc>
          <w:tcPr>
            <w:tcW w:w="777" w:type="pct"/>
            <w:shd w:val="clear" w:color="auto" w:fill="auto"/>
            <w:noWrap/>
            <w:vAlign w:val="center"/>
          </w:tcPr>
          <w:p w14:paraId="7FD9926D" w14:textId="77777777" w:rsidR="00000814" w:rsidRPr="00916995" w:rsidRDefault="00000814" w:rsidP="00786C75">
            <w:pPr>
              <w:jc w:val="center"/>
              <w:rPr>
                <w:color w:val="000000"/>
                <w:sz w:val="18"/>
                <w:szCs w:val="18"/>
              </w:rPr>
            </w:pPr>
            <w:r w:rsidRPr="00916995">
              <w:rPr>
                <w:color w:val="000000"/>
                <w:sz w:val="18"/>
                <w:szCs w:val="18"/>
              </w:rPr>
              <w:t>12</w:t>
            </w:r>
          </w:p>
        </w:tc>
        <w:tc>
          <w:tcPr>
            <w:tcW w:w="781" w:type="pct"/>
            <w:shd w:val="clear" w:color="auto" w:fill="auto"/>
            <w:noWrap/>
            <w:vAlign w:val="center"/>
          </w:tcPr>
          <w:p w14:paraId="58D34BCB" w14:textId="77777777" w:rsidR="00000814" w:rsidRPr="00916995" w:rsidRDefault="00000814" w:rsidP="00786C75">
            <w:pPr>
              <w:jc w:val="center"/>
              <w:rPr>
                <w:color w:val="000000"/>
                <w:sz w:val="18"/>
                <w:szCs w:val="18"/>
              </w:rPr>
            </w:pPr>
            <w:r w:rsidRPr="00916995">
              <w:rPr>
                <w:color w:val="000000"/>
                <w:sz w:val="18"/>
                <w:szCs w:val="18"/>
              </w:rPr>
              <w:t>21</w:t>
            </w:r>
          </w:p>
        </w:tc>
        <w:tc>
          <w:tcPr>
            <w:tcW w:w="1333" w:type="pct"/>
            <w:vMerge/>
            <w:vAlign w:val="center"/>
          </w:tcPr>
          <w:p w14:paraId="3D0F8FAD" w14:textId="77777777" w:rsidR="00000814" w:rsidRPr="00916995" w:rsidRDefault="00000814" w:rsidP="00786C75">
            <w:pPr>
              <w:rPr>
                <w:color w:val="000000"/>
                <w:sz w:val="18"/>
                <w:szCs w:val="18"/>
              </w:rPr>
            </w:pPr>
          </w:p>
        </w:tc>
        <w:tc>
          <w:tcPr>
            <w:tcW w:w="775" w:type="pct"/>
            <w:vAlign w:val="center"/>
          </w:tcPr>
          <w:p w14:paraId="1907AD07" w14:textId="77777777" w:rsidR="00000814" w:rsidRPr="00916995" w:rsidRDefault="00000814" w:rsidP="00786C75">
            <w:pPr>
              <w:jc w:val="center"/>
              <w:rPr>
                <w:color w:val="000000"/>
                <w:sz w:val="18"/>
                <w:szCs w:val="18"/>
              </w:rPr>
            </w:pPr>
            <w:r w:rsidRPr="00916995">
              <w:rPr>
                <w:color w:val="000000"/>
                <w:sz w:val="18"/>
                <w:szCs w:val="18"/>
              </w:rPr>
              <w:t>49</w:t>
            </w:r>
          </w:p>
        </w:tc>
        <w:tc>
          <w:tcPr>
            <w:tcW w:w="1334" w:type="pct"/>
            <w:vMerge/>
            <w:vAlign w:val="center"/>
          </w:tcPr>
          <w:p w14:paraId="56859C77" w14:textId="77777777" w:rsidR="00000814" w:rsidRPr="00916995" w:rsidRDefault="00000814" w:rsidP="00786C75">
            <w:pPr>
              <w:rPr>
                <w:color w:val="000000"/>
                <w:sz w:val="18"/>
                <w:szCs w:val="18"/>
              </w:rPr>
            </w:pPr>
          </w:p>
        </w:tc>
      </w:tr>
      <w:tr w:rsidR="00000814" w:rsidRPr="00916995" w14:paraId="0007F8B0" w14:textId="77777777" w:rsidTr="00916995">
        <w:trPr>
          <w:trHeight w:val="20"/>
          <w:jc w:val="center"/>
        </w:trPr>
        <w:tc>
          <w:tcPr>
            <w:tcW w:w="777" w:type="pct"/>
            <w:shd w:val="clear" w:color="auto" w:fill="auto"/>
            <w:noWrap/>
            <w:vAlign w:val="center"/>
          </w:tcPr>
          <w:p w14:paraId="7B1469C4" w14:textId="77777777" w:rsidR="00000814" w:rsidRPr="00916995" w:rsidRDefault="00000814" w:rsidP="00786C75">
            <w:pPr>
              <w:jc w:val="center"/>
              <w:rPr>
                <w:color w:val="000000"/>
                <w:sz w:val="18"/>
                <w:szCs w:val="18"/>
              </w:rPr>
            </w:pPr>
            <w:r w:rsidRPr="00916995">
              <w:rPr>
                <w:color w:val="000000"/>
                <w:sz w:val="18"/>
                <w:szCs w:val="18"/>
              </w:rPr>
              <w:t>14</w:t>
            </w:r>
          </w:p>
        </w:tc>
        <w:tc>
          <w:tcPr>
            <w:tcW w:w="781" w:type="pct"/>
            <w:shd w:val="clear" w:color="auto" w:fill="auto"/>
            <w:noWrap/>
            <w:vAlign w:val="center"/>
          </w:tcPr>
          <w:p w14:paraId="592A8A06" w14:textId="77777777" w:rsidR="00000814" w:rsidRPr="00916995" w:rsidRDefault="00000814" w:rsidP="00786C75">
            <w:pPr>
              <w:jc w:val="center"/>
              <w:rPr>
                <w:color w:val="000000"/>
                <w:sz w:val="18"/>
                <w:szCs w:val="18"/>
              </w:rPr>
            </w:pPr>
            <w:r w:rsidRPr="00916995">
              <w:rPr>
                <w:color w:val="000000"/>
                <w:sz w:val="18"/>
                <w:szCs w:val="18"/>
              </w:rPr>
              <w:t>33</w:t>
            </w:r>
          </w:p>
        </w:tc>
        <w:tc>
          <w:tcPr>
            <w:tcW w:w="1333" w:type="pct"/>
            <w:vMerge/>
            <w:vAlign w:val="center"/>
          </w:tcPr>
          <w:p w14:paraId="4FFDF1E7" w14:textId="77777777" w:rsidR="00000814" w:rsidRPr="00916995" w:rsidRDefault="00000814" w:rsidP="00786C75">
            <w:pPr>
              <w:rPr>
                <w:color w:val="000000"/>
                <w:sz w:val="18"/>
                <w:szCs w:val="18"/>
              </w:rPr>
            </w:pPr>
          </w:p>
        </w:tc>
        <w:tc>
          <w:tcPr>
            <w:tcW w:w="775" w:type="pct"/>
            <w:vAlign w:val="center"/>
          </w:tcPr>
          <w:p w14:paraId="5C361012" w14:textId="77777777" w:rsidR="00000814" w:rsidRPr="00916995" w:rsidRDefault="00000814" w:rsidP="00786C75">
            <w:pPr>
              <w:jc w:val="center"/>
              <w:rPr>
                <w:color w:val="000000"/>
                <w:sz w:val="18"/>
                <w:szCs w:val="18"/>
              </w:rPr>
            </w:pPr>
            <w:r w:rsidRPr="00916995">
              <w:rPr>
                <w:color w:val="000000"/>
                <w:sz w:val="18"/>
                <w:szCs w:val="18"/>
              </w:rPr>
              <w:t>36</w:t>
            </w:r>
          </w:p>
        </w:tc>
        <w:tc>
          <w:tcPr>
            <w:tcW w:w="1334" w:type="pct"/>
            <w:vMerge/>
            <w:vAlign w:val="center"/>
          </w:tcPr>
          <w:p w14:paraId="2113649F" w14:textId="77777777" w:rsidR="00000814" w:rsidRPr="00916995" w:rsidRDefault="00000814" w:rsidP="00786C75">
            <w:pPr>
              <w:rPr>
                <w:color w:val="000000"/>
                <w:sz w:val="18"/>
                <w:szCs w:val="18"/>
              </w:rPr>
            </w:pPr>
          </w:p>
        </w:tc>
      </w:tr>
      <w:tr w:rsidR="00000814" w:rsidRPr="00916995" w14:paraId="5C8602CE" w14:textId="77777777" w:rsidTr="00916995">
        <w:trPr>
          <w:trHeight w:val="20"/>
          <w:jc w:val="center"/>
        </w:trPr>
        <w:tc>
          <w:tcPr>
            <w:tcW w:w="777" w:type="pct"/>
            <w:shd w:val="clear" w:color="auto" w:fill="auto"/>
            <w:noWrap/>
            <w:vAlign w:val="center"/>
          </w:tcPr>
          <w:p w14:paraId="4CDC3202" w14:textId="77777777" w:rsidR="00000814" w:rsidRPr="00916995" w:rsidRDefault="00000814" w:rsidP="00786C75">
            <w:pPr>
              <w:jc w:val="center"/>
              <w:rPr>
                <w:color w:val="000000"/>
                <w:sz w:val="18"/>
                <w:szCs w:val="18"/>
              </w:rPr>
            </w:pPr>
            <w:r w:rsidRPr="00916995">
              <w:rPr>
                <w:color w:val="000000"/>
                <w:sz w:val="18"/>
                <w:szCs w:val="18"/>
              </w:rPr>
              <w:t>16</w:t>
            </w:r>
          </w:p>
        </w:tc>
        <w:tc>
          <w:tcPr>
            <w:tcW w:w="781" w:type="pct"/>
            <w:shd w:val="clear" w:color="auto" w:fill="auto"/>
            <w:noWrap/>
            <w:vAlign w:val="center"/>
          </w:tcPr>
          <w:p w14:paraId="367747CD" w14:textId="77777777" w:rsidR="00000814" w:rsidRPr="00916995" w:rsidRDefault="00000814" w:rsidP="00786C75">
            <w:pPr>
              <w:jc w:val="center"/>
              <w:rPr>
                <w:color w:val="000000"/>
                <w:sz w:val="18"/>
                <w:szCs w:val="18"/>
              </w:rPr>
            </w:pPr>
            <w:r w:rsidRPr="00916995">
              <w:rPr>
                <w:color w:val="000000"/>
                <w:sz w:val="18"/>
                <w:szCs w:val="18"/>
              </w:rPr>
              <w:t>12</w:t>
            </w:r>
          </w:p>
        </w:tc>
        <w:tc>
          <w:tcPr>
            <w:tcW w:w="1333" w:type="pct"/>
            <w:shd w:val="clear" w:color="auto" w:fill="auto"/>
            <w:noWrap/>
            <w:vAlign w:val="center"/>
          </w:tcPr>
          <w:p w14:paraId="190A591E" w14:textId="77777777" w:rsidR="00000814" w:rsidRPr="00916995" w:rsidRDefault="00000814" w:rsidP="00786C75">
            <w:pPr>
              <w:jc w:val="center"/>
              <w:rPr>
                <w:color w:val="000000"/>
                <w:sz w:val="18"/>
                <w:szCs w:val="18"/>
              </w:rPr>
            </w:pPr>
            <w:r w:rsidRPr="00916995">
              <w:rPr>
                <w:color w:val="000000"/>
                <w:sz w:val="18"/>
                <w:szCs w:val="18"/>
              </w:rPr>
              <w:t>silt</w:t>
            </w:r>
          </w:p>
        </w:tc>
        <w:tc>
          <w:tcPr>
            <w:tcW w:w="775" w:type="pct"/>
            <w:vAlign w:val="center"/>
          </w:tcPr>
          <w:p w14:paraId="3D099EFA" w14:textId="77777777" w:rsidR="00000814" w:rsidRPr="00916995" w:rsidRDefault="00000814" w:rsidP="00786C75">
            <w:pPr>
              <w:jc w:val="center"/>
              <w:rPr>
                <w:color w:val="000000"/>
                <w:sz w:val="18"/>
                <w:szCs w:val="18"/>
              </w:rPr>
            </w:pPr>
            <w:r w:rsidRPr="00916995">
              <w:rPr>
                <w:color w:val="000000"/>
                <w:sz w:val="18"/>
                <w:szCs w:val="18"/>
              </w:rPr>
              <w:t>65</w:t>
            </w:r>
          </w:p>
        </w:tc>
        <w:tc>
          <w:tcPr>
            <w:tcW w:w="1334" w:type="pct"/>
            <w:vMerge w:val="restart"/>
            <w:vAlign w:val="center"/>
          </w:tcPr>
          <w:p w14:paraId="3524B6CF" w14:textId="77777777" w:rsidR="00000814" w:rsidRPr="00916995" w:rsidRDefault="00000814" w:rsidP="00786C75">
            <w:pPr>
              <w:jc w:val="center"/>
              <w:rPr>
                <w:color w:val="000000"/>
                <w:sz w:val="18"/>
                <w:szCs w:val="18"/>
              </w:rPr>
            </w:pPr>
            <w:r w:rsidRPr="00916995">
              <w:rPr>
                <w:color w:val="000000"/>
                <w:sz w:val="18"/>
                <w:szCs w:val="18"/>
              </w:rPr>
              <w:t>very dense sand</w:t>
            </w:r>
          </w:p>
        </w:tc>
      </w:tr>
      <w:tr w:rsidR="00000814" w:rsidRPr="00916995" w14:paraId="05F0AA1F" w14:textId="77777777" w:rsidTr="00916995">
        <w:trPr>
          <w:trHeight w:val="20"/>
          <w:jc w:val="center"/>
        </w:trPr>
        <w:tc>
          <w:tcPr>
            <w:tcW w:w="777" w:type="pct"/>
            <w:shd w:val="clear" w:color="auto" w:fill="auto"/>
            <w:noWrap/>
            <w:vAlign w:val="center"/>
          </w:tcPr>
          <w:p w14:paraId="1C269059" w14:textId="77777777" w:rsidR="00000814" w:rsidRPr="00916995" w:rsidRDefault="00000814" w:rsidP="00786C75">
            <w:pPr>
              <w:jc w:val="center"/>
              <w:rPr>
                <w:color w:val="000000"/>
                <w:sz w:val="18"/>
                <w:szCs w:val="18"/>
              </w:rPr>
            </w:pPr>
            <w:r w:rsidRPr="00916995">
              <w:rPr>
                <w:color w:val="000000"/>
                <w:sz w:val="18"/>
                <w:szCs w:val="18"/>
              </w:rPr>
              <w:t>18</w:t>
            </w:r>
          </w:p>
        </w:tc>
        <w:tc>
          <w:tcPr>
            <w:tcW w:w="781" w:type="pct"/>
            <w:shd w:val="clear" w:color="auto" w:fill="auto"/>
            <w:noWrap/>
            <w:vAlign w:val="center"/>
          </w:tcPr>
          <w:p w14:paraId="0E7C754F" w14:textId="77777777" w:rsidR="00000814" w:rsidRPr="00916995" w:rsidRDefault="00000814" w:rsidP="00786C75">
            <w:pPr>
              <w:jc w:val="center"/>
              <w:rPr>
                <w:color w:val="000000"/>
                <w:sz w:val="18"/>
                <w:szCs w:val="18"/>
              </w:rPr>
            </w:pPr>
            <w:r w:rsidRPr="00916995">
              <w:rPr>
                <w:color w:val="000000"/>
                <w:sz w:val="18"/>
                <w:szCs w:val="18"/>
              </w:rPr>
              <w:t>51</w:t>
            </w:r>
          </w:p>
        </w:tc>
        <w:tc>
          <w:tcPr>
            <w:tcW w:w="1333" w:type="pct"/>
            <w:vMerge w:val="restart"/>
            <w:shd w:val="clear" w:color="auto" w:fill="auto"/>
            <w:noWrap/>
            <w:vAlign w:val="center"/>
          </w:tcPr>
          <w:p w14:paraId="57AD1C68" w14:textId="77777777" w:rsidR="00000814" w:rsidRPr="00916995" w:rsidRDefault="00000814" w:rsidP="00786C75">
            <w:pPr>
              <w:jc w:val="center"/>
              <w:rPr>
                <w:color w:val="000000"/>
                <w:sz w:val="18"/>
                <w:szCs w:val="18"/>
              </w:rPr>
            </w:pPr>
            <w:r w:rsidRPr="00916995">
              <w:rPr>
                <w:color w:val="000000"/>
                <w:sz w:val="18"/>
                <w:szCs w:val="18"/>
              </w:rPr>
              <w:t>dense sand</w:t>
            </w:r>
          </w:p>
        </w:tc>
        <w:tc>
          <w:tcPr>
            <w:tcW w:w="775" w:type="pct"/>
            <w:vAlign w:val="center"/>
          </w:tcPr>
          <w:p w14:paraId="2727B147" w14:textId="77777777" w:rsidR="00000814" w:rsidRPr="00916995" w:rsidRDefault="00000814" w:rsidP="00786C75">
            <w:pPr>
              <w:jc w:val="center"/>
              <w:rPr>
                <w:color w:val="000000"/>
                <w:sz w:val="18"/>
                <w:szCs w:val="18"/>
              </w:rPr>
            </w:pPr>
            <w:r w:rsidRPr="00916995">
              <w:rPr>
                <w:color w:val="000000"/>
                <w:sz w:val="18"/>
                <w:szCs w:val="18"/>
              </w:rPr>
              <w:t>50</w:t>
            </w:r>
          </w:p>
        </w:tc>
        <w:tc>
          <w:tcPr>
            <w:tcW w:w="1334" w:type="pct"/>
            <w:vMerge/>
          </w:tcPr>
          <w:p w14:paraId="38C8AF0F" w14:textId="77777777" w:rsidR="00000814" w:rsidRPr="00916995" w:rsidRDefault="00000814" w:rsidP="00786C75">
            <w:pPr>
              <w:jc w:val="center"/>
              <w:rPr>
                <w:color w:val="000000"/>
                <w:sz w:val="18"/>
                <w:szCs w:val="18"/>
              </w:rPr>
            </w:pPr>
          </w:p>
        </w:tc>
      </w:tr>
      <w:tr w:rsidR="00000814" w:rsidRPr="00916995" w14:paraId="556836FE" w14:textId="77777777" w:rsidTr="00916995">
        <w:trPr>
          <w:trHeight w:val="20"/>
          <w:jc w:val="center"/>
        </w:trPr>
        <w:tc>
          <w:tcPr>
            <w:tcW w:w="777" w:type="pct"/>
            <w:shd w:val="clear" w:color="auto" w:fill="auto"/>
            <w:noWrap/>
            <w:vAlign w:val="center"/>
          </w:tcPr>
          <w:p w14:paraId="7CBB084D" w14:textId="77777777" w:rsidR="00000814" w:rsidRPr="00916995" w:rsidRDefault="00000814" w:rsidP="00786C75">
            <w:pPr>
              <w:jc w:val="center"/>
              <w:rPr>
                <w:color w:val="000000"/>
                <w:sz w:val="18"/>
                <w:szCs w:val="18"/>
              </w:rPr>
            </w:pPr>
            <w:r w:rsidRPr="00916995">
              <w:rPr>
                <w:color w:val="000000"/>
                <w:sz w:val="18"/>
                <w:szCs w:val="18"/>
              </w:rPr>
              <w:t>20</w:t>
            </w:r>
          </w:p>
        </w:tc>
        <w:tc>
          <w:tcPr>
            <w:tcW w:w="781" w:type="pct"/>
            <w:shd w:val="clear" w:color="auto" w:fill="auto"/>
            <w:noWrap/>
            <w:vAlign w:val="center"/>
          </w:tcPr>
          <w:p w14:paraId="2E3A7626" w14:textId="77777777" w:rsidR="00000814" w:rsidRPr="00916995" w:rsidRDefault="00000814" w:rsidP="00786C75">
            <w:pPr>
              <w:jc w:val="center"/>
              <w:rPr>
                <w:color w:val="000000"/>
                <w:sz w:val="18"/>
                <w:szCs w:val="18"/>
              </w:rPr>
            </w:pPr>
            <w:r w:rsidRPr="00916995">
              <w:rPr>
                <w:color w:val="000000"/>
                <w:sz w:val="18"/>
                <w:szCs w:val="18"/>
              </w:rPr>
              <w:t>26</w:t>
            </w:r>
          </w:p>
        </w:tc>
        <w:tc>
          <w:tcPr>
            <w:tcW w:w="1333" w:type="pct"/>
            <w:vMerge/>
            <w:vAlign w:val="center"/>
          </w:tcPr>
          <w:p w14:paraId="13D3532B" w14:textId="77777777" w:rsidR="00000814" w:rsidRPr="00916995" w:rsidRDefault="00000814" w:rsidP="00786C75">
            <w:pPr>
              <w:rPr>
                <w:i/>
                <w:iCs/>
                <w:color w:val="000000"/>
                <w:sz w:val="18"/>
                <w:szCs w:val="18"/>
              </w:rPr>
            </w:pPr>
          </w:p>
        </w:tc>
        <w:tc>
          <w:tcPr>
            <w:tcW w:w="775" w:type="pct"/>
            <w:vAlign w:val="center"/>
          </w:tcPr>
          <w:p w14:paraId="2D2A576A" w14:textId="77777777" w:rsidR="00000814" w:rsidRPr="00916995" w:rsidRDefault="00000814" w:rsidP="00786C75">
            <w:pPr>
              <w:jc w:val="center"/>
              <w:rPr>
                <w:i/>
                <w:iCs/>
                <w:color w:val="000000"/>
                <w:sz w:val="18"/>
                <w:szCs w:val="18"/>
              </w:rPr>
            </w:pPr>
            <w:r w:rsidRPr="00916995">
              <w:rPr>
                <w:color w:val="000000"/>
                <w:sz w:val="18"/>
                <w:szCs w:val="18"/>
              </w:rPr>
              <w:t>72</w:t>
            </w:r>
          </w:p>
        </w:tc>
        <w:tc>
          <w:tcPr>
            <w:tcW w:w="1334" w:type="pct"/>
            <w:vMerge/>
          </w:tcPr>
          <w:p w14:paraId="4C68393A" w14:textId="77777777" w:rsidR="00000814" w:rsidRPr="00916995" w:rsidRDefault="00000814" w:rsidP="00786C75">
            <w:pPr>
              <w:rPr>
                <w:i/>
                <w:iCs/>
                <w:color w:val="000000"/>
                <w:sz w:val="18"/>
                <w:szCs w:val="18"/>
              </w:rPr>
            </w:pPr>
          </w:p>
        </w:tc>
      </w:tr>
    </w:tbl>
    <w:p w14:paraId="4E62BC4A" w14:textId="77777777" w:rsidR="00013880" w:rsidRDefault="00013880" w:rsidP="00013880">
      <w:pPr>
        <w:pStyle w:val="Paragraph"/>
      </w:pPr>
    </w:p>
    <w:p w14:paraId="5B978517" w14:textId="59027581" w:rsidR="00013880" w:rsidRDefault="00013880" w:rsidP="00013880">
      <w:pPr>
        <w:pStyle w:val="Paragraph"/>
      </w:pPr>
      <w:r w:rsidRPr="00C30BFF">
        <w:t xml:space="preserve">The location of study area is shown in Figure </w:t>
      </w:r>
      <w:r>
        <w:t>2</w:t>
      </w:r>
      <w:r w:rsidRPr="00C30BFF">
        <w:t>.</w:t>
      </w:r>
    </w:p>
    <w:p w14:paraId="5ED9AAFB" w14:textId="24691FB3" w:rsidR="00013880" w:rsidRPr="00D81278" w:rsidRDefault="00E93B70" w:rsidP="00013880">
      <w:pPr>
        <w:pStyle w:val="NoSpacing"/>
        <w:jc w:val="center"/>
      </w:pPr>
      <w:r>
        <w:rPr>
          <w:rFonts w:ascii="Times New Roman" w:hAnsi="Times New Roman"/>
          <w:noProof/>
          <w:sz w:val="20"/>
          <w:szCs w:val="20"/>
        </w:rPr>
        <w:lastRenderedPageBreak/>
        <w:drawing>
          <wp:anchor distT="0" distB="0" distL="114300" distR="114300" simplePos="0" relativeHeight="251663360" behindDoc="0" locked="0" layoutInCell="1" allowOverlap="1" wp14:anchorId="65402850" wp14:editId="497D4980">
            <wp:simplePos x="0" y="0"/>
            <wp:positionH relativeFrom="column">
              <wp:posOffset>1373505</wp:posOffset>
            </wp:positionH>
            <wp:positionV relativeFrom="paragraph">
              <wp:posOffset>1544320</wp:posOffset>
            </wp:positionV>
            <wp:extent cx="491490" cy="152400"/>
            <wp:effectExtent l="0" t="0" r="3810" b="0"/>
            <wp:wrapNone/>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 cy="152400"/>
                    </a:xfrm>
                    <a:prstGeom prst="rect">
                      <a:avLst/>
                    </a:prstGeom>
                  </pic:spPr>
                </pic:pic>
              </a:graphicData>
            </a:graphic>
            <wp14:sizeRelH relativeFrom="page">
              <wp14:pctWidth>0</wp14:pctWidth>
            </wp14:sizeRelH>
            <wp14:sizeRelV relativeFrom="page">
              <wp14:pctHeight>0</wp14:pctHeight>
            </wp14:sizeRelV>
          </wp:anchor>
        </w:drawing>
      </w:r>
      <w:r w:rsidRPr="00D81278">
        <w:rPr>
          <w:noProof/>
        </w:rPr>
        <mc:AlternateContent>
          <mc:Choice Requires="wps">
            <w:drawing>
              <wp:anchor distT="0" distB="0" distL="0" distR="0" simplePos="0" relativeHeight="251669504" behindDoc="0" locked="0" layoutInCell="1" allowOverlap="1" wp14:anchorId="3D507EB8" wp14:editId="1AA2A491">
                <wp:simplePos x="0" y="0"/>
                <wp:positionH relativeFrom="column">
                  <wp:posOffset>2034540</wp:posOffset>
                </wp:positionH>
                <wp:positionV relativeFrom="paragraph">
                  <wp:posOffset>1360170</wp:posOffset>
                </wp:positionV>
                <wp:extent cx="1568450" cy="468630"/>
                <wp:effectExtent l="25400" t="0" r="19050" b="52070"/>
                <wp:wrapNone/>
                <wp:docPr id="1027" name="Straight Arrow Connector 28"/>
                <wp:cNvGraphicFramePr/>
                <a:graphic xmlns:a="http://schemas.openxmlformats.org/drawingml/2006/main">
                  <a:graphicData uri="http://schemas.microsoft.com/office/word/2010/wordprocessingShape">
                    <wps:wsp>
                      <wps:cNvCnPr/>
                      <wps:spPr>
                        <a:xfrm flipH="1">
                          <a:off x="0" y="0"/>
                          <a:ext cx="1568450" cy="468630"/>
                        </a:xfrm>
                        <a:prstGeom prst="straightConnector1">
                          <a:avLst/>
                        </a:prstGeom>
                        <a:ln w="12700" cap="flat" cmpd="sng">
                          <a:solidFill>
                            <a:srgbClr val="000000"/>
                          </a:solidFill>
                          <a:prstDash val="solid"/>
                          <a:miter/>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5F988F4" id="_x0000_t32" coordsize="21600,21600" o:spt="32" o:oned="t" path="m,l21600,21600e" filled="f">
                <v:path arrowok="t" fillok="f" o:connecttype="none"/>
                <o:lock v:ext="edit" shapetype="t"/>
              </v:shapetype>
              <v:shape id="Straight Arrow Connector 28" o:spid="_x0000_s1026" type="#_x0000_t32" style="position:absolute;margin-left:160.2pt;margin-top:107.1pt;width:123.5pt;height:36.9pt;flip:x;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" strokeweight="1pt">
                <v:stroke endarrow="block" joinstyle="miter"/>
              </v:shape>
            </w:pict>
          </mc:Fallback>
        </mc:AlternateContent>
      </w:r>
      <w:r w:rsidRPr="00D81278">
        <w:rPr>
          <w:noProof/>
        </w:rPr>
        <mc:AlternateContent>
          <mc:Choice Requires="wps">
            <w:drawing>
              <wp:anchor distT="0" distB="0" distL="0" distR="0" simplePos="0" relativeHeight="251662336" behindDoc="0" locked="0" layoutInCell="1" allowOverlap="1" wp14:anchorId="48134620" wp14:editId="1E92DE68">
                <wp:simplePos x="0" y="0"/>
                <wp:positionH relativeFrom="column">
                  <wp:posOffset>2286000</wp:posOffset>
                </wp:positionH>
                <wp:positionV relativeFrom="paragraph">
                  <wp:posOffset>342900</wp:posOffset>
                </wp:positionV>
                <wp:extent cx="1316990" cy="948690"/>
                <wp:effectExtent l="0" t="0" r="54610" b="41910"/>
                <wp:wrapNone/>
                <wp:docPr id="1030" name="Straight Arrow Connector 6"/>
                <wp:cNvGraphicFramePr/>
                <a:graphic xmlns:a="http://schemas.openxmlformats.org/drawingml/2006/main">
                  <a:graphicData uri="http://schemas.microsoft.com/office/word/2010/wordprocessingShape">
                    <wps:wsp>
                      <wps:cNvCnPr/>
                      <wps:spPr>
                        <a:xfrm>
                          <a:off x="0" y="0"/>
                          <a:ext cx="1316990" cy="948690"/>
                        </a:xfrm>
                        <a:prstGeom prst="straightConnector1">
                          <a:avLst/>
                        </a:prstGeom>
                        <a:ln w="12700" cap="flat" cmpd="sng">
                          <a:solidFill>
                            <a:srgbClr val="000000"/>
                          </a:solidFill>
                          <a:prstDash val="solid"/>
                          <a:miter/>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07E29C2" id="Straight Arrow Connector 6" o:spid="_x0000_s1026" type="#_x0000_t32" style="position:absolute;margin-left:180pt;margin-top:27pt;width:103.7pt;height:74.7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" strokeweight="1pt">
                <v:stroke endarrow="block" joinstyle="miter"/>
              </v:shape>
            </w:pict>
          </mc:Fallback>
        </mc:AlternateContent>
      </w:r>
      <w:r w:rsidR="00013880" w:rsidRPr="00D81278">
        <w:rPr>
          <w:noProof/>
        </w:rPr>
        <mc:AlternateContent>
          <mc:Choice Requires="wps">
            <w:drawing>
              <wp:anchor distT="0" distB="0" distL="0" distR="0" simplePos="0" relativeHeight="251671552" behindDoc="0" locked="0" layoutInCell="1" allowOverlap="1" wp14:anchorId="4DCD7092" wp14:editId="574A512F">
                <wp:simplePos x="0" y="0"/>
                <wp:positionH relativeFrom="column">
                  <wp:posOffset>4267200</wp:posOffset>
                </wp:positionH>
                <wp:positionV relativeFrom="paragraph">
                  <wp:posOffset>-114300</wp:posOffset>
                </wp:positionV>
                <wp:extent cx="638175" cy="438150"/>
                <wp:effectExtent l="0" t="0" r="0" b="0"/>
                <wp:wrapNone/>
                <wp:docPr id="3" name="Text Box 26"/>
                <wp:cNvGraphicFramePr/>
                <a:graphic xmlns:a="http://schemas.openxmlformats.org/drawingml/2006/main">
                  <a:graphicData uri="http://schemas.microsoft.com/office/word/2010/wordprocessingShape">
                    <wps:wsp>
                      <wps:cNvSpPr/>
                      <wps:spPr>
                        <a:xfrm>
                          <a:off x="0" y="0"/>
                          <a:ext cx="638175" cy="438150"/>
                        </a:xfrm>
                        <a:prstGeom prst="rect">
                          <a:avLst/>
                        </a:prstGeom>
                        <a:ln>
                          <a:noFill/>
                        </a:ln>
                      </wps:spPr>
                      <wps:txbx>
                        <w:txbxContent>
                          <w:p w14:paraId="0857C812" w14:textId="77777777" w:rsidR="00786C75" w:rsidRPr="001C68AC" w:rsidRDefault="00786C75" w:rsidP="00013880">
                            <w:pPr>
                              <w:rPr>
                                <w:sz w:val="20"/>
                              </w:rPr>
                            </w:pPr>
                            <w:r>
                              <w:rPr>
                                <w:sz w:val="20"/>
                              </w:rPr>
                              <w:t>N</w:t>
                            </w:r>
                          </w:p>
                        </w:txbxContent>
                      </wps:txbx>
                      <wps:bodyPr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CD7092" id="Text Box 26" o:spid="_x0000_s1026" style="position:absolute;left:0;text-align:left;margin-left:336pt;margin-top:-9pt;width:50.25pt;height:34.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" filled="f" stroked="f">
                <v:textbox>
                  <w:txbxContent>
                    <w:p w14:paraId="0857C812" w14:textId="77777777" w:rsidR="00786C75" w:rsidRPr="001C68AC" w:rsidRDefault="00786C75" w:rsidP="00013880">
                      <w:pPr>
                        <w:rPr>
                          <w:sz w:val="20"/>
                        </w:rPr>
                      </w:pPr>
                      <w:r>
                        <w:rPr>
                          <w:sz w:val="20"/>
                        </w:rPr>
                        <w:t>N</w:t>
                      </w:r>
                    </w:p>
                  </w:txbxContent>
                </v:textbox>
              </v:rect>
            </w:pict>
          </mc:Fallback>
        </mc:AlternateContent>
      </w:r>
      <w:r w:rsidR="00013880">
        <w:rPr>
          <w:noProof/>
        </w:rPr>
        <w:drawing>
          <wp:anchor distT="0" distB="0" distL="114300" distR="114300" simplePos="0" relativeHeight="251665408" behindDoc="0" locked="0" layoutInCell="1" allowOverlap="1" wp14:anchorId="29358BDD" wp14:editId="06436EA9">
            <wp:simplePos x="0" y="0"/>
            <wp:positionH relativeFrom="column">
              <wp:posOffset>4132580</wp:posOffset>
            </wp:positionH>
            <wp:positionV relativeFrom="paragraph">
              <wp:posOffset>156210</wp:posOffset>
            </wp:positionV>
            <wp:extent cx="494030" cy="485775"/>
            <wp:effectExtent l="0" t="0" r="0" b="0"/>
            <wp:wrapNone/>
            <wp:docPr id="4"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94030" cy="485775"/>
                    </a:xfrm>
                    <a:prstGeom prst="rect">
                      <a:avLst/>
                    </a:prstGeom>
                  </pic:spPr>
                </pic:pic>
              </a:graphicData>
            </a:graphic>
            <wp14:sizeRelH relativeFrom="page">
              <wp14:pctWidth>0</wp14:pctWidth>
            </wp14:sizeRelH>
            <wp14:sizeRelV relativeFrom="page">
              <wp14:pctHeight>0</wp14:pctHeight>
            </wp14:sizeRelV>
          </wp:anchor>
        </w:drawing>
      </w:r>
      <w:r w:rsidR="00013880" w:rsidRPr="00D81278">
        <w:rPr>
          <w:noProof/>
        </w:rPr>
        <mc:AlternateContent>
          <mc:Choice Requires="wps">
            <w:drawing>
              <wp:anchor distT="0" distB="0" distL="0" distR="0" simplePos="0" relativeHeight="251668480" behindDoc="0" locked="0" layoutInCell="1" allowOverlap="1" wp14:anchorId="63F906E9" wp14:editId="6D3E1AB9">
                <wp:simplePos x="0" y="0"/>
                <wp:positionH relativeFrom="column">
                  <wp:posOffset>4264025</wp:posOffset>
                </wp:positionH>
                <wp:positionV relativeFrom="paragraph">
                  <wp:posOffset>1651000</wp:posOffset>
                </wp:positionV>
                <wp:extent cx="638175" cy="438150"/>
                <wp:effectExtent l="0" t="0" r="0" b="0"/>
                <wp:wrapNone/>
                <wp:docPr id="8" name="Text Box 26"/>
                <wp:cNvGraphicFramePr/>
                <a:graphic xmlns:a="http://schemas.openxmlformats.org/drawingml/2006/main">
                  <a:graphicData uri="http://schemas.microsoft.com/office/word/2010/wordprocessingShape">
                    <wps:wsp>
                      <wps:cNvSpPr/>
                      <wps:spPr>
                        <a:xfrm>
                          <a:off x="0" y="0"/>
                          <a:ext cx="638175" cy="438150"/>
                        </a:xfrm>
                        <a:prstGeom prst="rect">
                          <a:avLst/>
                        </a:prstGeom>
                        <a:ln>
                          <a:noFill/>
                        </a:ln>
                      </wps:spPr>
                      <wps:txbx>
                        <w:txbxContent>
                          <w:p w14:paraId="49255616" w14:textId="77777777" w:rsidR="00786C75" w:rsidRPr="001C68AC" w:rsidRDefault="00786C75" w:rsidP="00013880">
                            <w:pPr>
                              <w:rPr>
                                <w:sz w:val="20"/>
                              </w:rPr>
                            </w:pPr>
                            <w:r>
                              <w:rPr>
                                <w:sz w:val="20"/>
                              </w:rPr>
                              <w:t>N</w:t>
                            </w:r>
                          </w:p>
                        </w:txbxContent>
                      </wps:txbx>
                      <wps:bodyPr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3F906E9" id="_x0000_s1027" style="position:absolute;left:0;text-align:left;margin-left:335.75pt;margin-top:130pt;width:50.25pt;height:34.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" filled="f" stroked="f">
                <v:textbox>
                  <w:txbxContent>
                    <w:p w14:paraId="49255616" w14:textId="77777777" w:rsidR="00786C75" w:rsidRPr="001C68AC" w:rsidRDefault="00786C75" w:rsidP="00013880">
                      <w:pPr>
                        <w:rPr>
                          <w:sz w:val="20"/>
                        </w:rPr>
                      </w:pPr>
                      <w:r>
                        <w:rPr>
                          <w:sz w:val="20"/>
                        </w:rPr>
                        <w:t>N</w:t>
                      </w:r>
                    </w:p>
                  </w:txbxContent>
                </v:textbox>
              </v:rect>
            </w:pict>
          </mc:Fallback>
        </mc:AlternateContent>
      </w:r>
      <w:r w:rsidR="00013880" w:rsidRPr="00D81278">
        <w:rPr>
          <w:noProof/>
        </w:rPr>
        <w:drawing>
          <wp:anchor distT="0" distB="0" distL="114300" distR="114300" simplePos="0" relativeHeight="251664384" behindDoc="0" locked="0" layoutInCell="1" allowOverlap="1" wp14:anchorId="57E93533" wp14:editId="2F5AEB2B">
            <wp:simplePos x="0" y="0"/>
            <wp:positionH relativeFrom="column">
              <wp:posOffset>1314450</wp:posOffset>
            </wp:positionH>
            <wp:positionV relativeFrom="paragraph">
              <wp:posOffset>1734185</wp:posOffset>
            </wp:positionV>
            <wp:extent cx="3268980" cy="2114550"/>
            <wp:effectExtent l="0" t="0" r="0" b="635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8980" cy="2114550"/>
                    </a:xfrm>
                    <a:prstGeom prst="rect">
                      <a:avLst/>
                    </a:prstGeom>
                  </pic:spPr>
                </pic:pic>
              </a:graphicData>
            </a:graphic>
            <wp14:sizeRelH relativeFrom="page">
              <wp14:pctWidth>0</wp14:pctWidth>
            </wp14:sizeRelH>
            <wp14:sizeRelV relativeFrom="page">
              <wp14:pctHeight>0</wp14:pctHeight>
            </wp14:sizeRelV>
          </wp:anchor>
        </w:drawing>
      </w:r>
      <w:r w:rsidR="00013880" w:rsidRPr="00D81278">
        <w:rPr>
          <w:noProof/>
        </w:rPr>
        <w:drawing>
          <wp:anchor distT="0" distB="0" distL="0" distR="0" simplePos="0" relativeHeight="251659264" behindDoc="0" locked="0" layoutInCell="1" allowOverlap="1" wp14:anchorId="0E253D95" wp14:editId="7DB17072">
            <wp:simplePos x="0" y="0"/>
            <wp:positionH relativeFrom="column">
              <wp:posOffset>1361440</wp:posOffset>
            </wp:positionH>
            <wp:positionV relativeFrom="paragraph">
              <wp:posOffset>8890</wp:posOffset>
            </wp:positionV>
            <wp:extent cx="1638300" cy="784225"/>
            <wp:effectExtent l="76200" t="63500" r="76200" b="92075"/>
            <wp:wrapNone/>
            <wp:docPr id="1031" name="Picture 19"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31" name="Picture 19" descr="Map&#10;&#10;Description automatically generated"/>
                    <pic:cNvPicPr/>
                  </pic:nvPicPr>
                  <pic:blipFill>
                    <a:blip r:embed="rId14" cstate="print"/>
                    <a:srcRect/>
                    <a:stretch>
                      <a:fillRect/>
                    </a:stretch>
                  </pic:blipFill>
                  <pic:spPr>
                    <a:xfrm>
                      <a:off x="0" y="0"/>
                      <a:ext cx="1638300" cy="784225"/>
                    </a:xfrm>
                    <a:prstGeom prst="rect">
                      <a:avLst/>
                    </a:prstGeom>
                    <a:solidFill>
                      <a:srgbClr val="EDEDED"/>
                    </a:solidFill>
                    <a:ln w="9525" cap="sq" cmpd="sng">
                      <a:solidFill>
                        <a:srgbClr val="000000"/>
                      </a:solidFill>
                      <a:prstDash val="solid"/>
                      <a:miter/>
                      <a:headEnd type="none" w="med" len="med"/>
                      <a:tailEnd type="none" w="med" len="med"/>
                    </a:ln>
                    <a:effectLst>
                      <a:outerShdw blurRad="55000" dist="127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13880" w:rsidRPr="00D81278">
        <w:rPr>
          <w:noProof/>
        </w:rPr>
        <mc:AlternateContent>
          <mc:Choice Requires="wps">
            <w:drawing>
              <wp:anchor distT="0" distB="0" distL="0" distR="0" simplePos="0" relativeHeight="251660288" behindDoc="0" locked="0" layoutInCell="1" allowOverlap="1" wp14:anchorId="19E138E6" wp14:editId="70508799">
                <wp:simplePos x="0" y="0"/>
                <wp:positionH relativeFrom="column">
                  <wp:posOffset>3796030</wp:posOffset>
                </wp:positionH>
                <wp:positionV relativeFrom="paragraph">
                  <wp:posOffset>1108710</wp:posOffset>
                </wp:positionV>
                <wp:extent cx="856615" cy="375285"/>
                <wp:effectExtent l="0" t="0" r="0" b="0"/>
                <wp:wrapNone/>
                <wp:docPr id="1028" name="Text Box 26"/>
                <wp:cNvGraphicFramePr/>
                <a:graphic xmlns:a="http://schemas.openxmlformats.org/drawingml/2006/main">
                  <a:graphicData uri="http://schemas.microsoft.com/office/word/2010/wordprocessingShape">
                    <wps:wsp>
                      <wps:cNvSpPr/>
                      <wps:spPr>
                        <a:xfrm>
                          <a:off x="0" y="0"/>
                          <a:ext cx="856615" cy="375285"/>
                        </a:xfrm>
                        <a:prstGeom prst="rect">
                          <a:avLst/>
                        </a:prstGeom>
                        <a:ln>
                          <a:noFill/>
                        </a:ln>
                      </wps:spPr>
                      <wps:txbx>
                        <w:txbxContent>
                          <w:p w14:paraId="38645991" w14:textId="77777777" w:rsidR="00786C75" w:rsidRPr="001C68AC" w:rsidRDefault="00786C75" w:rsidP="00013880">
                            <w:pPr>
                              <w:rPr>
                                <w:sz w:val="20"/>
                              </w:rPr>
                            </w:pPr>
                            <w:r>
                              <w:rPr>
                                <w:sz w:val="20"/>
                              </w:rPr>
                              <w:t>Palu City</w:t>
                            </w:r>
                          </w:p>
                        </w:txbxContent>
                      </wps:txbx>
                      <wps:bodyPr vert="horz" wrap="square" lIns="91440" tIns="45720" rIns="91440" bIns="45720" anchor="ctr"/>
                    </wps:wsp>
                  </a:graphicData>
                </a:graphic>
              </wp:anchor>
            </w:drawing>
          </mc:Choice>
          <mc:Fallback>
            <w:pict>
              <v:rect w14:anchorId="19E138E6" id="_x0000_s1028" style="position:absolute;left:0;text-align:left;margin-left:298.9pt;margin-top:87.3pt;width:67.45pt;height:29.5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" filled="f" stroked="f">
                <v:textbox>
                  <w:txbxContent>
                    <w:p w14:paraId="38645991" w14:textId="77777777" w:rsidR="00786C75" w:rsidRPr="001C68AC" w:rsidRDefault="00786C75" w:rsidP="00013880">
                      <w:pPr>
                        <w:rPr>
                          <w:sz w:val="20"/>
                        </w:rPr>
                      </w:pPr>
                      <w:proofErr w:type="spellStart"/>
                      <w:r>
                        <w:rPr>
                          <w:sz w:val="20"/>
                        </w:rPr>
                        <w:t>Palu</w:t>
                      </w:r>
                      <w:proofErr w:type="spellEnd"/>
                      <w:r>
                        <w:rPr>
                          <w:sz w:val="20"/>
                        </w:rPr>
                        <w:t xml:space="preserve"> City</w:t>
                      </w:r>
                    </w:p>
                  </w:txbxContent>
                </v:textbox>
              </v:rect>
            </w:pict>
          </mc:Fallback>
        </mc:AlternateContent>
      </w:r>
      <w:r w:rsidR="00013880" w:rsidRPr="00D81278">
        <w:rPr>
          <w:noProof/>
        </w:rPr>
        <mc:AlternateContent>
          <mc:Choice Requires="wps">
            <w:drawing>
              <wp:anchor distT="0" distB="0" distL="0" distR="0" simplePos="0" relativeHeight="251661312" behindDoc="0" locked="0" layoutInCell="1" allowOverlap="1" wp14:anchorId="5C6EF3B0" wp14:editId="27879190">
                <wp:simplePos x="0" y="0"/>
                <wp:positionH relativeFrom="column">
                  <wp:posOffset>3573145</wp:posOffset>
                </wp:positionH>
                <wp:positionV relativeFrom="paragraph">
                  <wp:posOffset>1226820</wp:posOffset>
                </wp:positionV>
                <wp:extent cx="269240" cy="279400"/>
                <wp:effectExtent l="0" t="0" r="10160" b="13334"/>
                <wp:wrapNone/>
                <wp:docPr id="1029" name="Oval 29"/>
                <wp:cNvGraphicFramePr/>
                <a:graphic xmlns:a="http://schemas.openxmlformats.org/drawingml/2006/main">
                  <a:graphicData uri="http://schemas.microsoft.com/office/word/2010/wordprocessingShape">
                    <wps:wsp>
                      <wps:cNvSpPr/>
                      <wps:spPr>
                        <a:xfrm>
                          <a:off x="0" y="0"/>
                          <a:ext cx="269240" cy="279400"/>
                        </a:xfrm>
                        <a:prstGeom prst="ellipse">
                          <a:avLst/>
                        </a:prstGeom>
                        <a:ln w="12700" cap="flat" cmpd="sng">
                          <a:solidFill>
                            <a:srgbClr val="000000"/>
                          </a:solidFill>
                          <a:prstDash val="solid"/>
                          <a:miter/>
                        </a:ln>
                      </wps:spPr>
                      <wps:bodyPr/>
                    </wps:wsp>
                  </a:graphicData>
                </a:graphic>
              </wp:anchor>
            </w:drawing>
          </mc:Choice>
          <mc:Fallback>
            <w:pict>
              <v:oval w14:anchorId="314AB157" id="Oval 29" o:spid="_x0000_s1026" style="position:absolute;margin-left:281.35pt;margin-top:96.6pt;width:21.2pt;height:2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" filled="f" strokeweight="1pt">
                <v:stroke joinstyle="miter"/>
              </v:oval>
            </w:pict>
          </mc:Fallback>
        </mc:AlternateContent>
      </w:r>
      <w:r w:rsidR="00013880" w:rsidRPr="00D81278">
        <w:rPr>
          <w:noProof/>
        </w:rPr>
        <w:drawing>
          <wp:inline distT="0" distB="0" distL="0" distR="0" wp14:anchorId="16E80700" wp14:editId="5E613BA0">
            <wp:extent cx="3221990" cy="1724660"/>
            <wp:effectExtent l="12700" t="12700" r="16510" b="15240"/>
            <wp:docPr id="1034" name="Picture 22"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34" name="Picture 22" descr="Map&#10;&#10;Description automatically generated"/>
                    <pic:cNvPicPr/>
                  </pic:nvPicPr>
                  <pic:blipFill>
                    <a:blip r:embed="rId15" cstate="print"/>
                    <a:srcRect/>
                    <a:stretch>
                      <a:fillRect/>
                    </a:stretch>
                  </pic:blipFill>
                  <pic:spPr>
                    <a:xfrm>
                      <a:off x="0" y="0"/>
                      <a:ext cx="3221990" cy="1724660"/>
                    </a:xfrm>
                    <a:prstGeom prst="rect">
                      <a:avLst/>
                    </a:prstGeom>
                    <a:ln w="9525" cap="flat" cmpd="sng">
                      <a:solidFill>
                        <a:srgbClr val="000000"/>
                      </a:solidFill>
                      <a:prstDash val="solid"/>
                      <a:round/>
                    </a:ln>
                  </pic:spPr>
                </pic:pic>
              </a:graphicData>
            </a:graphic>
          </wp:inline>
        </w:drawing>
      </w:r>
    </w:p>
    <w:p w14:paraId="5F81410A" w14:textId="77777777" w:rsidR="00013880" w:rsidRDefault="00013880" w:rsidP="00013880">
      <w:pPr>
        <w:pStyle w:val="NoSpacing"/>
        <w:jc w:val="center"/>
      </w:pPr>
      <w:r>
        <w:rPr>
          <w:noProof/>
        </w:rPr>
        <w:drawing>
          <wp:anchor distT="0" distB="0" distL="114300" distR="114300" simplePos="0" relativeHeight="251667456" behindDoc="0" locked="0" layoutInCell="1" allowOverlap="1" wp14:anchorId="533964E8" wp14:editId="5BE0F4D1">
            <wp:simplePos x="0" y="0"/>
            <wp:positionH relativeFrom="column">
              <wp:posOffset>4143375</wp:posOffset>
            </wp:positionH>
            <wp:positionV relativeFrom="paragraph">
              <wp:posOffset>137160</wp:posOffset>
            </wp:positionV>
            <wp:extent cx="494030" cy="485775"/>
            <wp:effectExtent l="0" t="0" r="0" b="0"/>
            <wp:wrapNone/>
            <wp:docPr id="12" name="Picture 1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pic:nvPicPr>
                  <pic:blipFill>
                    <a:blip r:embed="rId11" cstate="print">
                      <a:duotone>
                        <a:prstClr val="black"/>
                        <a:schemeClr val="bg1">
                          <a:tint val="45000"/>
                          <a:satMod val="400000"/>
                        </a:schemeClr>
                      </a:duotone>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94030" cy="485775"/>
                    </a:xfrm>
                    <a:prstGeom prst="rect">
                      <a:avLst/>
                    </a:prstGeom>
                  </pic:spPr>
                </pic:pic>
              </a:graphicData>
            </a:graphic>
            <wp14:sizeRelH relativeFrom="page">
              <wp14:pctWidth>0</wp14:pctWidth>
            </wp14:sizeRelH>
            <wp14:sizeRelV relativeFrom="page">
              <wp14:pctHeight>0</wp14:pctHeight>
            </wp14:sizeRelV>
          </wp:anchor>
        </w:drawing>
      </w:r>
      <w:r w:rsidRPr="00D81278">
        <w:rPr>
          <w:noProof/>
        </w:rPr>
        <mc:AlternateContent>
          <mc:Choice Requires="wps">
            <w:drawing>
              <wp:anchor distT="0" distB="0" distL="0" distR="0" simplePos="0" relativeHeight="251666432" behindDoc="0" locked="0" layoutInCell="1" allowOverlap="1" wp14:anchorId="601CDC47" wp14:editId="4E3B6E47">
                <wp:simplePos x="0" y="0"/>
                <wp:positionH relativeFrom="column">
                  <wp:posOffset>1350010</wp:posOffset>
                </wp:positionH>
                <wp:positionV relativeFrom="paragraph">
                  <wp:posOffset>70485</wp:posOffset>
                </wp:positionV>
                <wp:extent cx="1200150" cy="219075"/>
                <wp:effectExtent l="0" t="0" r="6350" b="0"/>
                <wp:wrapNone/>
                <wp:docPr id="10" name="Text Box 26"/>
                <wp:cNvGraphicFramePr/>
                <a:graphic xmlns:a="http://schemas.openxmlformats.org/drawingml/2006/main">
                  <a:graphicData uri="http://schemas.microsoft.com/office/word/2010/wordprocessingShape">
                    <wps:wsp>
                      <wps:cNvSpPr/>
                      <wps:spPr>
                        <a:xfrm>
                          <a:off x="0" y="0"/>
                          <a:ext cx="1200150" cy="219075"/>
                        </a:xfrm>
                        <a:prstGeom prst="rect">
                          <a:avLst/>
                        </a:prstGeom>
                        <a:solidFill>
                          <a:schemeClr val="accent2"/>
                        </a:solidFill>
                        <a:ln>
                          <a:noFill/>
                        </a:ln>
                      </wps:spPr>
                      <wps:txbx>
                        <w:txbxContent>
                          <w:p w14:paraId="7CCCE5C4" w14:textId="77777777" w:rsidR="00786C75" w:rsidRPr="001C68AC" w:rsidRDefault="00786C75" w:rsidP="00013880">
                            <w:pPr>
                              <w:jc w:val="center"/>
                              <w:rPr>
                                <w:sz w:val="20"/>
                              </w:rPr>
                            </w:pPr>
                            <w:r>
                              <w:rPr>
                                <w:sz w:val="20"/>
                              </w:rPr>
                              <w:t>Balaroa, West Palu</w:t>
                            </w:r>
                          </w:p>
                        </w:txbxContent>
                      </wps:txbx>
                      <wps:bodyPr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01CDC47" id="_x0000_s1029" style="position:absolute;left:0;text-align:left;margin-left:106.3pt;margin-top:5.55pt;width:94.5pt;height:17.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" fillcolor="#c0504d [3205]" stroked="f">
                <v:textbox>
                  <w:txbxContent>
                    <w:p w14:paraId="7CCCE5C4" w14:textId="77777777" w:rsidR="00786C75" w:rsidRPr="001C68AC" w:rsidRDefault="00786C75" w:rsidP="00013880">
                      <w:pPr>
                        <w:jc w:val="center"/>
                        <w:rPr>
                          <w:sz w:val="20"/>
                        </w:rPr>
                      </w:pPr>
                      <w:proofErr w:type="spellStart"/>
                      <w:r>
                        <w:rPr>
                          <w:sz w:val="20"/>
                        </w:rPr>
                        <w:t>Balaroa</w:t>
                      </w:r>
                      <w:proofErr w:type="spellEnd"/>
                      <w:r>
                        <w:rPr>
                          <w:sz w:val="20"/>
                        </w:rPr>
                        <w:t xml:space="preserve">, West </w:t>
                      </w:r>
                      <w:proofErr w:type="spellStart"/>
                      <w:r>
                        <w:rPr>
                          <w:sz w:val="20"/>
                        </w:rPr>
                        <w:t>Palu</w:t>
                      </w:r>
                      <w:proofErr w:type="spellEnd"/>
                    </w:p>
                  </w:txbxContent>
                </v:textbox>
              </v:rect>
            </w:pict>
          </mc:Fallback>
        </mc:AlternateContent>
      </w:r>
    </w:p>
    <w:p w14:paraId="7CA8FF03" w14:textId="77777777" w:rsidR="00013880" w:rsidRDefault="00013880" w:rsidP="00013880">
      <w:pPr>
        <w:pStyle w:val="NoSpacing"/>
        <w:jc w:val="center"/>
      </w:pPr>
    </w:p>
    <w:p w14:paraId="7A4C02E2" w14:textId="77777777" w:rsidR="00013880" w:rsidRDefault="00013880" w:rsidP="00013880">
      <w:pPr>
        <w:pStyle w:val="NoSpacing"/>
        <w:jc w:val="center"/>
      </w:pPr>
    </w:p>
    <w:p w14:paraId="51178E6A" w14:textId="77777777" w:rsidR="00013880" w:rsidRDefault="00013880" w:rsidP="00013880">
      <w:pPr>
        <w:pStyle w:val="NoSpacing"/>
        <w:jc w:val="center"/>
      </w:pPr>
    </w:p>
    <w:p w14:paraId="0FBF4B28" w14:textId="77777777" w:rsidR="00013880" w:rsidRDefault="00013880" w:rsidP="00013880">
      <w:pPr>
        <w:pStyle w:val="NoSpacing"/>
        <w:jc w:val="center"/>
      </w:pPr>
    </w:p>
    <w:p w14:paraId="38B2FE6C" w14:textId="77777777" w:rsidR="00013880" w:rsidRDefault="00013880" w:rsidP="00013880">
      <w:pPr>
        <w:pStyle w:val="NoSpacing"/>
        <w:jc w:val="center"/>
      </w:pPr>
    </w:p>
    <w:p w14:paraId="45D73440" w14:textId="77777777" w:rsidR="00013880" w:rsidRDefault="00013880" w:rsidP="00013880">
      <w:pPr>
        <w:pStyle w:val="NoSpacing"/>
        <w:jc w:val="center"/>
      </w:pPr>
    </w:p>
    <w:p w14:paraId="6BFC4BDF" w14:textId="77777777" w:rsidR="00013880" w:rsidRDefault="00013880" w:rsidP="00013880">
      <w:pPr>
        <w:pStyle w:val="NoSpacing"/>
        <w:jc w:val="center"/>
      </w:pPr>
    </w:p>
    <w:p w14:paraId="48F794EF" w14:textId="77777777" w:rsidR="00013880" w:rsidRDefault="00013880" w:rsidP="00013880">
      <w:pPr>
        <w:pStyle w:val="NoSpacing"/>
        <w:jc w:val="center"/>
      </w:pPr>
    </w:p>
    <w:p w14:paraId="5D197674" w14:textId="77777777" w:rsidR="00013880" w:rsidRDefault="00013880" w:rsidP="00013880">
      <w:pPr>
        <w:pStyle w:val="NoSpacing"/>
        <w:jc w:val="center"/>
      </w:pPr>
    </w:p>
    <w:p w14:paraId="34E233FB" w14:textId="77777777" w:rsidR="00013880" w:rsidRDefault="00013880" w:rsidP="00013880">
      <w:pPr>
        <w:pStyle w:val="NoSpacing"/>
        <w:jc w:val="center"/>
      </w:pPr>
    </w:p>
    <w:p w14:paraId="64F0F6FA" w14:textId="77777777" w:rsidR="00013880" w:rsidRDefault="00013880" w:rsidP="00013880">
      <w:pPr>
        <w:pStyle w:val="FigureCaption"/>
        <w:spacing w:before="0"/>
        <w:jc w:val="left"/>
        <w:rPr>
          <w:b/>
          <w:bCs/>
        </w:rPr>
      </w:pPr>
      <w:bookmarkStart w:id="0" w:name="_Toc74466232"/>
    </w:p>
    <w:p w14:paraId="0879F129" w14:textId="59196252" w:rsidR="00013880" w:rsidRDefault="00013880" w:rsidP="00013880">
      <w:pPr>
        <w:pStyle w:val="FigureCaption"/>
        <w:spacing w:before="0"/>
      </w:pPr>
      <w:r>
        <w:rPr>
          <w:b/>
          <w:bCs/>
        </w:rPr>
        <w:t>FIGURE 2</w:t>
      </w:r>
      <w:r w:rsidRPr="00D81278">
        <w:t xml:space="preserve">. </w:t>
      </w:r>
      <w:bookmarkEnd w:id="0"/>
      <w:r w:rsidRPr="00D81278">
        <w:t>Research location (Google Maps and Mason et al., 2019)</w:t>
      </w:r>
    </w:p>
    <w:p w14:paraId="0C4E70F0" w14:textId="77FEE3E6" w:rsidR="00916995" w:rsidRPr="00BF02A4" w:rsidRDefault="00BF02A4" w:rsidP="00BF02A4">
      <w:pPr>
        <w:pStyle w:val="Heading2"/>
      </w:pPr>
      <w:r>
        <w:t>Seismic Design Analysis</w:t>
      </w:r>
    </w:p>
    <w:p w14:paraId="7539C87D" w14:textId="3122FD08" w:rsidR="00916995" w:rsidRDefault="00916995" w:rsidP="00916995">
      <w:pPr>
        <w:pStyle w:val="Paragraph"/>
      </w:pPr>
      <w:r w:rsidRPr="00D81278">
        <w:t>To carry out</w:t>
      </w:r>
      <w:r w:rsidR="00786C75">
        <w:t xml:space="preserve"> a</w:t>
      </w:r>
      <w:r w:rsidRPr="00D81278">
        <w:t xml:space="preserve"> liquefaction analysis at a location, there is a necessity to determine the peak ground acceleration (</w:t>
      </w:r>
      <w:r w:rsidRPr="00D81278">
        <w:rPr>
          <w:i/>
          <w:iCs/>
        </w:rPr>
        <w:t>a</w:t>
      </w:r>
      <w:r w:rsidRPr="00D81278">
        <w:rPr>
          <w:i/>
          <w:iCs/>
          <w:vertAlign w:val="subscript"/>
        </w:rPr>
        <w:t>max</w:t>
      </w:r>
      <w:r w:rsidRPr="00D81278">
        <w:t xml:space="preserve">) at the area. This data was obtained using a probabilistic method with reference to </w:t>
      </w:r>
      <w:r w:rsidR="00786C75" w:rsidRPr="00786C75">
        <w:t xml:space="preserve">Indonesian seismic code of SNI 1726-2019 concerning procedures for designing earthquake resistant building and non-building structures. </w:t>
      </w:r>
      <w:r w:rsidRPr="00D81278">
        <w:t xml:space="preserve"> </w:t>
      </w:r>
      <w:r w:rsidR="00CF6C90">
        <w:t>The code</w:t>
      </w:r>
      <w:r w:rsidR="00CF6C90" w:rsidRPr="00D81278">
        <w:t xml:space="preserve"> </w:t>
      </w:r>
      <w:r w:rsidRPr="00D81278">
        <w:t>state</w:t>
      </w:r>
      <w:r w:rsidR="00CF6C90">
        <w:t>s</w:t>
      </w:r>
      <w:r w:rsidRPr="00D81278">
        <w:t xml:space="preserve"> that the planned earthquake is an earthquake with an occurrence probability of 10 percent within 50 years. The SNI 1726-2019 which refers to AASHTO (2012) states that the potential for liquefaction and loss of soil strength is evaluated against the peak ground acceleration at the surface, magnitude, earthquake, and source characteristics consistent with the consideration of the maximum earthquake peak acceleration. The </w:t>
      </w:r>
      <w:r>
        <w:t>peak ground acceleration (</w:t>
      </w:r>
      <w:r w:rsidRPr="00D81278">
        <w:t>PGA</w:t>
      </w:r>
      <w:r>
        <w:t>)</w:t>
      </w:r>
      <w:r w:rsidRPr="00D81278">
        <w:t xml:space="preserve"> distribution classification can be seen in Table </w:t>
      </w:r>
      <w:r>
        <w:t>2</w:t>
      </w:r>
      <w:r w:rsidRPr="00D81278">
        <w:t>.</w:t>
      </w:r>
    </w:p>
    <w:p w14:paraId="457CF60E" w14:textId="11DFC718" w:rsidR="00916995" w:rsidRPr="00D81278" w:rsidRDefault="00916995" w:rsidP="00916995">
      <w:pPr>
        <w:pStyle w:val="TableCaption"/>
      </w:pPr>
      <w:bookmarkStart w:id="1" w:name="_Toc74466590"/>
      <w:r w:rsidRPr="00D81278">
        <w:rPr>
          <w:b/>
          <w:bCs/>
        </w:rPr>
        <w:t xml:space="preserve">Table </w:t>
      </w:r>
      <w:r>
        <w:rPr>
          <w:b/>
          <w:bCs/>
        </w:rPr>
        <w:t>2</w:t>
      </w:r>
      <w:r w:rsidRPr="00D81278">
        <w:t xml:space="preserve">. </w:t>
      </w:r>
      <w:bookmarkEnd w:id="1"/>
      <w:r w:rsidRPr="00D81278">
        <w:t>PGA distribution classification system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51"/>
        <w:gridCol w:w="2447"/>
        <w:gridCol w:w="1239"/>
        <w:gridCol w:w="1559"/>
      </w:tblGrid>
      <w:tr w:rsidR="00916995" w:rsidRPr="00916995" w14:paraId="37813415" w14:textId="77777777" w:rsidTr="00916995">
        <w:trPr>
          <w:trHeight w:val="227"/>
          <w:jc w:val="center"/>
        </w:trPr>
        <w:tc>
          <w:tcPr>
            <w:tcW w:w="851" w:type="dxa"/>
            <w:tcBorders>
              <w:bottom w:val="single" w:sz="4" w:space="0" w:color="auto"/>
            </w:tcBorders>
            <w:vAlign w:val="center"/>
          </w:tcPr>
          <w:p w14:paraId="65F84B87" w14:textId="77777777" w:rsidR="00916995" w:rsidRPr="00916995" w:rsidRDefault="00916995" w:rsidP="00786C75">
            <w:pPr>
              <w:pStyle w:val="NoSpacing"/>
              <w:jc w:val="center"/>
              <w:rPr>
                <w:rFonts w:ascii="Times" w:hAnsi="Times"/>
                <w:b/>
                <w:sz w:val="18"/>
                <w:szCs w:val="18"/>
              </w:rPr>
            </w:pPr>
            <w:r w:rsidRPr="00916995">
              <w:rPr>
                <w:rFonts w:ascii="Times" w:hAnsi="Times"/>
                <w:b/>
                <w:sz w:val="18"/>
                <w:szCs w:val="18"/>
              </w:rPr>
              <w:t>No.</w:t>
            </w:r>
          </w:p>
        </w:tc>
        <w:tc>
          <w:tcPr>
            <w:tcW w:w="2447" w:type="dxa"/>
            <w:tcBorders>
              <w:bottom w:val="single" w:sz="4" w:space="0" w:color="auto"/>
            </w:tcBorders>
            <w:vAlign w:val="center"/>
          </w:tcPr>
          <w:p w14:paraId="01766F16" w14:textId="77777777" w:rsidR="00916995" w:rsidRPr="00916995" w:rsidRDefault="00916995" w:rsidP="00786C75">
            <w:pPr>
              <w:pStyle w:val="NoSpacing"/>
              <w:jc w:val="center"/>
              <w:rPr>
                <w:rFonts w:ascii="Times" w:hAnsi="Times"/>
                <w:b/>
                <w:sz w:val="18"/>
                <w:szCs w:val="18"/>
              </w:rPr>
            </w:pPr>
            <w:r w:rsidRPr="00916995">
              <w:rPr>
                <w:rFonts w:ascii="Times" w:hAnsi="Times"/>
                <w:b/>
                <w:i/>
                <w:iCs/>
                <w:sz w:val="18"/>
                <w:szCs w:val="18"/>
              </w:rPr>
              <w:t>PGA</w:t>
            </w:r>
            <w:r w:rsidRPr="00916995">
              <w:rPr>
                <w:rFonts w:ascii="Times" w:hAnsi="Times"/>
                <w:b/>
                <w:sz w:val="18"/>
                <w:szCs w:val="18"/>
              </w:rPr>
              <w:t xml:space="preserve"> (</w:t>
            </w:r>
            <w:r w:rsidRPr="00916995">
              <w:rPr>
                <w:rFonts w:ascii="Times" w:hAnsi="Times"/>
                <w:b/>
                <w:i/>
                <w:iCs/>
                <w:sz w:val="18"/>
                <w:szCs w:val="18"/>
              </w:rPr>
              <w:t>g</w:t>
            </w:r>
            <w:r w:rsidRPr="00916995">
              <w:rPr>
                <w:rFonts w:ascii="Times" w:hAnsi="Times"/>
                <w:b/>
                <w:sz w:val="18"/>
                <w:szCs w:val="18"/>
              </w:rPr>
              <w:t>)</w:t>
            </w:r>
          </w:p>
        </w:tc>
        <w:tc>
          <w:tcPr>
            <w:tcW w:w="1239" w:type="dxa"/>
            <w:tcBorders>
              <w:bottom w:val="single" w:sz="4" w:space="0" w:color="auto"/>
            </w:tcBorders>
            <w:vAlign w:val="center"/>
          </w:tcPr>
          <w:p w14:paraId="379047D4" w14:textId="77777777" w:rsidR="00916995" w:rsidRPr="00916995" w:rsidRDefault="00916995" w:rsidP="00786C75">
            <w:pPr>
              <w:pStyle w:val="NoSpacing"/>
              <w:jc w:val="center"/>
              <w:rPr>
                <w:rFonts w:ascii="Times" w:hAnsi="Times"/>
                <w:b/>
                <w:sz w:val="18"/>
                <w:szCs w:val="18"/>
              </w:rPr>
            </w:pPr>
            <w:r w:rsidRPr="00916995">
              <w:rPr>
                <w:rFonts w:ascii="Times" w:hAnsi="Times"/>
                <w:b/>
                <w:sz w:val="18"/>
                <w:szCs w:val="18"/>
              </w:rPr>
              <w:t>Class</w:t>
            </w:r>
          </w:p>
        </w:tc>
        <w:tc>
          <w:tcPr>
            <w:tcW w:w="1559" w:type="dxa"/>
            <w:tcBorders>
              <w:bottom w:val="single" w:sz="4" w:space="0" w:color="auto"/>
            </w:tcBorders>
            <w:vAlign w:val="center"/>
          </w:tcPr>
          <w:p w14:paraId="352069A2" w14:textId="77777777" w:rsidR="00916995" w:rsidRPr="00916995" w:rsidRDefault="00916995" w:rsidP="00786C75">
            <w:pPr>
              <w:pStyle w:val="NoSpacing"/>
              <w:jc w:val="center"/>
              <w:rPr>
                <w:rFonts w:ascii="Times" w:hAnsi="Times"/>
                <w:b/>
                <w:sz w:val="18"/>
                <w:szCs w:val="18"/>
              </w:rPr>
            </w:pPr>
            <w:r w:rsidRPr="00916995">
              <w:rPr>
                <w:rFonts w:ascii="Times" w:hAnsi="Times"/>
                <w:b/>
                <w:sz w:val="18"/>
                <w:szCs w:val="18"/>
              </w:rPr>
              <w:t>Risk Level</w:t>
            </w:r>
          </w:p>
        </w:tc>
      </w:tr>
      <w:tr w:rsidR="00916995" w:rsidRPr="00916995" w14:paraId="6532DEA2" w14:textId="77777777" w:rsidTr="00916995">
        <w:trPr>
          <w:trHeight w:val="227"/>
          <w:jc w:val="center"/>
        </w:trPr>
        <w:tc>
          <w:tcPr>
            <w:tcW w:w="851" w:type="dxa"/>
            <w:tcBorders>
              <w:bottom w:val="nil"/>
            </w:tcBorders>
            <w:vAlign w:val="center"/>
          </w:tcPr>
          <w:p w14:paraId="72B7E75D"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1</w:t>
            </w:r>
          </w:p>
        </w:tc>
        <w:tc>
          <w:tcPr>
            <w:tcW w:w="2447" w:type="dxa"/>
            <w:tcBorders>
              <w:bottom w:val="nil"/>
            </w:tcBorders>
            <w:vAlign w:val="center"/>
          </w:tcPr>
          <w:p w14:paraId="1433BD8B" w14:textId="77777777" w:rsidR="00916995" w:rsidRPr="00916995" w:rsidRDefault="00916995" w:rsidP="00786C75">
            <w:pPr>
              <w:pStyle w:val="NoSpacing"/>
              <w:jc w:val="center"/>
              <w:rPr>
                <w:rFonts w:ascii="Times" w:hAnsi="Times" w:cs="Ayuthaya"/>
                <w:sz w:val="18"/>
                <w:szCs w:val="18"/>
              </w:rPr>
            </w:pP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0.10</w:t>
            </w:r>
          </w:p>
        </w:tc>
        <w:tc>
          <w:tcPr>
            <w:tcW w:w="1239" w:type="dxa"/>
            <w:tcBorders>
              <w:bottom w:val="nil"/>
            </w:tcBorders>
            <w:vAlign w:val="center"/>
          </w:tcPr>
          <w:p w14:paraId="1FFB408F"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1</w:t>
            </w:r>
          </w:p>
        </w:tc>
        <w:tc>
          <w:tcPr>
            <w:tcW w:w="1559" w:type="dxa"/>
            <w:tcBorders>
              <w:bottom w:val="nil"/>
            </w:tcBorders>
            <w:vAlign w:val="center"/>
          </w:tcPr>
          <w:p w14:paraId="04E8773C" w14:textId="77777777" w:rsidR="00916995" w:rsidRPr="00916995" w:rsidRDefault="00916995" w:rsidP="00786C75">
            <w:pPr>
              <w:jc w:val="center"/>
              <w:rPr>
                <w:sz w:val="18"/>
                <w:szCs w:val="18"/>
              </w:rPr>
            </w:pPr>
            <w:r w:rsidRPr="00916995">
              <w:rPr>
                <w:sz w:val="18"/>
                <w:szCs w:val="18"/>
              </w:rPr>
              <w:t>Very low</w:t>
            </w:r>
          </w:p>
        </w:tc>
      </w:tr>
      <w:tr w:rsidR="00916995" w:rsidRPr="00916995" w14:paraId="462AF2BA" w14:textId="77777777" w:rsidTr="00916995">
        <w:trPr>
          <w:trHeight w:val="227"/>
          <w:jc w:val="center"/>
        </w:trPr>
        <w:tc>
          <w:tcPr>
            <w:tcW w:w="851" w:type="dxa"/>
            <w:tcBorders>
              <w:top w:val="nil"/>
              <w:bottom w:val="nil"/>
            </w:tcBorders>
            <w:vAlign w:val="center"/>
          </w:tcPr>
          <w:p w14:paraId="6B93E2A3"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2</w:t>
            </w:r>
          </w:p>
        </w:tc>
        <w:tc>
          <w:tcPr>
            <w:tcW w:w="2447" w:type="dxa"/>
            <w:tcBorders>
              <w:top w:val="nil"/>
              <w:bottom w:val="nil"/>
            </w:tcBorders>
            <w:vAlign w:val="center"/>
          </w:tcPr>
          <w:p w14:paraId="236A75BC"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 xml:space="preserve">0.10 </w:t>
            </w:r>
            <w:r w:rsidRPr="00916995">
              <w:rPr>
                <w:rFonts w:ascii="Times" w:hAnsi="Times"/>
                <w:sz w:val="18"/>
                <w:szCs w:val="18"/>
                <w:u w:val="single"/>
              </w:rPr>
              <w:t xml:space="preserve">&lt; </w:t>
            </w: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0.20</w:t>
            </w:r>
          </w:p>
        </w:tc>
        <w:tc>
          <w:tcPr>
            <w:tcW w:w="1239" w:type="dxa"/>
            <w:tcBorders>
              <w:top w:val="nil"/>
              <w:bottom w:val="nil"/>
            </w:tcBorders>
            <w:vAlign w:val="center"/>
          </w:tcPr>
          <w:p w14:paraId="46338424"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2</w:t>
            </w:r>
          </w:p>
        </w:tc>
        <w:tc>
          <w:tcPr>
            <w:tcW w:w="1559" w:type="dxa"/>
            <w:tcBorders>
              <w:top w:val="nil"/>
              <w:bottom w:val="nil"/>
            </w:tcBorders>
            <w:vAlign w:val="center"/>
          </w:tcPr>
          <w:p w14:paraId="4161208F" w14:textId="77777777" w:rsidR="00916995" w:rsidRPr="00916995" w:rsidRDefault="00916995" w:rsidP="00786C75">
            <w:pPr>
              <w:jc w:val="center"/>
              <w:rPr>
                <w:sz w:val="18"/>
                <w:szCs w:val="18"/>
              </w:rPr>
            </w:pPr>
            <w:r w:rsidRPr="00916995">
              <w:rPr>
                <w:sz w:val="18"/>
                <w:szCs w:val="18"/>
              </w:rPr>
              <w:t>Low</w:t>
            </w:r>
          </w:p>
        </w:tc>
      </w:tr>
      <w:tr w:rsidR="00916995" w:rsidRPr="00916995" w14:paraId="6331753E" w14:textId="77777777" w:rsidTr="00916995">
        <w:trPr>
          <w:trHeight w:val="227"/>
          <w:jc w:val="center"/>
        </w:trPr>
        <w:tc>
          <w:tcPr>
            <w:tcW w:w="851" w:type="dxa"/>
            <w:tcBorders>
              <w:top w:val="nil"/>
              <w:bottom w:val="nil"/>
            </w:tcBorders>
            <w:vAlign w:val="center"/>
          </w:tcPr>
          <w:p w14:paraId="78AEAF2C"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3</w:t>
            </w:r>
          </w:p>
        </w:tc>
        <w:tc>
          <w:tcPr>
            <w:tcW w:w="2447" w:type="dxa"/>
            <w:tcBorders>
              <w:top w:val="nil"/>
              <w:bottom w:val="nil"/>
            </w:tcBorders>
            <w:vAlign w:val="center"/>
          </w:tcPr>
          <w:p w14:paraId="60831083"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 xml:space="preserve">0.20 </w:t>
            </w:r>
            <w:r w:rsidRPr="00916995">
              <w:rPr>
                <w:rFonts w:ascii="Times" w:hAnsi="Times"/>
                <w:sz w:val="18"/>
                <w:szCs w:val="18"/>
                <w:u w:val="single"/>
              </w:rPr>
              <w:t xml:space="preserve">&lt; </w:t>
            </w: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0.30</w:t>
            </w:r>
          </w:p>
        </w:tc>
        <w:tc>
          <w:tcPr>
            <w:tcW w:w="1239" w:type="dxa"/>
            <w:tcBorders>
              <w:top w:val="nil"/>
              <w:bottom w:val="nil"/>
            </w:tcBorders>
            <w:vAlign w:val="center"/>
          </w:tcPr>
          <w:p w14:paraId="1F1D503A"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3</w:t>
            </w:r>
          </w:p>
        </w:tc>
        <w:tc>
          <w:tcPr>
            <w:tcW w:w="1559" w:type="dxa"/>
            <w:tcBorders>
              <w:top w:val="nil"/>
              <w:bottom w:val="nil"/>
            </w:tcBorders>
            <w:vAlign w:val="center"/>
          </w:tcPr>
          <w:p w14:paraId="429B845B" w14:textId="77777777" w:rsidR="00916995" w:rsidRPr="00916995" w:rsidRDefault="00916995" w:rsidP="00786C75">
            <w:pPr>
              <w:jc w:val="center"/>
              <w:rPr>
                <w:sz w:val="18"/>
                <w:szCs w:val="18"/>
              </w:rPr>
            </w:pPr>
            <w:r w:rsidRPr="00916995">
              <w:rPr>
                <w:sz w:val="18"/>
                <w:szCs w:val="18"/>
              </w:rPr>
              <w:t>Medium</w:t>
            </w:r>
          </w:p>
        </w:tc>
      </w:tr>
      <w:tr w:rsidR="00916995" w:rsidRPr="00916995" w14:paraId="78D2D457" w14:textId="77777777" w:rsidTr="00916995">
        <w:trPr>
          <w:trHeight w:val="227"/>
          <w:jc w:val="center"/>
        </w:trPr>
        <w:tc>
          <w:tcPr>
            <w:tcW w:w="851" w:type="dxa"/>
            <w:tcBorders>
              <w:top w:val="nil"/>
              <w:bottom w:val="nil"/>
            </w:tcBorders>
            <w:vAlign w:val="center"/>
          </w:tcPr>
          <w:p w14:paraId="7B6BB1B9"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4</w:t>
            </w:r>
          </w:p>
        </w:tc>
        <w:tc>
          <w:tcPr>
            <w:tcW w:w="2447" w:type="dxa"/>
            <w:tcBorders>
              <w:top w:val="nil"/>
              <w:bottom w:val="nil"/>
            </w:tcBorders>
            <w:vAlign w:val="center"/>
          </w:tcPr>
          <w:p w14:paraId="6D8DFD1E"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 xml:space="preserve">0.30 </w:t>
            </w:r>
            <w:r w:rsidRPr="00916995">
              <w:rPr>
                <w:rFonts w:ascii="Times" w:hAnsi="Times"/>
                <w:sz w:val="18"/>
                <w:szCs w:val="18"/>
                <w:u w:val="single"/>
              </w:rPr>
              <w:t>&lt;</w:t>
            </w:r>
            <w:r w:rsidRPr="00916995">
              <w:rPr>
                <w:rFonts w:ascii="Times" w:hAnsi="Times"/>
                <w:sz w:val="18"/>
                <w:szCs w:val="18"/>
              </w:rPr>
              <w:t xml:space="preserve"> </w:t>
            </w: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0.40</w:t>
            </w:r>
          </w:p>
        </w:tc>
        <w:tc>
          <w:tcPr>
            <w:tcW w:w="1239" w:type="dxa"/>
            <w:tcBorders>
              <w:top w:val="nil"/>
              <w:bottom w:val="nil"/>
            </w:tcBorders>
            <w:vAlign w:val="center"/>
          </w:tcPr>
          <w:p w14:paraId="7B344BED"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4</w:t>
            </w:r>
          </w:p>
        </w:tc>
        <w:tc>
          <w:tcPr>
            <w:tcW w:w="1559" w:type="dxa"/>
            <w:tcBorders>
              <w:top w:val="nil"/>
              <w:bottom w:val="nil"/>
            </w:tcBorders>
            <w:vAlign w:val="center"/>
          </w:tcPr>
          <w:p w14:paraId="2051AFD2" w14:textId="77777777" w:rsidR="00916995" w:rsidRPr="00916995" w:rsidRDefault="00916995" w:rsidP="00786C75">
            <w:pPr>
              <w:jc w:val="center"/>
              <w:rPr>
                <w:sz w:val="18"/>
                <w:szCs w:val="18"/>
              </w:rPr>
            </w:pPr>
            <w:r w:rsidRPr="00916995">
              <w:rPr>
                <w:sz w:val="18"/>
                <w:szCs w:val="18"/>
              </w:rPr>
              <w:t>High</w:t>
            </w:r>
          </w:p>
        </w:tc>
      </w:tr>
      <w:tr w:rsidR="00916995" w:rsidRPr="00916995" w14:paraId="636A7188" w14:textId="77777777" w:rsidTr="00916995">
        <w:trPr>
          <w:trHeight w:val="227"/>
          <w:jc w:val="center"/>
        </w:trPr>
        <w:tc>
          <w:tcPr>
            <w:tcW w:w="851" w:type="dxa"/>
            <w:tcBorders>
              <w:top w:val="nil"/>
            </w:tcBorders>
            <w:vAlign w:val="center"/>
          </w:tcPr>
          <w:p w14:paraId="4B2911A1"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5</w:t>
            </w:r>
          </w:p>
        </w:tc>
        <w:tc>
          <w:tcPr>
            <w:tcW w:w="2447" w:type="dxa"/>
            <w:tcBorders>
              <w:top w:val="nil"/>
            </w:tcBorders>
            <w:vAlign w:val="center"/>
          </w:tcPr>
          <w:p w14:paraId="0196296E" w14:textId="77777777" w:rsidR="00916995" w:rsidRPr="00916995" w:rsidRDefault="00916995" w:rsidP="00786C75">
            <w:pPr>
              <w:pStyle w:val="NoSpacing"/>
              <w:jc w:val="center"/>
              <w:rPr>
                <w:rFonts w:ascii="Times" w:hAnsi="Times"/>
                <w:sz w:val="18"/>
                <w:szCs w:val="18"/>
              </w:rPr>
            </w:pP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w:t>
            </w:r>
            <w:r w:rsidRPr="00916995">
              <w:rPr>
                <w:rFonts w:ascii="Times" w:hAnsi="Times"/>
                <w:sz w:val="18"/>
                <w:szCs w:val="18"/>
                <w:u w:val="single"/>
              </w:rPr>
              <w:t>&gt;</w:t>
            </w:r>
            <w:r w:rsidRPr="00916995">
              <w:rPr>
                <w:rFonts w:ascii="Times" w:hAnsi="Times"/>
                <w:sz w:val="18"/>
                <w:szCs w:val="18"/>
              </w:rPr>
              <w:t xml:space="preserve"> 0.40</w:t>
            </w:r>
          </w:p>
        </w:tc>
        <w:tc>
          <w:tcPr>
            <w:tcW w:w="1239" w:type="dxa"/>
            <w:tcBorders>
              <w:top w:val="nil"/>
            </w:tcBorders>
            <w:vAlign w:val="center"/>
          </w:tcPr>
          <w:p w14:paraId="78C00F90"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5</w:t>
            </w:r>
          </w:p>
        </w:tc>
        <w:tc>
          <w:tcPr>
            <w:tcW w:w="1559" w:type="dxa"/>
            <w:tcBorders>
              <w:top w:val="nil"/>
            </w:tcBorders>
            <w:vAlign w:val="center"/>
          </w:tcPr>
          <w:p w14:paraId="7B2206C3" w14:textId="77777777" w:rsidR="00916995" w:rsidRPr="00916995" w:rsidRDefault="00916995" w:rsidP="00786C75">
            <w:pPr>
              <w:jc w:val="center"/>
              <w:rPr>
                <w:sz w:val="18"/>
                <w:szCs w:val="18"/>
              </w:rPr>
            </w:pPr>
            <w:r w:rsidRPr="00916995">
              <w:rPr>
                <w:sz w:val="18"/>
                <w:szCs w:val="18"/>
              </w:rPr>
              <w:t>Very high</w:t>
            </w:r>
          </w:p>
        </w:tc>
      </w:tr>
    </w:tbl>
    <w:p w14:paraId="059250A4" w14:textId="5C3464B8" w:rsidR="00916995" w:rsidRPr="00BB491C" w:rsidRDefault="00916995" w:rsidP="00916995">
      <w:pPr>
        <w:pStyle w:val="NoSpacing"/>
        <w:jc w:val="center"/>
        <w:rPr>
          <w:rFonts w:ascii="Times" w:hAnsi="Times"/>
          <w:i/>
          <w:iCs/>
          <w:sz w:val="18"/>
          <w:szCs w:val="18"/>
        </w:rPr>
      </w:pPr>
      <w:r w:rsidRPr="00BB491C">
        <w:rPr>
          <w:rFonts w:ascii="Times" w:hAnsi="Times"/>
          <w:i/>
          <w:iCs/>
          <w:sz w:val="18"/>
          <w:szCs w:val="18"/>
        </w:rPr>
        <w:t xml:space="preserve">Source: </w:t>
      </w:r>
      <w:r w:rsidRPr="00BB491C">
        <w:rPr>
          <w:rFonts w:ascii="Times" w:hAnsi="Times"/>
          <w:sz w:val="18"/>
          <w:szCs w:val="18"/>
        </w:rPr>
        <w:fldChar w:fldCharType="begin"/>
      </w:r>
      <w:r w:rsidRPr="00BB491C">
        <w:rPr>
          <w:rFonts w:ascii="Times" w:hAnsi="Times"/>
          <w:sz w:val="18"/>
          <w:szCs w:val="18"/>
        </w:rPr>
        <w:instrText>ADDIN CSL_CITATION {"citationItems":[{"id":"ITEM-1","itemData":{"ISBN":"978-0-89863-304-7","author":[{"dropping-particle":"","family":"Fathani","given":"Teuku Faisal","non-dropping-particle":"","parse-names":false,"suffix":""},{"dropping-particle":"","family":"Adi","given":"Agus Darmawan","non-dropping-particle":"","parse-names":false,"suffix":""},{"dropping-particle":"","family":"Pramumijoyo","given":"Subagyo","non-dropping-particle":"","parse-names":false,"suffix":""},{"dropping-particle":"","family":"Karnawati","given":"Dwikorita","non-dropping-particle":"","parse-names":false,"suffix":""}],"container-title":"The Yogyakarta Earthquake of May 27, 2006","id":"ITEM-1","issued":{"date-parts":[["2008"]]},"page":"1-15","title":"The Determination of Peak Ground Acceleration at Bantul Regency , Yogyakarta Province , Indonesia","type":"article-journal"},"uris":["http://www.mendeley.com/documents/?uuid=bbfc7989-2277-4bd2-adbe-cbab99d22bf5"]}],"mendeley":{"formattedCitation":"(Fathani, Adi, Pramumijoyo, &amp; Karnawati, 2008)","manualFormatting":"Fathani, dkk., 2008)","plainTextFormattedCitation":"(Fathani, Adi, Pramumijoyo, &amp; Karnawati, 2008)","previouslyFormattedCitation":"(Fathani, Adi, Pramumijoyo, &amp; Karnawati, 2008)"},"properties":{"noteIndex":0},"schema":"https://github.com/citation-style-language/schema/raw/master/csl-citation.json"}</w:instrText>
      </w:r>
      <w:r w:rsidRPr="00BB491C">
        <w:rPr>
          <w:rFonts w:ascii="Times" w:hAnsi="Times"/>
          <w:sz w:val="18"/>
          <w:szCs w:val="18"/>
        </w:rPr>
        <w:fldChar w:fldCharType="separate"/>
      </w:r>
      <w:r w:rsidRPr="00BB491C">
        <w:rPr>
          <w:rFonts w:ascii="Times" w:hAnsi="Times"/>
          <w:sz w:val="18"/>
          <w:szCs w:val="18"/>
        </w:rPr>
        <w:t>Fathani et al. (2008)</w:t>
      </w:r>
      <w:r w:rsidRPr="00BB491C">
        <w:rPr>
          <w:rFonts w:ascii="Times" w:hAnsi="Times"/>
          <w:sz w:val="18"/>
          <w:szCs w:val="18"/>
        </w:rPr>
        <w:fldChar w:fldCharType="end"/>
      </w:r>
    </w:p>
    <w:p w14:paraId="592C5C13" w14:textId="77777777" w:rsidR="00916995" w:rsidRPr="00D81278" w:rsidRDefault="00916995" w:rsidP="00916995">
      <w:pPr>
        <w:pStyle w:val="NoSpacing"/>
        <w:jc w:val="both"/>
        <w:rPr>
          <w:rFonts w:ascii="Times" w:hAnsi="Times"/>
          <w:i/>
          <w:iCs/>
          <w:sz w:val="20"/>
          <w:szCs w:val="20"/>
        </w:rPr>
      </w:pPr>
    </w:p>
    <w:p w14:paraId="71DC36E9" w14:textId="08402B99" w:rsidR="00916995" w:rsidRDefault="00916995" w:rsidP="00916995">
      <w:pPr>
        <w:pStyle w:val="Paragraph"/>
        <w:rPr>
          <w:rFonts w:ascii="Times" w:hAnsi="Times"/>
        </w:rPr>
      </w:pPr>
      <w:r w:rsidRPr="00D81278">
        <w:rPr>
          <w:rFonts w:ascii="Times" w:hAnsi="Times"/>
        </w:rPr>
        <w:t xml:space="preserve">The peak ground surface acceleration value of the bedrock needs to be corrected. This is because the lower the strength of the soil, the higher the acceleration of the peak of the soil at the base of the building. Furthermore, the determination of the </w:t>
      </w:r>
      <w:r w:rsidRPr="00D81278">
        <w:rPr>
          <w:rFonts w:ascii="Times" w:hAnsi="Times"/>
          <w:i/>
          <w:iCs/>
        </w:rPr>
        <w:t>a</w:t>
      </w:r>
      <w:r w:rsidRPr="00D81278">
        <w:rPr>
          <w:rFonts w:ascii="Times" w:hAnsi="Times"/>
          <w:i/>
          <w:iCs/>
          <w:vertAlign w:val="subscript"/>
        </w:rPr>
        <w:t>max</w:t>
      </w:r>
      <w:r w:rsidRPr="00D81278">
        <w:rPr>
          <w:rFonts w:ascii="Times" w:hAnsi="Times"/>
        </w:rPr>
        <w:t xml:space="preserve"> peak ground surface acceleration is formulated in Equation (1).</w:t>
      </w:r>
    </w:p>
    <w:tbl>
      <w:tblPr>
        <w:tblStyle w:val="TableGrid"/>
        <w:tblW w:w="51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190"/>
      </w:tblGrid>
      <w:tr w:rsidR="00916995" w:rsidRPr="00BB491C" w14:paraId="3630552B" w14:textId="77777777" w:rsidTr="00786C75">
        <w:trPr>
          <w:trHeight w:val="397"/>
        </w:trPr>
        <w:tc>
          <w:tcPr>
            <w:tcW w:w="4384" w:type="pct"/>
            <w:vAlign w:val="center"/>
          </w:tcPr>
          <w:p w14:paraId="32C1D1B2" w14:textId="77777777" w:rsidR="00916995" w:rsidRPr="00BB491C" w:rsidRDefault="00916995" w:rsidP="00786C75">
            <w:pPr>
              <w:pStyle w:val="NoSpacing"/>
              <w:ind w:left="-109"/>
              <w:jc w:val="center"/>
              <w:rPr>
                <w:rFonts w:ascii="Times" w:hAnsi="Times"/>
                <w:sz w:val="20"/>
                <w:szCs w:val="20"/>
              </w:rPr>
            </w:pPr>
            <w:r w:rsidRPr="00BB491C">
              <w:rPr>
                <w:rFonts w:ascii="Times" w:hAnsi="Times" w:cs="Times New Roman"/>
                <w:i/>
                <w:iCs/>
                <w:sz w:val="20"/>
                <w:szCs w:val="20"/>
              </w:rPr>
              <w:t>a</w:t>
            </w:r>
            <w:r w:rsidRPr="00BB491C">
              <w:rPr>
                <w:rFonts w:ascii="Times" w:hAnsi="Times"/>
                <w:i/>
                <w:iCs/>
                <w:sz w:val="20"/>
                <w:szCs w:val="20"/>
                <w:vertAlign w:val="subscript"/>
              </w:rPr>
              <w:t>max</w:t>
            </w:r>
            <w:r w:rsidRPr="00BB491C">
              <w:rPr>
                <w:rFonts w:ascii="Times" w:hAnsi="Times"/>
                <w:i/>
                <w:sz w:val="20"/>
                <w:szCs w:val="20"/>
              </w:rPr>
              <w:t xml:space="preserve"> </w:t>
            </w:r>
            <w:r w:rsidRPr="00BB491C">
              <w:rPr>
                <w:rFonts w:ascii="Times" w:hAnsi="Times"/>
                <w:color w:val="000000"/>
                <w:sz w:val="20"/>
                <w:szCs w:val="20"/>
              </w:rPr>
              <w:t xml:space="preserve">= </w:t>
            </w:r>
            <w:proofErr w:type="gramStart"/>
            <w:r w:rsidRPr="00BB491C">
              <w:rPr>
                <w:rFonts w:ascii="Times" w:hAnsi="Times"/>
                <w:i/>
                <w:iCs/>
                <w:color w:val="000000"/>
                <w:sz w:val="20"/>
                <w:szCs w:val="20"/>
              </w:rPr>
              <w:t>PGA .</w:t>
            </w:r>
            <w:proofErr w:type="gramEnd"/>
            <w:r w:rsidRPr="00BB491C">
              <w:rPr>
                <w:rFonts w:ascii="Times" w:hAnsi="Times"/>
                <w:i/>
                <w:iCs/>
                <w:color w:val="000000"/>
                <w:sz w:val="20"/>
                <w:szCs w:val="20"/>
              </w:rPr>
              <w:t xml:space="preserve"> F</w:t>
            </w:r>
            <w:r w:rsidRPr="00BB491C">
              <w:rPr>
                <w:rFonts w:ascii="Times" w:hAnsi="Times"/>
                <w:i/>
                <w:iCs/>
                <w:color w:val="000000"/>
                <w:sz w:val="20"/>
                <w:szCs w:val="20"/>
                <w:vertAlign w:val="subscript"/>
              </w:rPr>
              <w:t>PGA</w:t>
            </w:r>
          </w:p>
        </w:tc>
        <w:tc>
          <w:tcPr>
            <w:tcW w:w="616" w:type="pct"/>
            <w:vAlign w:val="center"/>
          </w:tcPr>
          <w:p w14:paraId="50966F15" w14:textId="77777777" w:rsidR="00916995" w:rsidRPr="00BB491C" w:rsidRDefault="00916995" w:rsidP="00786C75">
            <w:pPr>
              <w:pStyle w:val="Caption"/>
              <w:rPr>
                <w:sz w:val="20"/>
                <w:szCs w:val="20"/>
                <w:lang w:val="en-US"/>
              </w:rPr>
            </w:pPr>
            <w:r w:rsidRPr="00BB491C">
              <w:rPr>
                <w:sz w:val="20"/>
                <w:szCs w:val="20"/>
                <w:lang w:val="en-US"/>
              </w:rPr>
              <w:t>(1)</w:t>
            </w:r>
          </w:p>
        </w:tc>
      </w:tr>
    </w:tbl>
    <w:p w14:paraId="469F0238" w14:textId="77777777" w:rsidR="00013880" w:rsidRDefault="00013880" w:rsidP="00BB491C">
      <w:pPr>
        <w:pStyle w:val="NoSpacing"/>
        <w:tabs>
          <w:tab w:val="left" w:pos="1134"/>
          <w:tab w:val="left" w:pos="1843"/>
        </w:tabs>
        <w:spacing w:before="120"/>
        <w:rPr>
          <w:rFonts w:ascii="Times" w:hAnsi="Times"/>
          <w:sz w:val="20"/>
          <w:szCs w:val="20"/>
        </w:rPr>
      </w:pPr>
    </w:p>
    <w:p w14:paraId="5402508B" w14:textId="787BF626" w:rsidR="00BB491C" w:rsidRPr="00D81278" w:rsidRDefault="00BB491C" w:rsidP="00BB491C">
      <w:pPr>
        <w:pStyle w:val="NoSpacing"/>
        <w:tabs>
          <w:tab w:val="left" w:pos="1134"/>
          <w:tab w:val="left" w:pos="1843"/>
        </w:tabs>
        <w:spacing w:before="120"/>
        <w:rPr>
          <w:rFonts w:ascii="Times" w:hAnsi="Times"/>
          <w:sz w:val="20"/>
          <w:szCs w:val="20"/>
        </w:rPr>
      </w:pPr>
      <w:proofErr w:type="gramStart"/>
      <w:r w:rsidRPr="00D81278">
        <w:rPr>
          <w:rFonts w:ascii="Times" w:hAnsi="Times"/>
          <w:sz w:val="20"/>
          <w:szCs w:val="20"/>
        </w:rPr>
        <w:lastRenderedPageBreak/>
        <w:t>where</w:t>
      </w:r>
      <w:proofErr w:type="gramEnd"/>
      <w:r w:rsidRPr="00D81278">
        <w:rPr>
          <w:rFonts w:ascii="Times" w:hAnsi="Times"/>
          <w:sz w:val="20"/>
          <w:szCs w:val="20"/>
        </w:rPr>
        <w:t>,</w:t>
      </w:r>
    </w:p>
    <w:p w14:paraId="77D8CBAB" w14:textId="77777777" w:rsidR="00BB491C" w:rsidRPr="00D81278" w:rsidRDefault="00BB491C" w:rsidP="00BB491C">
      <w:pPr>
        <w:pStyle w:val="NoSpacing"/>
        <w:tabs>
          <w:tab w:val="left" w:pos="426"/>
          <w:tab w:val="left" w:pos="1843"/>
        </w:tabs>
        <w:rPr>
          <w:rFonts w:ascii="Times" w:hAnsi="Times"/>
          <w:sz w:val="20"/>
          <w:szCs w:val="20"/>
        </w:rPr>
      </w:pPr>
      <w:r w:rsidRPr="00D81278">
        <w:rPr>
          <w:rFonts w:ascii="Times" w:hAnsi="Times" w:cs="Times New Roman"/>
          <w:i/>
          <w:iCs/>
          <w:sz w:val="20"/>
          <w:szCs w:val="20"/>
        </w:rPr>
        <w:t>a</w:t>
      </w:r>
      <w:r w:rsidRPr="00D81278">
        <w:rPr>
          <w:rFonts w:ascii="Times" w:hAnsi="Times"/>
          <w:i/>
          <w:iCs/>
          <w:sz w:val="20"/>
          <w:szCs w:val="20"/>
          <w:vertAlign w:val="subscript"/>
        </w:rPr>
        <w:t>max</w:t>
      </w:r>
      <w:r w:rsidRPr="00D81278">
        <w:rPr>
          <w:rFonts w:ascii="Times" w:hAnsi="Times"/>
          <w:sz w:val="20"/>
          <w:szCs w:val="20"/>
        </w:rPr>
        <w:tab/>
        <w:t>= Peak ground acceleration at the surface (g)</w:t>
      </w:r>
    </w:p>
    <w:p w14:paraId="530A63E5" w14:textId="77777777" w:rsidR="00BB491C" w:rsidRPr="00D81278" w:rsidRDefault="00BB491C" w:rsidP="00BB491C">
      <w:pPr>
        <w:pStyle w:val="NoSpacing"/>
        <w:tabs>
          <w:tab w:val="left" w:pos="426"/>
          <w:tab w:val="left" w:pos="1843"/>
        </w:tabs>
        <w:rPr>
          <w:rFonts w:ascii="Times" w:hAnsi="Times"/>
          <w:sz w:val="20"/>
          <w:szCs w:val="20"/>
        </w:rPr>
      </w:pPr>
      <w:r w:rsidRPr="00D81278">
        <w:rPr>
          <w:rFonts w:ascii="Times" w:hAnsi="Times"/>
          <w:i/>
          <w:sz w:val="20"/>
          <w:szCs w:val="20"/>
        </w:rPr>
        <w:t>PGA</w:t>
      </w:r>
      <w:r w:rsidRPr="00D81278">
        <w:rPr>
          <w:rFonts w:ascii="Times" w:hAnsi="Times"/>
          <w:sz w:val="20"/>
          <w:szCs w:val="20"/>
        </w:rPr>
        <w:tab/>
      </w:r>
      <w:proofErr w:type="gramStart"/>
      <w:r w:rsidRPr="00D81278">
        <w:rPr>
          <w:rFonts w:ascii="Times" w:hAnsi="Times"/>
          <w:sz w:val="20"/>
          <w:szCs w:val="20"/>
        </w:rPr>
        <w:t>=  Peak</w:t>
      </w:r>
      <w:proofErr w:type="gramEnd"/>
      <w:r w:rsidRPr="00D81278">
        <w:rPr>
          <w:rFonts w:ascii="Times" w:hAnsi="Times"/>
          <w:sz w:val="20"/>
          <w:szCs w:val="20"/>
        </w:rPr>
        <w:t xml:space="preserve"> ground acceleration (g)</w:t>
      </w:r>
    </w:p>
    <w:p w14:paraId="50A71CEF" w14:textId="1BA33ADB" w:rsidR="00BB491C" w:rsidRPr="00D81278" w:rsidRDefault="00BB491C" w:rsidP="00BB491C">
      <w:pPr>
        <w:pStyle w:val="NoSpacing"/>
        <w:tabs>
          <w:tab w:val="left" w:pos="426"/>
          <w:tab w:val="left" w:pos="1843"/>
        </w:tabs>
        <w:rPr>
          <w:rFonts w:ascii="Times" w:hAnsi="Times"/>
          <w:sz w:val="20"/>
          <w:szCs w:val="20"/>
        </w:rPr>
      </w:pPr>
      <w:r w:rsidRPr="00D81278">
        <w:rPr>
          <w:rFonts w:ascii="Times" w:hAnsi="Times"/>
          <w:i/>
          <w:sz w:val="20"/>
          <w:szCs w:val="20"/>
        </w:rPr>
        <w:t>F</w:t>
      </w:r>
      <w:r w:rsidRPr="00D81278">
        <w:rPr>
          <w:rFonts w:ascii="Times" w:hAnsi="Times"/>
          <w:i/>
          <w:sz w:val="20"/>
          <w:szCs w:val="20"/>
          <w:vertAlign w:val="subscript"/>
        </w:rPr>
        <w:t>PGA</w:t>
      </w:r>
      <w:r w:rsidRPr="00D81278">
        <w:rPr>
          <w:rFonts w:ascii="Times" w:hAnsi="Times"/>
          <w:sz w:val="20"/>
          <w:szCs w:val="20"/>
        </w:rPr>
        <w:tab/>
        <w:t xml:space="preserve">= The coefficients determined by Table </w:t>
      </w:r>
      <w:r>
        <w:rPr>
          <w:rFonts w:ascii="Times" w:hAnsi="Times"/>
          <w:sz w:val="20"/>
          <w:szCs w:val="20"/>
        </w:rPr>
        <w:t>3</w:t>
      </w:r>
    </w:p>
    <w:p w14:paraId="360DE760" w14:textId="38D6F45B" w:rsidR="00BB491C" w:rsidRPr="00D81278" w:rsidRDefault="00BB491C" w:rsidP="00BB491C">
      <w:pPr>
        <w:pStyle w:val="TableCaption"/>
        <w:rPr>
          <w:i/>
          <w:vertAlign w:val="subscript"/>
        </w:rPr>
      </w:pPr>
      <w:bookmarkStart w:id="2" w:name="_Toc74466592"/>
      <w:r w:rsidRPr="00D81278">
        <w:rPr>
          <w:b/>
          <w:bCs/>
        </w:rPr>
        <w:t xml:space="preserve">Table </w:t>
      </w:r>
      <w:r>
        <w:rPr>
          <w:b/>
          <w:bCs/>
        </w:rPr>
        <w:t>3</w:t>
      </w:r>
      <w:r w:rsidRPr="00D81278">
        <w:t xml:space="preserve">. Coefficient of </w:t>
      </w:r>
      <w:r w:rsidRPr="00D81278">
        <w:rPr>
          <w:i/>
        </w:rPr>
        <w:t>F</w:t>
      </w:r>
      <w:r w:rsidRPr="00D81278">
        <w:rPr>
          <w:i/>
          <w:vertAlign w:val="subscript"/>
        </w:rPr>
        <w:t>PGA</w:t>
      </w:r>
      <w:bookmarkEnd w:id="2"/>
    </w:p>
    <w:tbl>
      <w:tblPr>
        <w:tblW w:w="3181" w:type="pct"/>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994"/>
        <w:gridCol w:w="996"/>
        <w:gridCol w:w="706"/>
        <w:gridCol w:w="850"/>
        <w:gridCol w:w="709"/>
        <w:gridCol w:w="848"/>
        <w:gridCol w:w="852"/>
      </w:tblGrid>
      <w:tr w:rsidR="00BB491C" w:rsidRPr="00BB491C" w14:paraId="79BF1A22" w14:textId="77777777" w:rsidTr="00BB491C">
        <w:trPr>
          <w:trHeight w:val="283"/>
          <w:jc w:val="center"/>
        </w:trPr>
        <w:tc>
          <w:tcPr>
            <w:tcW w:w="835" w:type="pct"/>
            <w:vMerge w:val="restart"/>
            <w:tcBorders>
              <w:top w:val="single" w:sz="4" w:space="0" w:color="000000"/>
              <w:bottom w:val="single" w:sz="4" w:space="0" w:color="000000"/>
            </w:tcBorders>
            <w:vAlign w:val="center"/>
          </w:tcPr>
          <w:p w14:paraId="4E720C97"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Site Class</w:t>
            </w:r>
          </w:p>
        </w:tc>
        <w:tc>
          <w:tcPr>
            <w:tcW w:w="4165" w:type="pct"/>
            <w:gridSpan w:val="6"/>
            <w:tcBorders>
              <w:top w:val="single" w:sz="4" w:space="0" w:color="000000"/>
              <w:bottom w:val="single" w:sz="4" w:space="0" w:color="000000"/>
            </w:tcBorders>
            <w:vAlign w:val="center"/>
          </w:tcPr>
          <w:p w14:paraId="0859D7F9" w14:textId="77777777" w:rsidR="00BB491C" w:rsidRPr="00BB491C" w:rsidRDefault="00BB491C" w:rsidP="00786C75">
            <w:pPr>
              <w:pStyle w:val="NoSpacing"/>
              <w:jc w:val="center"/>
              <w:rPr>
                <w:rFonts w:ascii="Times" w:hAnsi="Times"/>
                <w:b/>
                <w:bCs/>
                <w:i/>
                <w:iCs/>
                <w:sz w:val="18"/>
                <w:szCs w:val="18"/>
              </w:rPr>
            </w:pPr>
            <w:r w:rsidRPr="00BB491C">
              <w:rPr>
                <w:rFonts w:ascii="Times" w:hAnsi="Times"/>
                <w:b/>
                <w:bCs/>
                <w:i/>
                <w:iCs/>
                <w:sz w:val="18"/>
                <w:szCs w:val="18"/>
              </w:rPr>
              <w:t>PGA</w:t>
            </w:r>
          </w:p>
        </w:tc>
      </w:tr>
      <w:tr w:rsidR="00BB491C" w:rsidRPr="00BB491C" w14:paraId="525DEDFB" w14:textId="77777777" w:rsidTr="00BB491C">
        <w:trPr>
          <w:trHeight w:val="283"/>
          <w:jc w:val="center"/>
        </w:trPr>
        <w:tc>
          <w:tcPr>
            <w:tcW w:w="835" w:type="pct"/>
            <w:vMerge/>
            <w:tcBorders>
              <w:top w:val="single" w:sz="4" w:space="0" w:color="000000"/>
              <w:bottom w:val="single" w:sz="4" w:space="0" w:color="000000"/>
            </w:tcBorders>
            <w:vAlign w:val="center"/>
          </w:tcPr>
          <w:p w14:paraId="335A90C6" w14:textId="77777777" w:rsidR="00BB491C" w:rsidRPr="00BB491C" w:rsidRDefault="00BB491C" w:rsidP="00786C75">
            <w:pPr>
              <w:pStyle w:val="NoSpacing"/>
              <w:jc w:val="center"/>
              <w:rPr>
                <w:rFonts w:ascii="Times" w:hAnsi="Times"/>
                <w:b/>
                <w:bCs/>
                <w:sz w:val="18"/>
                <w:szCs w:val="18"/>
              </w:rPr>
            </w:pPr>
          </w:p>
        </w:tc>
        <w:tc>
          <w:tcPr>
            <w:tcW w:w="836" w:type="pct"/>
            <w:tcBorders>
              <w:top w:val="single" w:sz="4" w:space="0" w:color="000000"/>
              <w:bottom w:val="single" w:sz="4" w:space="0" w:color="000000"/>
            </w:tcBorders>
            <w:vAlign w:val="center"/>
          </w:tcPr>
          <w:p w14:paraId="3470D0AD"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0.1</w:t>
            </w:r>
          </w:p>
        </w:tc>
        <w:tc>
          <w:tcPr>
            <w:tcW w:w="593" w:type="pct"/>
            <w:tcBorders>
              <w:top w:val="single" w:sz="4" w:space="0" w:color="000000"/>
              <w:bottom w:val="single" w:sz="4" w:space="0" w:color="000000"/>
            </w:tcBorders>
            <w:vAlign w:val="center"/>
          </w:tcPr>
          <w:p w14:paraId="67024108" w14:textId="77777777" w:rsidR="00BB491C" w:rsidRPr="00BB491C" w:rsidRDefault="00BB491C" w:rsidP="00BB491C">
            <w:pPr>
              <w:pStyle w:val="NoSpacing"/>
              <w:ind w:firstLine="50"/>
              <w:jc w:val="center"/>
              <w:rPr>
                <w:rFonts w:ascii="Times" w:hAnsi="Times"/>
                <w:b/>
                <w:bCs/>
                <w:sz w:val="18"/>
                <w:szCs w:val="18"/>
              </w:rPr>
            </w:pPr>
            <w:r w:rsidRPr="00BB491C">
              <w:rPr>
                <w:rFonts w:ascii="Times" w:hAnsi="Times"/>
                <w:b/>
                <w:bCs/>
                <w:sz w:val="18"/>
                <w:szCs w:val="18"/>
              </w:rPr>
              <w:t>0.2</w:t>
            </w:r>
          </w:p>
        </w:tc>
        <w:tc>
          <w:tcPr>
            <w:tcW w:w="714" w:type="pct"/>
            <w:tcBorders>
              <w:top w:val="single" w:sz="4" w:space="0" w:color="000000"/>
              <w:bottom w:val="single" w:sz="4" w:space="0" w:color="000000"/>
            </w:tcBorders>
            <w:vAlign w:val="center"/>
          </w:tcPr>
          <w:p w14:paraId="5C85B4FC"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0.3</w:t>
            </w:r>
          </w:p>
        </w:tc>
        <w:tc>
          <w:tcPr>
            <w:tcW w:w="595" w:type="pct"/>
            <w:tcBorders>
              <w:top w:val="single" w:sz="4" w:space="0" w:color="000000"/>
              <w:bottom w:val="single" w:sz="4" w:space="0" w:color="000000"/>
            </w:tcBorders>
            <w:vAlign w:val="center"/>
          </w:tcPr>
          <w:p w14:paraId="107D02AA"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0.4</w:t>
            </w:r>
          </w:p>
        </w:tc>
        <w:tc>
          <w:tcPr>
            <w:tcW w:w="712" w:type="pct"/>
            <w:tcBorders>
              <w:top w:val="single" w:sz="4" w:space="0" w:color="000000"/>
              <w:bottom w:val="single" w:sz="4" w:space="0" w:color="000000"/>
            </w:tcBorders>
            <w:vAlign w:val="center"/>
          </w:tcPr>
          <w:p w14:paraId="26DBE271"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0.5</w:t>
            </w:r>
          </w:p>
        </w:tc>
        <w:tc>
          <w:tcPr>
            <w:tcW w:w="715" w:type="pct"/>
            <w:tcBorders>
              <w:top w:val="single" w:sz="4" w:space="0" w:color="000000"/>
              <w:bottom w:val="single" w:sz="4" w:space="0" w:color="000000"/>
            </w:tcBorders>
            <w:vAlign w:val="center"/>
          </w:tcPr>
          <w:p w14:paraId="5C8AC2BF" w14:textId="337B115D" w:rsidR="00BB491C" w:rsidRPr="00BB491C" w:rsidRDefault="00BB491C" w:rsidP="00BB491C">
            <w:pPr>
              <w:jc w:val="center"/>
              <w:rPr>
                <w:rFonts w:ascii="Times" w:hAnsi="Times"/>
                <w:sz w:val="18"/>
                <w:szCs w:val="18"/>
              </w:rPr>
            </w:pPr>
            <w:r w:rsidRPr="00BB491C">
              <w:rPr>
                <w:rFonts w:ascii="Times" w:hAnsi="Times"/>
                <w:b/>
                <w:bCs/>
                <w:i/>
                <w:iCs/>
                <w:sz w:val="18"/>
                <w:szCs w:val="18"/>
                <w:u w:val="single"/>
              </w:rPr>
              <w:t>&gt;</w:t>
            </w:r>
            <w:r w:rsidRPr="00BB491C">
              <w:rPr>
                <w:rFonts w:ascii="Times" w:hAnsi="Times"/>
                <w:b/>
                <w:bCs/>
                <w:sz w:val="18"/>
                <w:szCs w:val="18"/>
              </w:rPr>
              <w:t xml:space="preserve"> 0.6</w:t>
            </w:r>
          </w:p>
        </w:tc>
      </w:tr>
      <w:tr w:rsidR="00BB491C" w:rsidRPr="00BB491C" w14:paraId="34831909" w14:textId="77777777" w:rsidTr="00BB491C">
        <w:trPr>
          <w:trHeight w:val="283"/>
          <w:jc w:val="center"/>
        </w:trPr>
        <w:tc>
          <w:tcPr>
            <w:tcW w:w="835" w:type="pct"/>
            <w:tcBorders>
              <w:top w:val="single" w:sz="4" w:space="0" w:color="000000"/>
            </w:tcBorders>
            <w:vAlign w:val="center"/>
          </w:tcPr>
          <w:p w14:paraId="787F92CB"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SA</w:t>
            </w:r>
          </w:p>
        </w:tc>
        <w:tc>
          <w:tcPr>
            <w:tcW w:w="836" w:type="pct"/>
            <w:tcBorders>
              <w:top w:val="single" w:sz="4" w:space="0" w:color="000000"/>
            </w:tcBorders>
            <w:vAlign w:val="center"/>
          </w:tcPr>
          <w:p w14:paraId="512F631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593" w:type="pct"/>
            <w:tcBorders>
              <w:top w:val="single" w:sz="4" w:space="0" w:color="000000"/>
            </w:tcBorders>
            <w:vAlign w:val="center"/>
          </w:tcPr>
          <w:p w14:paraId="21F85D9E"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714" w:type="pct"/>
            <w:tcBorders>
              <w:top w:val="single" w:sz="4" w:space="0" w:color="000000"/>
            </w:tcBorders>
            <w:vAlign w:val="center"/>
          </w:tcPr>
          <w:p w14:paraId="502C3317"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595" w:type="pct"/>
            <w:tcBorders>
              <w:top w:val="single" w:sz="4" w:space="0" w:color="000000"/>
            </w:tcBorders>
            <w:vAlign w:val="center"/>
          </w:tcPr>
          <w:p w14:paraId="4AB0D824"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712" w:type="pct"/>
            <w:tcBorders>
              <w:top w:val="single" w:sz="4" w:space="0" w:color="000000"/>
            </w:tcBorders>
            <w:vAlign w:val="center"/>
          </w:tcPr>
          <w:p w14:paraId="7D60AE4C"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715" w:type="pct"/>
            <w:tcBorders>
              <w:top w:val="single" w:sz="4" w:space="0" w:color="000000"/>
            </w:tcBorders>
            <w:vAlign w:val="center"/>
          </w:tcPr>
          <w:p w14:paraId="010B95EB" w14:textId="77777777" w:rsidR="00BB491C" w:rsidRPr="00BB491C" w:rsidRDefault="00BB491C" w:rsidP="00786C75">
            <w:pPr>
              <w:jc w:val="center"/>
              <w:rPr>
                <w:rFonts w:ascii="Times" w:hAnsi="Times"/>
                <w:sz w:val="18"/>
                <w:szCs w:val="18"/>
              </w:rPr>
            </w:pPr>
            <w:r w:rsidRPr="00BB491C">
              <w:rPr>
                <w:rFonts w:ascii="Times" w:hAnsi="Times"/>
                <w:sz w:val="18"/>
                <w:szCs w:val="18"/>
              </w:rPr>
              <w:t>0.8</w:t>
            </w:r>
          </w:p>
        </w:tc>
      </w:tr>
      <w:tr w:rsidR="00BB491C" w:rsidRPr="00BB491C" w14:paraId="3DA6FC67" w14:textId="77777777" w:rsidTr="00BB491C">
        <w:trPr>
          <w:trHeight w:val="283"/>
          <w:jc w:val="center"/>
        </w:trPr>
        <w:tc>
          <w:tcPr>
            <w:tcW w:w="835" w:type="pct"/>
            <w:vAlign w:val="center"/>
          </w:tcPr>
          <w:p w14:paraId="24643EBF"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SB</w:t>
            </w:r>
          </w:p>
        </w:tc>
        <w:tc>
          <w:tcPr>
            <w:tcW w:w="836" w:type="pct"/>
            <w:vAlign w:val="center"/>
          </w:tcPr>
          <w:p w14:paraId="34C7E783"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593" w:type="pct"/>
            <w:vAlign w:val="center"/>
          </w:tcPr>
          <w:p w14:paraId="74095EAC"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714" w:type="pct"/>
            <w:vAlign w:val="center"/>
          </w:tcPr>
          <w:p w14:paraId="2681D90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595" w:type="pct"/>
            <w:vAlign w:val="center"/>
          </w:tcPr>
          <w:p w14:paraId="5E6F5FAB"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712" w:type="pct"/>
            <w:vAlign w:val="center"/>
          </w:tcPr>
          <w:p w14:paraId="71B60E9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715" w:type="pct"/>
            <w:vAlign w:val="center"/>
          </w:tcPr>
          <w:p w14:paraId="7059BCA5" w14:textId="77777777" w:rsidR="00BB491C" w:rsidRPr="00BB491C" w:rsidRDefault="00BB491C" w:rsidP="00786C75">
            <w:pPr>
              <w:jc w:val="center"/>
              <w:rPr>
                <w:rFonts w:ascii="Times" w:hAnsi="Times"/>
                <w:sz w:val="18"/>
                <w:szCs w:val="18"/>
              </w:rPr>
            </w:pPr>
            <w:r w:rsidRPr="00BB491C">
              <w:rPr>
                <w:rFonts w:ascii="Times" w:hAnsi="Times"/>
                <w:sz w:val="18"/>
                <w:szCs w:val="18"/>
              </w:rPr>
              <w:t>0.9</w:t>
            </w:r>
          </w:p>
        </w:tc>
      </w:tr>
      <w:tr w:rsidR="00BB491C" w:rsidRPr="00BB491C" w14:paraId="2B04D4E7" w14:textId="77777777" w:rsidTr="00BB491C">
        <w:trPr>
          <w:trHeight w:val="283"/>
          <w:jc w:val="center"/>
        </w:trPr>
        <w:tc>
          <w:tcPr>
            <w:tcW w:w="835" w:type="pct"/>
            <w:vAlign w:val="center"/>
          </w:tcPr>
          <w:p w14:paraId="4A2DDC00"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SC</w:t>
            </w:r>
          </w:p>
        </w:tc>
        <w:tc>
          <w:tcPr>
            <w:tcW w:w="836" w:type="pct"/>
            <w:vAlign w:val="center"/>
          </w:tcPr>
          <w:p w14:paraId="5C5DCB02"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1.3</w:t>
            </w:r>
          </w:p>
        </w:tc>
        <w:tc>
          <w:tcPr>
            <w:tcW w:w="593" w:type="pct"/>
            <w:vAlign w:val="center"/>
          </w:tcPr>
          <w:p w14:paraId="1541F1DB"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4" w:type="pct"/>
            <w:vAlign w:val="center"/>
          </w:tcPr>
          <w:p w14:paraId="1DE82824"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595" w:type="pct"/>
            <w:vAlign w:val="center"/>
          </w:tcPr>
          <w:p w14:paraId="6E58AECA"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2" w:type="pct"/>
            <w:vAlign w:val="center"/>
          </w:tcPr>
          <w:p w14:paraId="5B3660AF"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5" w:type="pct"/>
            <w:vAlign w:val="center"/>
          </w:tcPr>
          <w:p w14:paraId="50280997" w14:textId="77777777" w:rsidR="00BB491C" w:rsidRPr="00BB491C" w:rsidRDefault="00BB491C" w:rsidP="00786C75">
            <w:pPr>
              <w:jc w:val="center"/>
              <w:rPr>
                <w:rFonts w:ascii="Times" w:hAnsi="Times"/>
                <w:sz w:val="18"/>
                <w:szCs w:val="18"/>
              </w:rPr>
            </w:pPr>
            <w:r w:rsidRPr="00BB491C">
              <w:rPr>
                <w:rFonts w:ascii="Times" w:hAnsi="Times"/>
                <w:sz w:val="18"/>
                <w:szCs w:val="18"/>
              </w:rPr>
              <w:t>1.2</w:t>
            </w:r>
          </w:p>
        </w:tc>
      </w:tr>
      <w:tr w:rsidR="00BB491C" w:rsidRPr="00BB491C" w14:paraId="0D9FF60D" w14:textId="77777777" w:rsidTr="00BB491C">
        <w:trPr>
          <w:trHeight w:val="283"/>
          <w:jc w:val="center"/>
        </w:trPr>
        <w:tc>
          <w:tcPr>
            <w:tcW w:w="835" w:type="pct"/>
            <w:vAlign w:val="center"/>
          </w:tcPr>
          <w:p w14:paraId="73685CBC"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SD</w:t>
            </w:r>
          </w:p>
        </w:tc>
        <w:tc>
          <w:tcPr>
            <w:tcW w:w="836" w:type="pct"/>
            <w:vAlign w:val="center"/>
          </w:tcPr>
          <w:p w14:paraId="05BA88B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1.6</w:t>
            </w:r>
          </w:p>
        </w:tc>
        <w:tc>
          <w:tcPr>
            <w:tcW w:w="593" w:type="pct"/>
            <w:vAlign w:val="center"/>
          </w:tcPr>
          <w:p w14:paraId="601AB37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1.4</w:t>
            </w:r>
          </w:p>
        </w:tc>
        <w:tc>
          <w:tcPr>
            <w:tcW w:w="714" w:type="pct"/>
            <w:vAlign w:val="center"/>
          </w:tcPr>
          <w:p w14:paraId="7B63827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1.3</w:t>
            </w:r>
          </w:p>
        </w:tc>
        <w:tc>
          <w:tcPr>
            <w:tcW w:w="595" w:type="pct"/>
            <w:vAlign w:val="center"/>
          </w:tcPr>
          <w:p w14:paraId="33901B5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2" w:type="pct"/>
            <w:vAlign w:val="center"/>
          </w:tcPr>
          <w:p w14:paraId="3A74CC6A"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1.1</w:t>
            </w:r>
          </w:p>
        </w:tc>
        <w:tc>
          <w:tcPr>
            <w:tcW w:w="715" w:type="pct"/>
            <w:vAlign w:val="center"/>
          </w:tcPr>
          <w:p w14:paraId="2DD2DE1E" w14:textId="77777777" w:rsidR="00BB491C" w:rsidRPr="00BB491C" w:rsidRDefault="00BB491C" w:rsidP="00786C75">
            <w:pPr>
              <w:jc w:val="center"/>
              <w:rPr>
                <w:rFonts w:ascii="Times" w:hAnsi="Times"/>
                <w:sz w:val="18"/>
                <w:szCs w:val="18"/>
              </w:rPr>
            </w:pPr>
            <w:r w:rsidRPr="00BB491C">
              <w:rPr>
                <w:rFonts w:ascii="Times" w:hAnsi="Times"/>
                <w:sz w:val="18"/>
                <w:szCs w:val="18"/>
              </w:rPr>
              <w:t>1.1</w:t>
            </w:r>
          </w:p>
        </w:tc>
      </w:tr>
      <w:tr w:rsidR="00BB491C" w:rsidRPr="00BB491C" w14:paraId="6A82A0F1" w14:textId="77777777" w:rsidTr="00BB491C">
        <w:trPr>
          <w:trHeight w:val="283"/>
          <w:jc w:val="center"/>
        </w:trPr>
        <w:tc>
          <w:tcPr>
            <w:tcW w:w="835" w:type="pct"/>
            <w:vAlign w:val="center"/>
          </w:tcPr>
          <w:p w14:paraId="4CAEF95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SE</w:t>
            </w:r>
          </w:p>
        </w:tc>
        <w:tc>
          <w:tcPr>
            <w:tcW w:w="836" w:type="pct"/>
            <w:vAlign w:val="center"/>
          </w:tcPr>
          <w:p w14:paraId="6FA01CF3"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2.4</w:t>
            </w:r>
          </w:p>
        </w:tc>
        <w:tc>
          <w:tcPr>
            <w:tcW w:w="593" w:type="pct"/>
            <w:vAlign w:val="center"/>
          </w:tcPr>
          <w:p w14:paraId="6C8385C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1.9</w:t>
            </w:r>
          </w:p>
        </w:tc>
        <w:tc>
          <w:tcPr>
            <w:tcW w:w="714" w:type="pct"/>
            <w:vAlign w:val="center"/>
          </w:tcPr>
          <w:p w14:paraId="0CAFBB33"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1.6</w:t>
            </w:r>
          </w:p>
        </w:tc>
        <w:tc>
          <w:tcPr>
            <w:tcW w:w="595" w:type="pct"/>
            <w:vAlign w:val="center"/>
          </w:tcPr>
          <w:p w14:paraId="4CAD44E8"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1.4</w:t>
            </w:r>
          </w:p>
        </w:tc>
        <w:tc>
          <w:tcPr>
            <w:tcW w:w="712" w:type="pct"/>
            <w:vAlign w:val="center"/>
          </w:tcPr>
          <w:p w14:paraId="2E3946A8"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5" w:type="pct"/>
            <w:vAlign w:val="center"/>
          </w:tcPr>
          <w:p w14:paraId="665874B8" w14:textId="77777777" w:rsidR="00BB491C" w:rsidRPr="00BB491C" w:rsidRDefault="00BB491C" w:rsidP="00786C75">
            <w:pPr>
              <w:jc w:val="center"/>
              <w:rPr>
                <w:rFonts w:ascii="Times" w:hAnsi="Times"/>
                <w:sz w:val="18"/>
                <w:szCs w:val="18"/>
              </w:rPr>
            </w:pPr>
            <w:r w:rsidRPr="00BB491C">
              <w:rPr>
                <w:rFonts w:ascii="Times" w:hAnsi="Times"/>
                <w:sz w:val="18"/>
                <w:szCs w:val="18"/>
              </w:rPr>
              <w:t>1.1</w:t>
            </w:r>
          </w:p>
        </w:tc>
      </w:tr>
      <w:tr w:rsidR="00BB491C" w:rsidRPr="00BB491C" w14:paraId="2BAFC305" w14:textId="77777777" w:rsidTr="00BB491C">
        <w:trPr>
          <w:trHeight w:val="283"/>
          <w:jc w:val="center"/>
        </w:trPr>
        <w:tc>
          <w:tcPr>
            <w:tcW w:w="835" w:type="pct"/>
            <w:vAlign w:val="center"/>
          </w:tcPr>
          <w:p w14:paraId="30651F2F"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SF</w:t>
            </w:r>
          </w:p>
        </w:tc>
        <w:tc>
          <w:tcPr>
            <w:tcW w:w="4165" w:type="pct"/>
            <w:gridSpan w:val="6"/>
            <w:vAlign w:val="center"/>
          </w:tcPr>
          <w:p w14:paraId="326A1B8D" w14:textId="77777777" w:rsidR="00BB491C" w:rsidRPr="00BB491C" w:rsidRDefault="00BB491C" w:rsidP="00786C75">
            <w:pPr>
              <w:jc w:val="center"/>
              <w:rPr>
                <w:rFonts w:ascii="Times" w:hAnsi="Times"/>
                <w:sz w:val="18"/>
                <w:szCs w:val="18"/>
              </w:rPr>
            </w:pPr>
            <w:r w:rsidRPr="00BB491C">
              <w:rPr>
                <w:rFonts w:ascii="Times" w:hAnsi="Times"/>
                <w:sz w:val="18"/>
                <w:szCs w:val="18"/>
              </w:rPr>
              <w:t>A special evaluation is required at each location</w:t>
            </w:r>
          </w:p>
        </w:tc>
      </w:tr>
    </w:tbl>
    <w:p w14:paraId="2C1CE8F1" w14:textId="10D965A5" w:rsidR="00000814" w:rsidRPr="00BB491C" w:rsidRDefault="00BB491C" w:rsidP="00BB491C">
      <w:pPr>
        <w:pStyle w:val="Paragraph"/>
        <w:jc w:val="center"/>
        <w:rPr>
          <w:sz w:val="18"/>
          <w:szCs w:val="18"/>
        </w:rPr>
      </w:pPr>
      <w:r w:rsidRPr="00BB491C">
        <w:rPr>
          <w:rFonts w:ascii="Times" w:hAnsi="Times"/>
          <w:i/>
          <w:iCs/>
          <w:sz w:val="18"/>
          <w:szCs w:val="18"/>
        </w:rPr>
        <w:t>Source</w:t>
      </w:r>
      <w:r w:rsidRPr="00BB491C">
        <w:rPr>
          <w:rFonts w:ascii="Times" w:hAnsi="Times"/>
          <w:sz w:val="18"/>
          <w:szCs w:val="18"/>
        </w:rPr>
        <w:t>:</w:t>
      </w:r>
      <w:r w:rsidRPr="00BB491C">
        <w:rPr>
          <w:rFonts w:ascii="Times" w:hAnsi="Times"/>
          <w:i/>
          <w:iCs/>
          <w:sz w:val="18"/>
          <w:szCs w:val="18"/>
        </w:rPr>
        <w:t xml:space="preserve"> </w:t>
      </w:r>
      <w:r w:rsidRPr="00BB491C">
        <w:rPr>
          <w:rFonts w:ascii="Times" w:hAnsi="Times"/>
          <w:sz w:val="18"/>
          <w:szCs w:val="18"/>
        </w:rPr>
        <w:t>(</w:t>
      </w:r>
      <w:r w:rsidRPr="00BB491C">
        <w:rPr>
          <w:rFonts w:ascii="Times" w:hAnsi="Times"/>
          <w:sz w:val="18"/>
          <w:szCs w:val="18"/>
        </w:rPr>
        <w:fldChar w:fldCharType="begin"/>
      </w:r>
      <w:r w:rsidRPr="00BB491C">
        <w:rPr>
          <w:rFonts w:ascii="Times" w:hAnsi="Times"/>
          <w:sz w:val="18"/>
          <w:szCs w:val="18"/>
        </w:rPr>
        <w:instrText>ADDIN CSL_CITATION {"citationItems":[{"id":"ITEM-1","itemData":{"author":[{"dropping-particle":"","family":"1726-2019","given":"SNI","non-dropping-particle":"","parse-names":false,"suffix":""}],"id":"ITEM-1","issued":{"date-parts":[["2019"]]},"title":"Tata cara perencanaan ketahanan gempa untuk struktur bangunan gedung dan non gedung","type":"article-journal"},"uris":["http://www.mendeley.com/documents/?uuid=95a350dd-2a2d-4a11-9927-75b9e2d42222"]}],"mendeley":{"formattedCitation":"(1726-2019, 2019)","manualFormatting":"SNI 1726-2019)","plainTextFormattedCitation":"(1726-2019, 2019)","previouslyFormattedCitation":"(1726-2019, 2019)"},"properties":{"noteIndex":0},"schema":"https://github.com/citation-style-language/schema/raw/master/csl-citation.json"}</w:instrText>
      </w:r>
      <w:r w:rsidRPr="00BB491C">
        <w:rPr>
          <w:rFonts w:ascii="Times" w:hAnsi="Times"/>
          <w:sz w:val="18"/>
          <w:szCs w:val="18"/>
        </w:rPr>
        <w:fldChar w:fldCharType="separate"/>
      </w:r>
      <w:r w:rsidRPr="00BB491C">
        <w:rPr>
          <w:rFonts w:ascii="Times" w:hAnsi="Times"/>
          <w:sz w:val="18"/>
          <w:szCs w:val="18"/>
        </w:rPr>
        <w:t>SNI 1726-2019)</w:t>
      </w:r>
      <w:r w:rsidRPr="00BB491C">
        <w:rPr>
          <w:rFonts w:ascii="Times" w:hAnsi="Times"/>
          <w:sz w:val="18"/>
          <w:szCs w:val="18"/>
        </w:rPr>
        <w:fldChar w:fldCharType="end"/>
      </w:r>
    </w:p>
    <w:p w14:paraId="41115441" w14:textId="4D53EF27" w:rsidR="00BF02A4" w:rsidRDefault="00BF02A4" w:rsidP="00BF02A4">
      <w:pPr>
        <w:pStyle w:val="Heading2"/>
      </w:pPr>
      <w:r>
        <w:t>Analysis of Liquefaction Potential Using Settle3 Software</w:t>
      </w:r>
    </w:p>
    <w:p w14:paraId="5A3B65EB" w14:textId="5304A00B" w:rsidR="00BB491C" w:rsidRDefault="00BB491C" w:rsidP="00BB491C">
      <w:pPr>
        <w:pStyle w:val="Paragraph"/>
      </w:pPr>
      <w:r w:rsidRPr="00BB491C">
        <w:t>The Settle3 software is a 3-dimensional program for the analysis of consolidation settlement under foundations, embankments, excavations on the surface. Furthermore, it also has an analysis program for liquefaction using several methods, which include Standard Penetration Test (SPT), Cone Penetration Test (CPT), and Shear Wave Velocity (VST) with analysis results related to safety factors with liquefaction resistance. The Settle3 analysis program is generally used to analyze soil consolidation and subsidence. However, in determining project settings, the liquefaction model can be activated with a choice of several methods implemented to determine the liquefaction potential.</w:t>
      </w:r>
    </w:p>
    <w:p w14:paraId="4FE86BE9" w14:textId="495FA5E8" w:rsidR="00BF02A4" w:rsidRDefault="00BF02A4" w:rsidP="00BF02A4">
      <w:pPr>
        <w:pStyle w:val="Heading2"/>
      </w:pPr>
      <w:r>
        <w:t>Software Settle3 Modelling</w:t>
      </w:r>
    </w:p>
    <w:p w14:paraId="6539080D" w14:textId="6B0AAEF8" w:rsidR="00BB491C" w:rsidRPr="00D81278" w:rsidRDefault="00BB491C" w:rsidP="00BB491C">
      <w:pPr>
        <w:pStyle w:val="Paragraph"/>
      </w:pPr>
      <w:r w:rsidRPr="00D81278">
        <w:t xml:space="preserve">Based </w:t>
      </w:r>
      <w:r w:rsidR="00CF6C90">
        <w:t xml:space="preserve">on the </w:t>
      </w:r>
      <w:r w:rsidR="00CF6C90" w:rsidRPr="00D81278">
        <w:t>SPT</w:t>
      </w:r>
      <w:r w:rsidRPr="00D81278">
        <w:t>, the Liquefaction analysis has several options in determin</w:t>
      </w:r>
      <w:r w:rsidR="00CF6C90">
        <w:t>ing</w:t>
      </w:r>
      <w:r w:rsidRPr="00D81278">
        <w:t xml:space="preserve"> soil parameters.</w:t>
      </w:r>
      <w:r w:rsidR="00CF6C90">
        <w:t xml:space="preserve"> T</w:t>
      </w:r>
      <w:r w:rsidRPr="00D81278">
        <w:t>he output can be selected automatically from the software or determined based on the desired method. Several factors were determined manually in the Settle3 liquefaction analysis as follows.</w:t>
      </w:r>
    </w:p>
    <w:p w14:paraId="57F6C977" w14:textId="34333B7A" w:rsidR="00BB491C" w:rsidRPr="00D81278" w:rsidRDefault="00BB491C" w:rsidP="00151388">
      <w:pPr>
        <w:pStyle w:val="Paragraph"/>
        <w:numPr>
          <w:ilvl w:val="0"/>
          <w:numId w:val="4"/>
        </w:numPr>
        <w:ind w:left="284" w:hanging="284"/>
      </w:pPr>
      <w:r w:rsidRPr="00D81278">
        <w:t>N-SPT Correction Factor</w:t>
      </w:r>
    </w:p>
    <w:p w14:paraId="319BC5E7" w14:textId="77777777" w:rsidR="00BB491C" w:rsidRPr="00D81278" w:rsidRDefault="00BB491C" w:rsidP="00BB491C">
      <w:pPr>
        <w:pStyle w:val="Paragraph"/>
      </w:pPr>
      <w:r w:rsidRPr="00D81278">
        <w:t xml:space="preserve">Before calculating the CRR, the N value from the field needs to be corrected based on the following factors. </w:t>
      </w:r>
    </w:p>
    <w:p w14:paraId="7FC550EB" w14:textId="14527DD1" w:rsidR="00BB491C" w:rsidRDefault="00BB491C" w:rsidP="00151388">
      <w:pPr>
        <w:pStyle w:val="Paragraph"/>
        <w:numPr>
          <w:ilvl w:val="0"/>
          <w:numId w:val="5"/>
        </w:numPr>
        <w:ind w:left="426" w:hanging="142"/>
      </w:pPr>
      <w:r w:rsidRPr="00D81278">
        <w:t>Overburden pressure (</w:t>
      </w:r>
      <w:r w:rsidRPr="00D81278">
        <w:rPr>
          <w:i/>
          <w:iCs/>
        </w:rPr>
        <w:t>C</w:t>
      </w:r>
      <w:r w:rsidRPr="00D81278">
        <w:rPr>
          <w:i/>
          <w:iCs/>
          <w:vertAlign w:val="subscript"/>
        </w:rPr>
        <w:t>N</w:t>
      </w:r>
      <w:r w:rsidRPr="00D81278">
        <w:t xml:space="preserve">) correction factor </w:t>
      </w:r>
      <w:r w:rsidR="00CF6C90">
        <w:t xml:space="preserve">is </w:t>
      </w:r>
      <w:r w:rsidRPr="00D81278">
        <w:t>based on the</w:t>
      </w:r>
      <w:r>
        <w:t xml:space="preserve"> </w:t>
      </w:r>
      <w:r w:rsidRPr="00AE1859">
        <w:fldChar w:fldCharType="begin"/>
      </w:r>
      <w:r w:rsidRPr="00AE1859">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AE1859">
        <w:fldChar w:fldCharType="separate"/>
      </w:r>
      <w:r w:rsidRPr="00AE1859">
        <w:t>Liao and Whitman (1986a)</w:t>
      </w:r>
      <w:r w:rsidRPr="00AE1859">
        <w:fldChar w:fldCharType="end"/>
      </w:r>
      <w:r w:rsidRPr="00D81278">
        <w:t xml:space="preserve"> method.</w:t>
      </w:r>
    </w:p>
    <w:p w14:paraId="3ACB18E4" w14:textId="77777777" w:rsidR="00BB491C" w:rsidRDefault="00BB491C" w:rsidP="00151388">
      <w:pPr>
        <w:pStyle w:val="Paragraph"/>
        <w:numPr>
          <w:ilvl w:val="0"/>
          <w:numId w:val="5"/>
        </w:numPr>
        <w:ind w:left="426" w:hanging="142"/>
      </w:pPr>
      <w:r w:rsidRPr="00D81278">
        <w:t>The hammer energy (</w:t>
      </w:r>
      <w:r w:rsidRPr="00BB491C">
        <w:rPr>
          <w:i/>
          <w:iCs/>
        </w:rPr>
        <w:t>C</w:t>
      </w:r>
      <w:r w:rsidRPr="00BB491C">
        <w:rPr>
          <w:i/>
          <w:iCs/>
          <w:vertAlign w:val="subscript"/>
        </w:rPr>
        <w:t>E</w:t>
      </w:r>
      <w:r w:rsidRPr="00D81278">
        <w:t>) correction factor is based on the</w:t>
      </w:r>
      <w:r>
        <w:t xml:space="preserve"> </w:t>
      </w:r>
      <w:r w:rsidRPr="00AE1859">
        <w:fldChar w:fldCharType="begin"/>
      </w:r>
      <w:r w:rsidRPr="00AE1859">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AE1859">
        <w:fldChar w:fldCharType="separate"/>
      </w:r>
      <w:r w:rsidRPr="00AE1859">
        <w:t>Skempton (1986)</w:t>
      </w:r>
      <w:r w:rsidRPr="00AE1859">
        <w:fldChar w:fldCharType="end"/>
      </w:r>
      <w:r w:rsidRPr="00D81278">
        <w:t xml:space="preserve"> method.</w:t>
      </w:r>
    </w:p>
    <w:p w14:paraId="0E438BC8" w14:textId="77777777" w:rsidR="00BB491C" w:rsidRDefault="00BB491C" w:rsidP="00151388">
      <w:pPr>
        <w:pStyle w:val="Paragraph"/>
        <w:numPr>
          <w:ilvl w:val="0"/>
          <w:numId w:val="5"/>
        </w:numPr>
        <w:ind w:left="426" w:hanging="142"/>
      </w:pPr>
      <w:r w:rsidRPr="00D81278">
        <w:t>The borehole diameter (</w:t>
      </w:r>
      <w:r w:rsidRPr="00BB491C">
        <w:rPr>
          <w:i/>
          <w:iCs/>
        </w:rPr>
        <w:t>C</w:t>
      </w:r>
      <w:r w:rsidRPr="00BB491C">
        <w:rPr>
          <w:i/>
          <w:iCs/>
          <w:vertAlign w:val="subscript"/>
        </w:rPr>
        <w:t>B</w:t>
      </w:r>
      <w:r w:rsidRPr="00D81278">
        <w:t xml:space="preserve">) correction factor is based on the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rsidRPr="00E21102">
        <w:t>Skempton (1986)</w:t>
      </w:r>
      <w:r w:rsidRPr="00E21102">
        <w:fldChar w:fldCharType="end"/>
      </w:r>
      <w:r w:rsidRPr="00D81278">
        <w:t xml:space="preserve"> method</w:t>
      </w:r>
      <w:r>
        <w:t>.</w:t>
      </w:r>
    </w:p>
    <w:p w14:paraId="5C8614E2" w14:textId="7E2FABD9" w:rsidR="00BB491C" w:rsidRDefault="00BB491C" w:rsidP="00151388">
      <w:pPr>
        <w:pStyle w:val="Paragraph"/>
        <w:numPr>
          <w:ilvl w:val="0"/>
          <w:numId w:val="5"/>
        </w:numPr>
        <w:ind w:left="426" w:hanging="142"/>
      </w:pPr>
      <w:r w:rsidRPr="00D81278">
        <w:t>Rod Length (</w:t>
      </w:r>
      <w:r w:rsidRPr="00BB491C">
        <w:rPr>
          <w:i/>
          <w:iCs/>
        </w:rPr>
        <w:t>C</w:t>
      </w:r>
      <w:r w:rsidRPr="00BB491C">
        <w:rPr>
          <w:i/>
          <w:iCs/>
          <w:vertAlign w:val="subscript"/>
        </w:rPr>
        <w:t>R</w:t>
      </w:r>
      <w:r w:rsidRPr="00D81278">
        <w:t>) correction factor</w:t>
      </w:r>
      <w:r w:rsidR="00CF6C90">
        <w:t xml:space="preserve"> is </w:t>
      </w:r>
      <w:r w:rsidRPr="00D81278">
        <w:t xml:space="preserve"> based on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Cetin et al.,</w:t>
      </w:r>
      <w:r w:rsidRPr="00E21102">
        <w:t xml:space="preserve"> (</w:t>
      </w:r>
      <w:r>
        <w:t>2004</w:t>
      </w:r>
      <w:r w:rsidRPr="00E21102">
        <w:t>)</w:t>
      </w:r>
      <w:r w:rsidRPr="00E21102">
        <w:fldChar w:fldCharType="end"/>
      </w:r>
      <w:r>
        <w:t xml:space="preserve"> method.</w:t>
      </w:r>
    </w:p>
    <w:p w14:paraId="78CB423C" w14:textId="0B46989C" w:rsidR="00BB491C" w:rsidRPr="00BB491C" w:rsidRDefault="00BB491C" w:rsidP="00151388">
      <w:pPr>
        <w:pStyle w:val="Paragraph"/>
        <w:numPr>
          <w:ilvl w:val="0"/>
          <w:numId w:val="5"/>
        </w:numPr>
        <w:ind w:left="426" w:hanging="142"/>
      </w:pPr>
      <w:r w:rsidRPr="00BB491C">
        <w:t>Sample (</w:t>
      </w:r>
      <w:r w:rsidRPr="00BB491C">
        <w:rPr>
          <w:i/>
          <w:iCs/>
        </w:rPr>
        <w:t>C</w:t>
      </w:r>
      <w:r w:rsidRPr="00BB491C">
        <w:rPr>
          <w:i/>
          <w:iCs/>
          <w:vertAlign w:val="subscript"/>
        </w:rPr>
        <w:t>S</w:t>
      </w:r>
      <w:r w:rsidRPr="00BB491C">
        <w:t xml:space="preserve">) correction factor </w:t>
      </w:r>
      <w:r w:rsidR="00CF6C90">
        <w:t xml:space="preserve">is </w:t>
      </w:r>
      <w:r w:rsidRPr="00BB491C">
        <w:t xml:space="preserve">based on the </w:t>
      </w:r>
      <w:r w:rsidRPr="00BB491C">
        <w:fldChar w:fldCharType="begin"/>
      </w:r>
      <w:r w:rsidRPr="00BB491C">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BB491C">
        <w:fldChar w:fldCharType="separate"/>
      </w:r>
      <w:r w:rsidRPr="00BB491C">
        <w:t>NCEER (1997)</w:t>
      </w:r>
      <w:r w:rsidRPr="00BB491C">
        <w:fldChar w:fldCharType="end"/>
      </w:r>
      <w:r w:rsidRPr="00BB491C">
        <w:t xml:space="preserve"> method.</w:t>
      </w:r>
    </w:p>
    <w:p w14:paraId="7717652E" w14:textId="6065E77E" w:rsidR="00BB491C" w:rsidRPr="00D81278" w:rsidRDefault="00BB491C" w:rsidP="00151388">
      <w:pPr>
        <w:pStyle w:val="Paragraph"/>
        <w:numPr>
          <w:ilvl w:val="0"/>
          <w:numId w:val="4"/>
        </w:numPr>
        <w:spacing w:before="120"/>
        <w:ind w:left="284" w:hanging="284"/>
      </w:pPr>
      <w:r w:rsidRPr="00D81278">
        <w:t>Cyclic Stress Ratio (CSR)</w:t>
      </w:r>
    </w:p>
    <w:p w14:paraId="579186DA" w14:textId="5C0E25DF" w:rsidR="00BB491C" w:rsidRPr="00D81278" w:rsidRDefault="00BB491C" w:rsidP="00BB491C">
      <w:pPr>
        <w:pStyle w:val="Paragraph"/>
      </w:pPr>
      <w:r w:rsidRPr="00D81278">
        <w:t>The Liquefaction analysis with Settle3 used the ratio of cyclic shear stress according to the method</w:t>
      </w:r>
      <w:r>
        <w:t xml:space="preserve">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Seed and Idriss,</w:t>
      </w:r>
      <w:r w:rsidRPr="00E21102">
        <w:t xml:space="preserve"> 19</w:t>
      </w:r>
      <w:r>
        <w:t>71</w:t>
      </w:r>
      <w:r w:rsidRPr="00E21102">
        <w:t>)</w:t>
      </w:r>
      <w:r w:rsidRPr="00E21102">
        <w:fldChar w:fldCharType="end"/>
      </w:r>
      <w:r>
        <w:t xml:space="preserve">, </w:t>
      </w:r>
      <w:r w:rsidRPr="00D81278">
        <w:t xml:space="preserve">and </w:t>
      </w:r>
      <w:r w:rsidR="00CF6C90">
        <w:t xml:space="preserve">the </w:t>
      </w:r>
      <w:r w:rsidRPr="00D81278">
        <w:t>CSR in Settle3 was the same as that used in the manual method. The calculation of the CSR value can be seen in Equation (2).</w:t>
      </w:r>
    </w:p>
    <w:tbl>
      <w:tblPr>
        <w:tblStyle w:val="TableGrid"/>
        <w:tblW w:w="51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1520"/>
      </w:tblGrid>
      <w:tr w:rsidR="00BB491C" w:rsidRPr="00BB491C" w14:paraId="16A3D433" w14:textId="77777777" w:rsidTr="00BB491C">
        <w:trPr>
          <w:trHeight w:val="499"/>
        </w:trPr>
        <w:tc>
          <w:tcPr>
            <w:tcW w:w="4213" w:type="pct"/>
            <w:vAlign w:val="center"/>
          </w:tcPr>
          <w:p w14:paraId="04EF3DD4" w14:textId="6CBC84AF" w:rsidR="00BB491C" w:rsidRPr="00BB491C" w:rsidRDefault="00BB491C" w:rsidP="00BB491C">
            <w:pPr>
              <w:pStyle w:val="Paragraph"/>
              <w:rPr>
                <w:b/>
                <w:bCs/>
              </w:rPr>
            </w:pPr>
            <m:oMathPara>
              <m:oMathParaPr>
                <m:jc m:val="center"/>
              </m:oMathParaPr>
              <m:oMath>
                <m:r>
                  <m:rPr>
                    <m:nor/>
                  </m:rPr>
                  <m:t>CSR=</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i/>
                              </w:rPr>
                              <m:t>τ</m:t>
                            </m:r>
                          </m:e>
                          <m:sub>
                            <m:r>
                              <m:rPr>
                                <m:nor/>
                              </m:rPr>
                              <w:rPr>
                                <w:i/>
                              </w:rPr>
                              <m:t>cyc</m:t>
                            </m:r>
                          </m:sub>
                        </m:sSub>
                      </m:num>
                      <m:den>
                        <m:sSub>
                          <m:sSubPr>
                            <m:ctrlPr>
                              <w:rPr>
                                <w:rFonts w:ascii="Cambria Math" w:eastAsia="SimSun" w:hAnsi="Cambria Math"/>
                                <w:i/>
                              </w:rPr>
                            </m:ctrlPr>
                          </m:sSubPr>
                          <m:e>
                            <m:r>
                              <m:rPr>
                                <m:nor/>
                              </m:rPr>
                              <w:rPr>
                                <w:rFonts w:eastAsia="SimSun"/>
                                <w:i/>
                              </w:rPr>
                              <m:t>σ</m:t>
                            </m:r>
                            <m:r>
                              <m:rPr>
                                <m:nor/>
                              </m:rPr>
                              <w:rPr>
                                <w:i/>
                                <w:position w:val="3"/>
                              </w:rPr>
                              <m:t>'</m:t>
                            </m:r>
                          </m:e>
                          <m:sub>
                            <m:r>
                              <m:rPr>
                                <m:nor/>
                              </m:rPr>
                              <w:rPr>
                                <w:rFonts w:eastAsia="SimSun"/>
                                <w:i/>
                              </w:rPr>
                              <m:t>vo</m:t>
                            </m:r>
                          </m:sub>
                        </m:sSub>
                      </m:den>
                    </m:f>
                  </m:e>
                </m:d>
                <m:r>
                  <m:rPr>
                    <m:nor/>
                  </m:rPr>
                  <w:rPr>
                    <w:rFonts w:eastAsia="SimSun"/>
                  </w:rPr>
                  <m:t xml:space="preserve"> = 0.65 </m:t>
                </m:r>
                <m:r>
                  <m:rPr>
                    <m:nor/>
                  </m:rPr>
                  <w:rPr>
                    <w:i/>
                  </w:rPr>
                  <m:t>r</m:t>
                </m:r>
                <m:r>
                  <m:rPr>
                    <m:nor/>
                  </m:rPr>
                  <w:rPr>
                    <w:i/>
                    <w:vertAlign w:val="subscript"/>
                  </w:rPr>
                  <m:t>d</m:t>
                </m:r>
                <m:r>
                  <m:rPr>
                    <m:nor/>
                  </m:rPr>
                  <w:rPr>
                    <w:iCs/>
                    <w:vertAlign w:val="subscript"/>
                  </w:rPr>
                  <m:t xml:space="preserve"> </m:t>
                </m:r>
                <m:d>
                  <m:dPr>
                    <m:ctrlPr>
                      <w:rPr>
                        <w:rFonts w:ascii="Cambria Math" w:hAnsi="Cambria Math"/>
                        <w:i/>
                      </w:rPr>
                    </m:ctrlPr>
                  </m:dPr>
                  <m:e>
                    <m:f>
                      <m:fPr>
                        <m:ctrlPr>
                          <w:rPr>
                            <w:rFonts w:ascii="Cambria Math" w:hAnsi="Cambria Math"/>
                            <w:i/>
                          </w:rPr>
                        </m:ctrlPr>
                      </m:fPr>
                      <m:num>
                        <m:sSub>
                          <m:sSubPr>
                            <m:ctrlPr>
                              <w:rPr>
                                <w:rFonts w:ascii="Cambria Math" w:eastAsia="SimSun" w:hAnsi="Cambria Math"/>
                                <w:i/>
                              </w:rPr>
                            </m:ctrlPr>
                          </m:sSubPr>
                          <m:e>
                            <m:r>
                              <m:rPr>
                                <m:nor/>
                              </m:rPr>
                              <w:rPr>
                                <w:rFonts w:eastAsia="SimSun"/>
                                <w:i/>
                              </w:rPr>
                              <m:t>σ</m:t>
                            </m:r>
                          </m:e>
                          <m:sub>
                            <m:r>
                              <m:rPr>
                                <m:nor/>
                              </m:rPr>
                              <w:rPr>
                                <w:rFonts w:eastAsia="SimSun"/>
                                <w:i/>
                              </w:rPr>
                              <m:t>vo</m:t>
                            </m:r>
                          </m:sub>
                        </m:sSub>
                      </m:num>
                      <m:den>
                        <m:sSub>
                          <m:sSubPr>
                            <m:ctrlPr>
                              <w:rPr>
                                <w:rFonts w:ascii="Cambria Math" w:eastAsia="SimSun" w:hAnsi="Cambria Math"/>
                                <w:i/>
                              </w:rPr>
                            </m:ctrlPr>
                          </m:sSubPr>
                          <m:e>
                            <m:r>
                              <m:rPr>
                                <m:nor/>
                              </m:rPr>
                              <w:rPr>
                                <w:rFonts w:eastAsia="SimSun"/>
                                <w:i/>
                              </w:rPr>
                              <m:t>σ</m:t>
                            </m:r>
                            <m:r>
                              <m:rPr>
                                <m:nor/>
                              </m:rPr>
                              <w:rPr>
                                <w:i/>
                                <w:position w:val="3"/>
                              </w:rPr>
                              <m:t>'</m:t>
                            </m:r>
                          </m:e>
                          <m:sub>
                            <m:r>
                              <m:rPr>
                                <m:nor/>
                              </m:rPr>
                              <w:rPr>
                                <w:rFonts w:eastAsia="SimSun"/>
                                <w:i/>
                              </w:rPr>
                              <m:t>vo</m:t>
                            </m:r>
                          </m:sub>
                        </m:sSub>
                      </m:den>
                    </m:f>
                  </m:e>
                </m:d>
                <m:d>
                  <m:dPr>
                    <m:ctrlPr>
                      <w:rPr>
                        <w:rFonts w:ascii="Cambria Math" w:hAnsi="Cambria Math"/>
                        <w:iCs/>
                      </w:rPr>
                    </m:ctrlPr>
                  </m:dPr>
                  <m:e>
                    <m:f>
                      <m:fPr>
                        <m:ctrlPr>
                          <w:rPr>
                            <w:rFonts w:ascii="Cambria Math" w:hAnsi="Cambria Math"/>
                            <w:i/>
                          </w:rPr>
                        </m:ctrlPr>
                      </m:fPr>
                      <m:num>
                        <m:sSub>
                          <m:sSubPr>
                            <m:ctrlPr>
                              <w:rPr>
                                <w:rFonts w:ascii="Cambria Math" w:hAnsi="Cambria Math"/>
                                <w:i/>
                              </w:rPr>
                            </m:ctrlPr>
                          </m:sSubPr>
                          <m:e>
                            <m:r>
                              <m:rPr>
                                <m:nor/>
                              </m:rPr>
                              <w:rPr>
                                <w:i/>
                              </w:rPr>
                              <m:t>a</m:t>
                            </m:r>
                          </m:e>
                          <m:sub>
                            <m:r>
                              <m:rPr>
                                <m:nor/>
                              </m:rPr>
                              <w:rPr>
                                <w:i/>
                              </w:rPr>
                              <m:t>max</m:t>
                            </m:r>
                          </m:sub>
                        </m:sSub>
                      </m:num>
                      <m:den>
                        <m:r>
                          <m:rPr>
                            <m:nor/>
                          </m:rPr>
                          <w:rPr>
                            <w:i/>
                            <w:iCs/>
                          </w:rPr>
                          <m:t>g</m:t>
                        </m:r>
                      </m:den>
                    </m:f>
                  </m:e>
                </m:d>
              </m:oMath>
            </m:oMathPara>
          </w:p>
        </w:tc>
        <w:tc>
          <w:tcPr>
            <w:tcW w:w="787" w:type="pct"/>
            <w:vAlign w:val="center"/>
          </w:tcPr>
          <w:p w14:paraId="69239F51" w14:textId="77777777" w:rsidR="00BB491C" w:rsidRPr="00BB491C" w:rsidRDefault="00BB491C" w:rsidP="00BB491C">
            <w:pPr>
              <w:pStyle w:val="Paragraph"/>
            </w:pPr>
            <w:r w:rsidRPr="00BB491C">
              <w:t>(2)</w:t>
            </w:r>
          </w:p>
        </w:tc>
      </w:tr>
    </w:tbl>
    <w:p w14:paraId="26105FFA" w14:textId="7CBF1BF6" w:rsidR="00BB491C" w:rsidRPr="00D81278" w:rsidRDefault="00BB491C" w:rsidP="007E76B4">
      <w:pPr>
        <w:pStyle w:val="Paragraph"/>
        <w:ind w:firstLine="0"/>
      </w:pPr>
      <w:proofErr w:type="gramStart"/>
      <w:r>
        <w:t>w</w:t>
      </w:r>
      <w:r w:rsidRPr="00D81278">
        <w:t>here</w:t>
      </w:r>
      <w:proofErr w:type="gramEnd"/>
      <w:r w:rsidRPr="00D81278">
        <w:t>,</w:t>
      </w:r>
    </w:p>
    <w:p w14:paraId="5D3EBD2E" w14:textId="77777777" w:rsidR="00BB491C" w:rsidRPr="00D81278" w:rsidRDefault="00BB491C" w:rsidP="007E76B4">
      <w:pPr>
        <w:pStyle w:val="Paragraph"/>
        <w:ind w:firstLine="0"/>
      </w:pPr>
      <w:r w:rsidRPr="00D81278">
        <w:rPr>
          <w:color w:val="000000"/>
        </w:rPr>
        <w:t>CSR</w:t>
      </w:r>
      <w:r w:rsidRPr="00D81278">
        <w:tab/>
        <w:t>= Cyclic Stress Ratio</w:t>
      </w:r>
      <w:r w:rsidRPr="00D81278">
        <w:rPr>
          <w:i/>
          <w:iCs/>
        </w:rPr>
        <w:t xml:space="preserve"> </w:t>
      </w:r>
      <w:r w:rsidRPr="00D81278">
        <w:t>(dimensionless)</w:t>
      </w:r>
    </w:p>
    <w:p w14:paraId="4AEC72DD" w14:textId="77777777" w:rsidR="00BB491C" w:rsidRPr="00D81278" w:rsidRDefault="00BB491C" w:rsidP="007E76B4">
      <w:pPr>
        <w:pStyle w:val="Paragraph"/>
        <w:ind w:firstLine="0"/>
      </w:pPr>
      <w:r w:rsidRPr="00D81278">
        <w:rPr>
          <w:rFonts w:ascii="Symbol" w:hAnsi="Symbol"/>
          <w:i/>
          <w:iCs/>
        </w:rPr>
        <w:sym w:font="Symbol" w:char="F073"/>
      </w:r>
      <w:r w:rsidRPr="00D81278">
        <w:rPr>
          <w:i/>
          <w:iCs/>
          <w:vertAlign w:val="subscript"/>
        </w:rPr>
        <w:t>vo</w:t>
      </w:r>
      <w:r w:rsidRPr="00D81278">
        <w:tab/>
        <w:t>= Total vertical stress of the ground (kN/m</w:t>
      </w:r>
      <w:r w:rsidRPr="00D81278">
        <w:rPr>
          <w:vertAlign w:val="superscript"/>
        </w:rPr>
        <w:t>2</w:t>
      </w:r>
      <w:r w:rsidRPr="00D81278">
        <w:t>)</w:t>
      </w:r>
    </w:p>
    <w:p w14:paraId="6BFF6A5D" w14:textId="77777777" w:rsidR="00BB491C" w:rsidRPr="00D81278" w:rsidRDefault="00E93B70" w:rsidP="007E76B4">
      <w:pPr>
        <w:pStyle w:val="Paragraph"/>
        <w:ind w:firstLine="0"/>
      </w:pPr>
      <m:oMath>
        <m:sSubSup>
          <m:sSubSupPr>
            <m:ctrlPr>
              <w:rPr>
                <w:rFonts w:ascii="Cambria Math" w:hAnsi="Cambria Math"/>
                <w:i/>
                <w:iCs/>
                <w:position w:val="3"/>
              </w:rPr>
            </m:ctrlPr>
          </m:sSubSupPr>
          <m:e>
            <m:r>
              <w:rPr>
                <w:rFonts w:ascii="Cambria Math" w:hAnsi="Cambria Math"/>
                <w:position w:val="3"/>
              </w:rPr>
              <m:t>σ</m:t>
            </m:r>
          </m:e>
          <m:sub>
            <m:r>
              <m:rPr>
                <m:nor/>
              </m:rPr>
              <w:rPr>
                <w:i/>
                <w:iCs/>
                <w:position w:val="3"/>
              </w:rPr>
              <m:t>vo</m:t>
            </m:r>
          </m:sub>
          <m:sup>
            <m:r>
              <w:rPr>
                <w:rFonts w:ascii="Cambria Math" w:hAnsi="Cambria Math"/>
                <w:position w:val="3"/>
              </w:rPr>
              <m:t>'</m:t>
            </m:r>
          </m:sup>
        </m:sSubSup>
      </m:oMath>
      <w:r w:rsidR="00BB491C" w:rsidRPr="00D81278">
        <w:tab/>
        <w:t>= Effective vertical stress of soil (kN/m</w:t>
      </w:r>
      <w:r w:rsidR="00BB491C" w:rsidRPr="00D81278">
        <w:rPr>
          <w:vertAlign w:val="superscript"/>
        </w:rPr>
        <w:t>2</w:t>
      </w:r>
      <w:r w:rsidR="00BB491C" w:rsidRPr="00D81278">
        <w:t>)</w:t>
      </w:r>
    </w:p>
    <w:p w14:paraId="40A06912" w14:textId="77777777" w:rsidR="00BB491C" w:rsidRPr="00D81278" w:rsidRDefault="00BB491C" w:rsidP="007E76B4">
      <w:pPr>
        <w:pStyle w:val="Paragraph"/>
        <w:ind w:firstLine="0"/>
      </w:pPr>
      <w:r w:rsidRPr="00D81278">
        <w:rPr>
          <w:i/>
          <w:iCs/>
        </w:rPr>
        <w:t>a</w:t>
      </w:r>
      <w:r w:rsidRPr="00D81278">
        <w:rPr>
          <w:i/>
          <w:iCs/>
          <w:vertAlign w:val="subscript"/>
        </w:rPr>
        <w:t>max</w:t>
      </w:r>
      <w:r w:rsidRPr="00D81278">
        <w:tab/>
        <w:t>= Maximum ground surface acceleration during an earthquake (m/s</w:t>
      </w:r>
      <w:r w:rsidRPr="00D81278">
        <w:rPr>
          <w:vertAlign w:val="superscript"/>
        </w:rPr>
        <w:t>2</w:t>
      </w:r>
      <w:r w:rsidRPr="00D81278">
        <w:t>)</w:t>
      </w:r>
    </w:p>
    <w:p w14:paraId="41AF3910" w14:textId="5D250645" w:rsidR="007E76B4" w:rsidRDefault="00BB491C" w:rsidP="007E76B4">
      <w:pPr>
        <w:pStyle w:val="Paragraph"/>
        <w:ind w:firstLine="0"/>
      </w:pPr>
      <w:r w:rsidRPr="00D81278">
        <w:rPr>
          <w:i/>
          <w:iCs/>
        </w:rPr>
        <w:t>g</w:t>
      </w:r>
      <w:r w:rsidRPr="00D81278">
        <w:tab/>
        <w:t>= Gravitational acceleration (9</w:t>
      </w:r>
      <w:r w:rsidR="00B56F67">
        <w:t>.</w:t>
      </w:r>
      <w:r w:rsidRPr="00D81278">
        <w:t>81 m/s</w:t>
      </w:r>
      <w:r w:rsidRPr="00D81278">
        <w:rPr>
          <w:vertAlign w:val="superscript"/>
        </w:rPr>
        <w:t>2</w:t>
      </w:r>
      <w:r w:rsidRPr="00D81278">
        <w:t>)</w:t>
      </w:r>
    </w:p>
    <w:p w14:paraId="706E5C6E" w14:textId="54DCE038" w:rsidR="00013880" w:rsidRDefault="00013880" w:rsidP="007E76B4">
      <w:pPr>
        <w:pStyle w:val="Paragraph"/>
        <w:ind w:firstLine="0"/>
      </w:pPr>
    </w:p>
    <w:p w14:paraId="3892B2B7" w14:textId="77777777" w:rsidR="00013880" w:rsidRDefault="00013880" w:rsidP="007E76B4">
      <w:pPr>
        <w:pStyle w:val="Paragraph"/>
        <w:ind w:firstLine="0"/>
      </w:pPr>
    </w:p>
    <w:p w14:paraId="41FD9C88" w14:textId="31AC447B" w:rsidR="00BB491C" w:rsidRPr="00D81278" w:rsidRDefault="00BB491C" w:rsidP="00151388">
      <w:pPr>
        <w:pStyle w:val="Paragraph"/>
        <w:numPr>
          <w:ilvl w:val="0"/>
          <w:numId w:val="4"/>
        </w:numPr>
        <w:spacing w:before="120"/>
        <w:ind w:left="284" w:hanging="284"/>
      </w:pPr>
      <w:r w:rsidRPr="00D81278">
        <w:lastRenderedPageBreak/>
        <w:t>Stress Reduction Factor (</w:t>
      </w:r>
      <w:r w:rsidRPr="007E76B4">
        <w:rPr>
          <w:i/>
          <w:iCs/>
        </w:rPr>
        <w:t>r</w:t>
      </w:r>
      <w:r w:rsidRPr="007E76B4">
        <w:rPr>
          <w:i/>
          <w:iCs/>
          <w:vertAlign w:val="subscript"/>
        </w:rPr>
        <w:t>d</w:t>
      </w:r>
      <w:r w:rsidRPr="00D81278">
        <w:t>)</w:t>
      </w:r>
    </w:p>
    <w:p w14:paraId="396AD56A" w14:textId="2A38C578" w:rsidR="00BB491C" w:rsidRPr="00D81278" w:rsidRDefault="00BB491C" w:rsidP="00BB491C">
      <w:pPr>
        <w:pStyle w:val="Paragraph"/>
      </w:pPr>
      <w:r w:rsidRPr="00D81278">
        <w:t>The stress reduction factor was used to determine the maximum shear stress at different depths in the soil. Values generally range from 1 to lower values at ground level to greater depths, respectively. The value (r</w:t>
      </w:r>
      <w:r w:rsidRPr="00D81278">
        <w:rPr>
          <w:vertAlign w:val="subscript"/>
        </w:rPr>
        <w:t>d</w:t>
      </w:r>
      <w:r w:rsidRPr="00D81278">
        <w:t>) in the analysis us</w:t>
      </w:r>
      <w:r w:rsidR="00CF6C90">
        <w:t>ed</w:t>
      </w:r>
      <w:r w:rsidRPr="00D81278">
        <w:t xml:space="preserve"> the formula from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Kayen</w:t>
      </w:r>
      <w:r w:rsidRPr="00E21102">
        <w:t xml:space="preserve"> (19</w:t>
      </w:r>
      <w:r>
        <w:t>92</w:t>
      </w:r>
      <w:r w:rsidRPr="00E21102">
        <w:t>)</w:t>
      </w:r>
      <w:r w:rsidRPr="00E21102">
        <w:fldChar w:fldCharType="end"/>
      </w:r>
      <w:r w:rsidRPr="005220B6">
        <w:t>,</w:t>
      </w:r>
      <w:r w:rsidRPr="00D81278">
        <w:t xml:space="preserve"> as seen in Equation (3).</w:t>
      </w:r>
    </w:p>
    <w:tbl>
      <w:tblPr>
        <w:tblStyle w:val="TableGrid"/>
        <w:tblW w:w="5083"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3"/>
        <w:gridCol w:w="1812"/>
      </w:tblGrid>
      <w:tr w:rsidR="00BB491C" w:rsidRPr="00BB491C" w14:paraId="75E76792" w14:textId="77777777" w:rsidTr="00786C75">
        <w:trPr>
          <w:trHeight w:val="397"/>
        </w:trPr>
        <w:tc>
          <w:tcPr>
            <w:tcW w:w="4048" w:type="pct"/>
            <w:vAlign w:val="center"/>
          </w:tcPr>
          <w:p w14:paraId="528A0C56" w14:textId="77777777" w:rsidR="00BB491C" w:rsidRPr="00BB491C" w:rsidRDefault="00BB491C" w:rsidP="007E76B4">
            <w:pPr>
              <w:pStyle w:val="Paragraph"/>
              <w:ind w:firstLine="0"/>
              <w:jc w:val="center"/>
            </w:pPr>
            <w:r w:rsidRPr="00BB491C">
              <w:rPr>
                <w:i/>
                <w:iCs/>
              </w:rPr>
              <w:t>r</w:t>
            </w:r>
            <w:r w:rsidRPr="00BB491C">
              <w:rPr>
                <w:i/>
                <w:iCs/>
                <w:vertAlign w:val="subscript"/>
              </w:rPr>
              <w:t>d</w:t>
            </w:r>
            <w:r w:rsidRPr="00BB491C">
              <w:t xml:space="preserve"> = 1 – 0.012 </w:t>
            </w:r>
            <w:r w:rsidRPr="00BB491C">
              <w:rPr>
                <w:i/>
                <w:iCs/>
              </w:rPr>
              <w:t>z</w:t>
            </w:r>
          </w:p>
        </w:tc>
        <w:tc>
          <w:tcPr>
            <w:tcW w:w="952" w:type="pct"/>
            <w:vAlign w:val="center"/>
          </w:tcPr>
          <w:p w14:paraId="15082E5D" w14:textId="77777777" w:rsidR="00BB491C" w:rsidRPr="00BB491C" w:rsidRDefault="00BB491C" w:rsidP="007E76B4">
            <w:pPr>
              <w:pStyle w:val="Paragraph"/>
              <w:ind w:firstLine="18"/>
              <w:jc w:val="center"/>
            </w:pPr>
            <w:r w:rsidRPr="00BB491C">
              <w:t>(3)</w:t>
            </w:r>
          </w:p>
        </w:tc>
      </w:tr>
    </w:tbl>
    <w:p w14:paraId="497D384F" w14:textId="77777777" w:rsidR="00BB491C" w:rsidRPr="00D81278" w:rsidRDefault="00BB491C" w:rsidP="007E76B4">
      <w:pPr>
        <w:pStyle w:val="Paragraph"/>
        <w:ind w:firstLine="0"/>
      </w:pPr>
      <w:proofErr w:type="gramStart"/>
      <w:r w:rsidRPr="00D81278">
        <w:t>where</w:t>
      </w:r>
      <w:proofErr w:type="gramEnd"/>
      <w:r w:rsidRPr="00D81278">
        <w:t>,</w:t>
      </w:r>
    </w:p>
    <w:p w14:paraId="63E61AAB" w14:textId="77777777" w:rsidR="00BB491C" w:rsidRPr="00D81278" w:rsidRDefault="00BB491C" w:rsidP="007E76B4">
      <w:pPr>
        <w:pStyle w:val="Paragraph"/>
        <w:ind w:firstLine="0"/>
      </w:pPr>
      <w:r w:rsidRPr="00D81278">
        <w:rPr>
          <w:i/>
          <w:iCs/>
        </w:rPr>
        <w:t>r</w:t>
      </w:r>
      <w:r w:rsidRPr="00D81278">
        <w:rPr>
          <w:i/>
          <w:iCs/>
          <w:vertAlign w:val="subscript"/>
        </w:rPr>
        <w:t>d</w:t>
      </w:r>
      <w:r w:rsidRPr="00D81278">
        <w:tab/>
        <w:t>= Depth reduction factor</w:t>
      </w:r>
    </w:p>
    <w:p w14:paraId="02EE8603" w14:textId="18A8764A" w:rsidR="007E76B4" w:rsidRDefault="00BB491C" w:rsidP="007E76B4">
      <w:pPr>
        <w:pStyle w:val="Paragraph"/>
        <w:ind w:firstLine="0"/>
      </w:pPr>
      <w:r w:rsidRPr="00D81278">
        <w:rPr>
          <w:i/>
        </w:rPr>
        <w:t>z</w:t>
      </w:r>
      <w:r w:rsidRPr="00D81278">
        <w:tab/>
        <w:t>= Depth of a soil layer (m)</w:t>
      </w:r>
    </w:p>
    <w:p w14:paraId="7B7358BB" w14:textId="6F75E393" w:rsidR="00BB491C" w:rsidRDefault="00BB491C" w:rsidP="00151388">
      <w:pPr>
        <w:pStyle w:val="Paragraph"/>
        <w:numPr>
          <w:ilvl w:val="0"/>
          <w:numId w:val="4"/>
        </w:numPr>
        <w:spacing w:before="120"/>
        <w:ind w:left="284" w:hanging="284"/>
      </w:pPr>
      <w:r w:rsidRPr="00D81278">
        <w:t>Magnitude Scaling Factor (MSF)</w:t>
      </w:r>
    </w:p>
    <w:p w14:paraId="2039075E" w14:textId="6EA99984" w:rsidR="00BB491C" w:rsidRPr="00BB491C" w:rsidRDefault="00BB491C" w:rsidP="00BB491C">
      <w:pPr>
        <w:pStyle w:val="Paragraph"/>
      </w:pPr>
      <w:r w:rsidRPr="00BB491C">
        <w:t xml:space="preserve">The magnitude scaling factor value was obtained using the formula from </w:t>
      </w:r>
      <w:r w:rsidRPr="00BB491C">
        <w:fldChar w:fldCharType="begin"/>
      </w:r>
      <w:r w:rsidRPr="00BB491C">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BB491C">
        <w:fldChar w:fldCharType="separate"/>
      </w:r>
      <w:r w:rsidRPr="00BB491C">
        <w:t>Tokimatsu and Seed (1987)</w:t>
      </w:r>
      <w:r w:rsidRPr="00BB491C">
        <w:fldChar w:fldCharType="end"/>
      </w:r>
      <w:r w:rsidRPr="00BB491C">
        <w:t>, as seen in Equation (4).</w:t>
      </w:r>
    </w:p>
    <w:tbl>
      <w:tblPr>
        <w:tblStyle w:val="TableGrid"/>
        <w:tblW w:w="50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1485"/>
      </w:tblGrid>
      <w:tr w:rsidR="007E76B4" w:rsidRPr="007E76B4" w14:paraId="1589A31B" w14:textId="77777777" w:rsidTr="007E76B4">
        <w:trPr>
          <w:trHeight w:val="397"/>
        </w:trPr>
        <w:tc>
          <w:tcPr>
            <w:tcW w:w="4212" w:type="pct"/>
            <w:vAlign w:val="center"/>
          </w:tcPr>
          <w:p w14:paraId="46DC64A9" w14:textId="3FDA25CD" w:rsidR="00BB491C" w:rsidRPr="007E76B4" w:rsidRDefault="00BB491C" w:rsidP="007E76B4">
            <w:pPr>
              <w:pStyle w:val="Paragraph"/>
              <w:jc w:val="center"/>
            </w:pPr>
            <w:r w:rsidRPr="007E76B4">
              <w:t>MSF = 2</w:t>
            </w:r>
            <w:r w:rsidR="00B56F67">
              <w:t>.</w:t>
            </w:r>
            <w:r w:rsidRPr="007E76B4">
              <w:t>5 – 0</w:t>
            </w:r>
            <w:r w:rsidR="00B56F67">
              <w:t>.</w:t>
            </w:r>
            <w:r w:rsidRPr="007E76B4">
              <w:t xml:space="preserve">2 </w:t>
            </w:r>
            <w:r w:rsidRPr="007E76B4">
              <w:rPr>
                <w:i/>
                <w:iCs/>
              </w:rPr>
              <w:t>M</w:t>
            </w:r>
          </w:p>
        </w:tc>
        <w:tc>
          <w:tcPr>
            <w:tcW w:w="788" w:type="pct"/>
            <w:vAlign w:val="center"/>
          </w:tcPr>
          <w:p w14:paraId="100E7420" w14:textId="77777777" w:rsidR="00BB491C" w:rsidRPr="007E76B4" w:rsidRDefault="00BB491C" w:rsidP="007E76B4">
            <w:pPr>
              <w:pStyle w:val="Paragraph"/>
              <w:ind w:firstLine="0"/>
              <w:jc w:val="center"/>
            </w:pPr>
            <w:r w:rsidRPr="007E76B4">
              <w:t>(4)</w:t>
            </w:r>
          </w:p>
        </w:tc>
      </w:tr>
    </w:tbl>
    <w:p w14:paraId="5C42EE1E" w14:textId="3315EA8A" w:rsidR="00BB491C" w:rsidRPr="007E76B4" w:rsidRDefault="00BB491C" w:rsidP="00151388">
      <w:pPr>
        <w:pStyle w:val="Paragraph"/>
        <w:numPr>
          <w:ilvl w:val="0"/>
          <w:numId w:val="4"/>
        </w:numPr>
        <w:spacing w:before="120"/>
        <w:ind w:left="284" w:hanging="284"/>
      </w:pPr>
      <w:r w:rsidRPr="007E76B4">
        <w:t>Cyclic Resistance Ratio (CRR)</w:t>
      </w:r>
    </w:p>
    <w:p w14:paraId="0EB5CE4B" w14:textId="290BDBAF" w:rsidR="00BB491C" w:rsidRPr="00D81278" w:rsidRDefault="00BB491C" w:rsidP="00BB491C">
      <w:pPr>
        <w:pStyle w:val="Paragraph"/>
      </w:pPr>
      <w:r w:rsidRPr="00D81278">
        <w:t xml:space="preserve">The calculation for the </w:t>
      </w:r>
      <w:r>
        <w:t>cyclic resistance ratio</w:t>
      </w:r>
      <w:r w:rsidRPr="00D81278">
        <w:t xml:space="preserve"> according to the method</w:t>
      </w:r>
      <w:r>
        <w:t xml:space="preserve">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Seed</w:t>
      </w:r>
      <w:r w:rsidRPr="00E21102">
        <w:t xml:space="preserve"> </w:t>
      </w:r>
      <w:r>
        <w:t xml:space="preserve">et al., </w:t>
      </w:r>
      <w:r w:rsidRPr="00E21102">
        <w:t>(198</w:t>
      </w:r>
      <w:r>
        <w:t>4</w:t>
      </w:r>
      <w:r w:rsidRPr="00E21102">
        <w:t>)</w:t>
      </w:r>
      <w:r w:rsidRPr="00E21102">
        <w:fldChar w:fldCharType="end"/>
      </w:r>
      <w:r w:rsidRPr="00D81278">
        <w:t>. The implementation of</w:t>
      </w:r>
      <w:r>
        <w:t xml:space="preserve"> </w:t>
      </w:r>
      <w:r w:rsidRPr="00D81278">
        <w:t xml:space="preserve">CRR calculation in Settle3 </w:t>
      </w:r>
      <w:r w:rsidR="00CF6C90">
        <w:t>is shown</w:t>
      </w:r>
      <w:r w:rsidR="00CF6C90" w:rsidRPr="00D81278">
        <w:t xml:space="preserve"> </w:t>
      </w:r>
      <w:r w:rsidRPr="00D81278">
        <w:t>in Equation (5).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2"/>
        <w:gridCol w:w="1228"/>
      </w:tblGrid>
      <w:tr w:rsidR="00BB491C" w:rsidRPr="007E76B4" w14:paraId="573B0C26" w14:textId="77777777" w:rsidTr="00786C75">
        <w:trPr>
          <w:trHeight w:val="397"/>
        </w:trPr>
        <w:tc>
          <w:tcPr>
            <w:tcW w:w="4344" w:type="pct"/>
            <w:vAlign w:val="center"/>
          </w:tcPr>
          <w:p w14:paraId="6FB7BB1B" w14:textId="77777777" w:rsidR="00BB491C" w:rsidRPr="007E76B4" w:rsidRDefault="00E93B70" w:rsidP="00BB491C">
            <w:pPr>
              <w:pStyle w:val="Paragraph"/>
              <w:rPr>
                <w:b/>
                <w:bCs/>
              </w:rPr>
            </w:pPr>
            <m:oMathPara>
              <m:oMathParaPr>
                <m:jc m:val="center"/>
              </m:oMathParaPr>
              <m:oMath>
                <m:sSub>
                  <m:sSubPr>
                    <m:ctrlPr>
                      <w:rPr>
                        <w:rFonts w:ascii="Cambria Math" w:hAnsi="Cambria Math"/>
                        <w:i/>
                      </w:rPr>
                    </m:ctrlPr>
                  </m:sSubPr>
                  <m:e>
                    <m:r>
                      <m:rPr>
                        <m:nor/>
                      </m:rPr>
                      <w:rPr>
                        <w:i/>
                        <w:iCs/>
                      </w:rPr>
                      <m:t>CRR</m:t>
                    </m:r>
                  </m:e>
                  <m:sub>
                    <m:r>
                      <m:rPr>
                        <m:nor/>
                      </m:rPr>
                      <m:t>7,5</m:t>
                    </m:r>
                  </m:sub>
                </m:sSub>
                <m:r>
                  <m:rPr>
                    <m:nor/>
                  </m:rPr>
                  <m:t xml:space="preserve"> =</m:t>
                </m:r>
                <m:f>
                  <m:fPr>
                    <m:ctrlPr>
                      <w:rPr>
                        <w:rFonts w:ascii="Cambria Math" w:hAnsi="Cambria Math"/>
                        <w:i/>
                      </w:rPr>
                    </m:ctrlPr>
                  </m:fPr>
                  <m:num>
                    <m:r>
                      <m:rPr>
                        <m:nor/>
                      </m:rPr>
                      <w:rPr>
                        <w:iCs/>
                      </w:rPr>
                      <m:t>1</m:t>
                    </m:r>
                  </m:num>
                  <m:den>
                    <m:r>
                      <m:rPr>
                        <m:nor/>
                      </m:rPr>
                      <w:rPr>
                        <w:iCs/>
                      </w:rPr>
                      <m:t>34 - (</m:t>
                    </m:r>
                    <m:sSub>
                      <m:sSubPr>
                        <m:ctrlPr>
                          <w:rPr>
                            <w:rFonts w:ascii="Cambria Math" w:hAnsi="Cambria Math"/>
                            <w:i/>
                          </w:rPr>
                        </m:ctrlPr>
                      </m:sSubPr>
                      <m:e>
                        <m:r>
                          <m:rPr>
                            <m:nor/>
                          </m:rPr>
                          <w:rPr>
                            <w:i/>
                            <w:iCs/>
                          </w:rPr>
                          <m:t>N</m:t>
                        </m:r>
                      </m:e>
                      <m:sub>
                        <m:r>
                          <m:rPr>
                            <m:nor/>
                          </m:rPr>
                          <m:t>1</m:t>
                        </m:r>
                      </m:sub>
                    </m:sSub>
                    <m:sSub>
                      <m:sSubPr>
                        <m:ctrlPr>
                          <w:rPr>
                            <w:rFonts w:ascii="Cambria Math" w:hAnsi="Cambria Math"/>
                            <w:i/>
                          </w:rPr>
                        </m:ctrlPr>
                      </m:sSubPr>
                      <m:e>
                        <m:r>
                          <m:rPr>
                            <m:nor/>
                          </m:rPr>
                          <m:t>)</m:t>
                        </m:r>
                      </m:e>
                      <m:sub>
                        <m:r>
                          <m:rPr>
                            <m:nor/>
                          </m:rPr>
                          <m:t>60cs</m:t>
                        </m:r>
                      </m:sub>
                    </m:sSub>
                  </m:den>
                </m:f>
                <m:r>
                  <m:rPr>
                    <m:nor/>
                  </m:rPr>
                  <w:rPr>
                    <w:rFonts w:eastAsia="SimSun"/>
                  </w:rPr>
                  <m:t>+</m:t>
                </m:r>
                <m:f>
                  <m:fPr>
                    <m:ctrlPr>
                      <w:rPr>
                        <w:rFonts w:ascii="Cambria Math" w:hAnsi="Cambria Math"/>
                        <w:i/>
                      </w:rPr>
                    </m:ctrlPr>
                  </m:fPr>
                  <m:num>
                    <m:r>
                      <m:rPr>
                        <m:nor/>
                      </m:rPr>
                      <w:rPr>
                        <w:iCs/>
                      </w:rPr>
                      <m:t>(</m:t>
                    </m:r>
                    <m:sSub>
                      <m:sSubPr>
                        <m:ctrlPr>
                          <w:rPr>
                            <w:rFonts w:ascii="Cambria Math" w:hAnsi="Cambria Math"/>
                            <w:i/>
                          </w:rPr>
                        </m:ctrlPr>
                      </m:sSubPr>
                      <m:e>
                        <m:r>
                          <m:rPr>
                            <m:nor/>
                          </m:rPr>
                          <w:rPr>
                            <w:i/>
                            <w:iCs/>
                          </w:rPr>
                          <m:t>N</m:t>
                        </m:r>
                      </m:e>
                      <m:sub>
                        <m:r>
                          <m:rPr>
                            <m:nor/>
                          </m:rPr>
                          <m:t>1</m:t>
                        </m:r>
                      </m:sub>
                    </m:sSub>
                    <m:sSub>
                      <m:sSubPr>
                        <m:ctrlPr>
                          <w:rPr>
                            <w:rFonts w:ascii="Cambria Math" w:hAnsi="Cambria Math"/>
                            <w:i/>
                          </w:rPr>
                        </m:ctrlPr>
                      </m:sSubPr>
                      <m:e>
                        <m:r>
                          <m:rPr>
                            <m:nor/>
                          </m:rPr>
                          <m:t>)</m:t>
                        </m:r>
                      </m:e>
                      <m:sub>
                        <m:r>
                          <m:rPr>
                            <m:nor/>
                          </m:rPr>
                          <m:t>60cs</m:t>
                        </m:r>
                      </m:sub>
                    </m:sSub>
                  </m:num>
                  <m:den>
                    <m:r>
                      <m:rPr>
                        <m:nor/>
                      </m:rPr>
                      <w:rPr>
                        <w:iCs/>
                      </w:rPr>
                      <m:t>135</m:t>
                    </m:r>
                  </m:den>
                </m:f>
                <m:r>
                  <m:rPr>
                    <m:nor/>
                  </m:rPr>
                  <w:rPr>
                    <w:rFonts w:eastAsia="SimSun"/>
                  </w:rPr>
                  <m:t>+</m:t>
                </m:r>
                <m:f>
                  <m:fPr>
                    <m:ctrlPr>
                      <w:rPr>
                        <w:rFonts w:ascii="Cambria Math" w:hAnsi="Cambria Math"/>
                        <w:i/>
                      </w:rPr>
                    </m:ctrlPr>
                  </m:fPr>
                  <m:num>
                    <m:r>
                      <m:rPr>
                        <m:nor/>
                      </m:rPr>
                      <w:rPr>
                        <w:iCs/>
                      </w:rPr>
                      <m:t>50</m:t>
                    </m:r>
                  </m:num>
                  <m:den>
                    <m:r>
                      <m:rPr>
                        <m:nor/>
                      </m:rPr>
                      <w:rPr>
                        <w:iCs/>
                      </w:rPr>
                      <m:t>[10 (</m:t>
                    </m:r>
                    <m:sSub>
                      <m:sSubPr>
                        <m:ctrlPr>
                          <w:rPr>
                            <w:rFonts w:ascii="Cambria Math" w:hAnsi="Cambria Math"/>
                            <w:i/>
                          </w:rPr>
                        </m:ctrlPr>
                      </m:sSubPr>
                      <m:e>
                        <m:r>
                          <m:rPr>
                            <m:nor/>
                          </m:rPr>
                          <w:rPr>
                            <w:i/>
                          </w:rPr>
                          <m:t>N</m:t>
                        </m:r>
                      </m:e>
                      <m:sub>
                        <m:r>
                          <m:rPr>
                            <m:nor/>
                          </m:rPr>
                          <m:t>1</m:t>
                        </m:r>
                      </m:sub>
                    </m:sSub>
                    <m:sSub>
                      <m:sSubPr>
                        <m:ctrlPr>
                          <w:rPr>
                            <w:rFonts w:ascii="Cambria Math" w:hAnsi="Cambria Math"/>
                            <w:i/>
                          </w:rPr>
                        </m:ctrlPr>
                      </m:sSubPr>
                      <m:e>
                        <m:r>
                          <m:rPr>
                            <m:nor/>
                          </m:rPr>
                          <m:t>)</m:t>
                        </m:r>
                      </m:e>
                      <m:sub>
                        <m:r>
                          <m:rPr>
                            <m:nor/>
                          </m:rPr>
                          <m:t>60cs</m:t>
                        </m:r>
                      </m:sub>
                    </m:sSub>
                    <m:r>
                      <m:rPr>
                        <m:nor/>
                      </m:rPr>
                      <w:rPr>
                        <w:rFonts w:eastAsia="SimSun"/>
                      </w:rPr>
                      <m:t xml:space="preserve">+ </m:t>
                    </m:r>
                    <m:r>
                      <m:rPr>
                        <m:nor/>
                      </m:rPr>
                      <w:rPr>
                        <w:iCs/>
                      </w:rPr>
                      <m:t>45</m:t>
                    </m:r>
                    <m:sSup>
                      <m:sSupPr>
                        <m:ctrlPr>
                          <w:rPr>
                            <w:rFonts w:ascii="Cambria Math" w:hAnsi="Cambria Math"/>
                            <w:i/>
                            <w:iCs/>
                          </w:rPr>
                        </m:ctrlPr>
                      </m:sSupPr>
                      <m:e>
                        <m:r>
                          <m:rPr>
                            <m:nor/>
                          </m:rPr>
                          <w:rPr>
                            <w:iCs/>
                          </w:rPr>
                          <m:t>]</m:t>
                        </m:r>
                      </m:e>
                      <m:sup>
                        <m:r>
                          <m:rPr>
                            <m:nor/>
                          </m:rPr>
                          <w:rPr>
                            <w:iCs/>
                          </w:rPr>
                          <m:t>2</m:t>
                        </m:r>
                      </m:sup>
                    </m:sSup>
                    <m:r>
                      <m:rPr>
                        <m:nor/>
                      </m:rPr>
                      <w:rPr>
                        <w:rFonts w:eastAsia="SimSun"/>
                      </w:rPr>
                      <m:t xml:space="preserve"> </m:t>
                    </m:r>
                  </m:den>
                </m:f>
                <m:r>
                  <w:rPr>
                    <w:rFonts w:ascii="Cambria Math" w:hAnsi="Cambria Math"/>
                  </w:rPr>
                  <m:t>-</m:t>
                </m:r>
                <m:f>
                  <m:fPr>
                    <m:ctrlPr>
                      <w:rPr>
                        <w:rFonts w:ascii="Cambria Math" w:hAnsi="Cambria Math"/>
                        <w:i/>
                      </w:rPr>
                    </m:ctrlPr>
                  </m:fPr>
                  <m:num>
                    <m:r>
                      <m:rPr>
                        <m:nor/>
                      </m:rPr>
                      <w:rPr>
                        <w:iCs/>
                      </w:rPr>
                      <m:t>1</m:t>
                    </m:r>
                  </m:num>
                  <m:den>
                    <m:r>
                      <m:rPr>
                        <m:nor/>
                      </m:rPr>
                      <w:rPr>
                        <w:iCs/>
                      </w:rPr>
                      <m:t>200</m:t>
                    </m:r>
                  </m:den>
                </m:f>
              </m:oMath>
            </m:oMathPara>
          </w:p>
        </w:tc>
        <w:tc>
          <w:tcPr>
            <w:tcW w:w="656" w:type="pct"/>
            <w:vAlign w:val="center"/>
          </w:tcPr>
          <w:p w14:paraId="7691ECEC" w14:textId="77777777" w:rsidR="00BB491C" w:rsidRPr="007E76B4" w:rsidRDefault="00BB491C" w:rsidP="00BB491C">
            <w:pPr>
              <w:pStyle w:val="Paragraph"/>
            </w:pPr>
            <w:r w:rsidRPr="007E76B4">
              <w:t>(5)</w:t>
            </w:r>
          </w:p>
        </w:tc>
      </w:tr>
    </w:tbl>
    <w:p w14:paraId="0F4DF5BC" w14:textId="339D084D" w:rsidR="00BB491C" w:rsidRPr="00D81278" w:rsidRDefault="00BB491C" w:rsidP="00151388">
      <w:pPr>
        <w:pStyle w:val="Paragraph"/>
        <w:numPr>
          <w:ilvl w:val="0"/>
          <w:numId w:val="4"/>
        </w:numPr>
        <w:spacing w:before="120"/>
        <w:ind w:left="284" w:hanging="284"/>
      </w:pPr>
      <w:r w:rsidRPr="00D81278">
        <w:t>Relative Density (</w:t>
      </w:r>
      <w:r w:rsidRPr="00D81278">
        <w:rPr>
          <w:i/>
          <w:iCs/>
        </w:rPr>
        <w:t>D</w:t>
      </w:r>
      <w:r w:rsidRPr="00D81278">
        <w:rPr>
          <w:i/>
          <w:iCs/>
          <w:vertAlign w:val="subscript"/>
        </w:rPr>
        <w:t>R</w:t>
      </w:r>
      <w:r w:rsidRPr="00D81278">
        <w:t>)</w:t>
      </w:r>
    </w:p>
    <w:p w14:paraId="3728D72B" w14:textId="09C676B0" w:rsidR="00BB491C" w:rsidRDefault="00BB491C" w:rsidP="007E76B4">
      <w:pPr>
        <w:pStyle w:val="Paragraph"/>
      </w:pPr>
      <w:r w:rsidRPr="00D81278">
        <w:t xml:space="preserve">The </w:t>
      </w:r>
      <w:r>
        <w:t xml:space="preserve">calculation of the relative density </w:t>
      </w:r>
      <w:r w:rsidRPr="00D81278">
        <w:t xml:space="preserve">was implemented </w:t>
      </w:r>
      <w:r>
        <w:t xml:space="preserve">by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rsidRPr="00E21102">
        <w:t>Skempton (1986)</w:t>
      </w:r>
      <w:r w:rsidRPr="00E21102">
        <w:fldChar w:fldCharType="end"/>
      </w:r>
      <w:r w:rsidRPr="00D81278">
        <w:t xml:space="preserve"> metho</w:t>
      </w:r>
      <w:r>
        <w:t>d.</w:t>
      </w:r>
    </w:p>
    <w:p w14:paraId="5AAE36F9" w14:textId="2C33EDA7" w:rsidR="007E76B4" w:rsidRDefault="00BF02A4" w:rsidP="00BF02A4">
      <w:pPr>
        <w:pStyle w:val="Heading2"/>
      </w:pPr>
      <w:r>
        <w:t>Evaluation of Liquefaction Potential Index</w:t>
      </w:r>
      <w:r w:rsidR="007E76B4">
        <w:t xml:space="preserve"> (LPI)</w:t>
      </w:r>
    </w:p>
    <w:p w14:paraId="3A87533E" w14:textId="46F78989" w:rsidR="007E76B4" w:rsidRDefault="007E76B4" w:rsidP="007E76B4">
      <w:pPr>
        <w:pStyle w:val="Paragraph"/>
      </w:pPr>
      <w:r w:rsidRPr="00D81278">
        <w:t>The liquefaction</w:t>
      </w:r>
      <w:r>
        <w:t xml:space="preserve"> p</w:t>
      </w:r>
      <w:r w:rsidRPr="00D81278">
        <w:t xml:space="preserve">otential </w:t>
      </w:r>
      <w:r>
        <w:t>i</w:t>
      </w:r>
      <w:r w:rsidRPr="00D81278">
        <w:t>ndex is a method developed by</w:t>
      </w:r>
      <w:r>
        <w:t xml:space="preserve">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Iwasaki et al.,</w:t>
      </w:r>
      <w:r w:rsidRPr="00E21102">
        <w:t xml:space="preserve"> 198</w:t>
      </w:r>
      <w:r>
        <w:t>4</w:t>
      </w:r>
      <w:r w:rsidRPr="00E21102">
        <w:t>)</w:t>
      </w:r>
      <w:r w:rsidRPr="00E21102">
        <w:fldChar w:fldCharType="end"/>
      </w:r>
      <w:r w:rsidRPr="00D81278">
        <w:t xml:space="preserve"> to determine the level of potential damage due to liquefaction. This is on the assumption that the depth of the soil which in case of liquefaction has the potential to cause observable manifestations from the soil surface that is up to a depth of 20 m. Furthermore, the analysis with this method can be carried out in conjunction with a simplified liquefaction analysis procedure. </w:t>
      </w:r>
      <w:bookmarkStart w:id="3" w:name="_Toc63727610"/>
      <w:r>
        <w:t>T</w:t>
      </w:r>
      <w:r w:rsidRPr="00D81278">
        <w:t xml:space="preserve">he classification of </w:t>
      </w:r>
      <w:r w:rsidRPr="00D26E85">
        <w:t xml:space="preserve">LPI </w:t>
      </w:r>
      <w:r w:rsidRPr="00D81278">
        <w:t xml:space="preserve">values </w:t>
      </w:r>
      <w:r w:rsidR="00CF6C90">
        <w:t xml:space="preserve">is </w:t>
      </w:r>
      <w:r w:rsidRPr="00D81278">
        <w:t xml:space="preserve">shown in Table </w:t>
      </w:r>
      <w:r>
        <w:t>4</w:t>
      </w:r>
      <w:r w:rsidRPr="00D81278">
        <w:t>.</w:t>
      </w:r>
    </w:p>
    <w:p w14:paraId="14CE62A8" w14:textId="77777777" w:rsidR="007E76B4" w:rsidRPr="00D81278" w:rsidRDefault="007E76B4" w:rsidP="007E76B4">
      <w:pPr>
        <w:pStyle w:val="Paragraph"/>
      </w:pPr>
      <w:r w:rsidRPr="00D81278">
        <w:t>The LPI formula was proposed by (Iwasaki et al., 1984) in Equation (6)</w:t>
      </w:r>
      <w:r>
        <w:t>.</w:t>
      </w: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254"/>
      </w:tblGrid>
      <w:tr w:rsidR="007E76B4" w:rsidRPr="007E76B4" w14:paraId="67B9DD5C" w14:textId="77777777" w:rsidTr="00786C75">
        <w:trPr>
          <w:trHeight w:val="685"/>
        </w:trPr>
        <w:tc>
          <w:tcPr>
            <w:tcW w:w="4325" w:type="pct"/>
            <w:vAlign w:val="center"/>
          </w:tcPr>
          <w:p w14:paraId="4CAB74BD" w14:textId="77777777" w:rsidR="007E76B4" w:rsidRPr="007E76B4" w:rsidRDefault="007E76B4" w:rsidP="007E76B4">
            <w:pPr>
              <w:pStyle w:val="Paragraph"/>
            </w:pPr>
            <m:oMathPara>
              <m:oMathParaPr>
                <m:jc m:val="center"/>
              </m:oMathParaPr>
              <m:oMath>
                <m:r>
                  <m:rPr>
                    <m:nor/>
                  </m:rPr>
                  <w:rPr>
                    <w:iCs/>
                  </w:rPr>
                  <m:t>LPI</m:t>
                </m:r>
                <m:r>
                  <m:rPr>
                    <m:nor/>
                  </m:rPr>
                  <m:t xml:space="preserve"> =</m:t>
                </m:r>
                <m:nary>
                  <m:naryPr>
                    <m:limLoc m:val="subSup"/>
                    <m:ctrlPr>
                      <w:rPr>
                        <w:rFonts w:ascii="Cambria Math" w:hAnsi="Cambria Math"/>
                        <w:i/>
                        <w:iCs/>
                      </w:rPr>
                    </m:ctrlPr>
                  </m:naryPr>
                  <m:sub>
                    <m:r>
                      <m:rPr>
                        <m:nor/>
                      </m:rPr>
                      <w:rPr>
                        <w:i/>
                        <w:iCs/>
                      </w:rPr>
                      <m:t>0</m:t>
                    </m:r>
                  </m:sub>
                  <m:sup>
                    <m:r>
                      <m:rPr>
                        <m:nor/>
                      </m:rPr>
                      <w:rPr>
                        <w:i/>
                        <w:iCs/>
                      </w:rPr>
                      <m:t>20</m:t>
                    </m:r>
                  </m:sup>
                  <m:e>
                    <m:r>
                      <m:rPr>
                        <m:nor/>
                      </m:rPr>
                      <w:rPr>
                        <w:i/>
                        <w:iCs/>
                      </w:rPr>
                      <m:t xml:space="preserve">F . w(z) . dz </m:t>
                    </m:r>
                  </m:e>
                </m:nary>
              </m:oMath>
            </m:oMathPara>
          </w:p>
        </w:tc>
        <w:tc>
          <w:tcPr>
            <w:tcW w:w="675" w:type="pct"/>
            <w:vAlign w:val="center"/>
          </w:tcPr>
          <w:p w14:paraId="68AA48DB" w14:textId="77777777" w:rsidR="007E76B4" w:rsidRPr="007E76B4" w:rsidRDefault="007E76B4" w:rsidP="007E76B4">
            <w:pPr>
              <w:pStyle w:val="Paragraph"/>
              <w:ind w:firstLine="0"/>
              <w:jc w:val="center"/>
            </w:pPr>
            <w:r w:rsidRPr="007E76B4">
              <w:t>(6)</w:t>
            </w:r>
          </w:p>
        </w:tc>
      </w:tr>
    </w:tbl>
    <w:p w14:paraId="606E1086" w14:textId="6AD89B9D" w:rsidR="007E76B4" w:rsidRPr="00D81278" w:rsidRDefault="007E76B4" w:rsidP="007E76B4">
      <w:pPr>
        <w:pStyle w:val="Paragraph"/>
        <w:ind w:firstLine="0"/>
      </w:pPr>
      <w:proofErr w:type="gramStart"/>
      <w:r w:rsidRPr="00D81278">
        <w:t>where</w:t>
      </w:r>
      <w:proofErr w:type="gramEnd"/>
      <w:r w:rsidRPr="00D81278">
        <w:t>,</w:t>
      </w:r>
    </w:p>
    <w:p w14:paraId="797CD96A" w14:textId="77777777" w:rsidR="007E76B4" w:rsidRPr="00D81278" w:rsidRDefault="007E76B4" w:rsidP="007E76B4">
      <w:pPr>
        <w:pStyle w:val="Paragraph"/>
        <w:ind w:firstLine="0"/>
        <w:rPr>
          <w:i/>
          <w:iCs/>
        </w:rPr>
      </w:pPr>
      <w:r w:rsidRPr="007E76B4">
        <w:rPr>
          <w:color w:val="000000"/>
        </w:rPr>
        <w:t>LPI</w:t>
      </w:r>
      <w:r w:rsidRPr="00D81278">
        <w:tab/>
        <w:t xml:space="preserve">= </w:t>
      </w:r>
      <w:r w:rsidRPr="00D81278">
        <w:rPr>
          <w:i/>
          <w:iCs/>
        </w:rPr>
        <w:t>Liquefaction Potential Index</w:t>
      </w:r>
    </w:p>
    <w:p w14:paraId="45ADB78F" w14:textId="77777777" w:rsidR="007E76B4" w:rsidRPr="00D81278" w:rsidRDefault="007E76B4" w:rsidP="007E76B4">
      <w:pPr>
        <w:pStyle w:val="Paragraph"/>
        <w:ind w:left="709" w:hanging="709"/>
      </w:pPr>
      <w:r w:rsidRPr="00D81278">
        <w:rPr>
          <w:i/>
        </w:rPr>
        <w:t>F</w:t>
      </w:r>
      <w:r w:rsidRPr="00D81278">
        <w:rPr>
          <w:i/>
        </w:rPr>
        <w:tab/>
      </w:r>
      <w:r w:rsidRPr="00D81278">
        <w:t xml:space="preserve">= The damage level of a layer in the liquefaction analysis is determined by </w:t>
      </w:r>
      <w:r>
        <w:t>equations</w:t>
      </w:r>
      <w:r w:rsidRPr="00D81278">
        <w:t xml:space="preserve">: </w:t>
      </w:r>
      <w:r w:rsidRPr="00D81278">
        <w:rPr>
          <w:i/>
          <w:iCs/>
        </w:rPr>
        <w:t xml:space="preserve">F </w:t>
      </w:r>
      <w:r w:rsidRPr="00D81278">
        <w:t xml:space="preserve">= (1 – </w:t>
      </w:r>
      <w:r w:rsidRPr="00D81278">
        <w:rPr>
          <w:i/>
          <w:iCs/>
        </w:rPr>
        <w:t>SF</w:t>
      </w:r>
      <w:r w:rsidRPr="00D81278">
        <w:t xml:space="preserve">) to </w:t>
      </w:r>
      <w:r w:rsidRPr="00D81278">
        <w:rPr>
          <w:i/>
          <w:iCs/>
        </w:rPr>
        <w:t xml:space="preserve">SF </w:t>
      </w:r>
      <w:r w:rsidRPr="00D81278">
        <w:t xml:space="preserve">&lt; 1, </w:t>
      </w:r>
      <w:r w:rsidRPr="00D81278">
        <w:rPr>
          <w:i/>
          <w:iCs/>
        </w:rPr>
        <w:t xml:space="preserve">F </w:t>
      </w:r>
      <w:r w:rsidRPr="00D81278">
        <w:t xml:space="preserve">= 0 to </w:t>
      </w:r>
      <w:r w:rsidRPr="00D81278">
        <w:rPr>
          <w:i/>
          <w:iCs/>
        </w:rPr>
        <w:t xml:space="preserve">SF </w:t>
      </w:r>
      <w:r w:rsidRPr="00D81278">
        <w:t>&gt; 1</w:t>
      </w:r>
    </w:p>
    <w:p w14:paraId="3467D320" w14:textId="77777777" w:rsidR="007E76B4" w:rsidRPr="00D81278" w:rsidRDefault="007E76B4" w:rsidP="007E76B4">
      <w:pPr>
        <w:pStyle w:val="Paragraph"/>
        <w:ind w:firstLine="0"/>
      </w:pPr>
      <w:r w:rsidRPr="00D81278">
        <w:rPr>
          <w:i/>
        </w:rPr>
        <w:t>w</w:t>
      </w:r>
      <w:r w:rsidRPr="00D81278">
        <w:tab/>
        <w:t xml:space="preserve">= </w:t>
      </w:r>
      <w:r>
        <w:t>D</w:t>
      </w:r>
      <w:r w:rsidRPr="00D81278">
        <w:t xml:space="preserve">epth weight factor, </w:t>
      </w:r>
      <w:r w:rsidRPr="00D81278">
        <w:rPr>
          <w:i/>
          <w:iCs/>
        </w:rPr>
        <w:t xml:space="preserve">w </w:t>
      </w:r>
      <w:r w:rsidRPr="00D81278">
        <w:t>= 10 – 0.5</w:t>
      </w:r>
      <w:r w:rsidRPr="00D81278">
        <w:rPr>
          <w:i/>
          <w:iCs/>
        </w:rPr>
        <w:t>z</w:t>
      </w:r>
    </w:p>
    <w:p w14:paraId="3FB1932D" w14:textId="4810EAD7" w:rsidR="007E76B4" w:rsidRPr="00D81278" w:rsidRDefault="007E76B4" w:rsidP="007E76B4">
      <w:pPr>
        <w:pStyle w:val="Paragraph"/>
        <w:ind w:firstLine="0"/>
      </w:pPr>
      <w:r w:rsidRPr="00D81278">
        <w:rPr>
          <w:i/>
        </w:rPr>
        <w:t>z</w:t>
      </w:r>
      <w:r w:rsidRPr="00D81278">
        <w:tab/>
        <w:t>= Depth analysis, maximum up to 20 meters</w:t>
      </w:r>
    </w:p>
    <w:p w14:paraId="7843FD99" w14:textId="5CFF4542" w:rsidR="007E76B4" w:rsidRPr="00D81278" w:rsidRDefault="007E76B4" w:rsidP="007E76B4">
      <w:pPr>
        <w:pStyle w:val="TableCaption"/>
      </w:pPr>
      <w:r w:rsidRPr="00D81278">
        <w:rPr>
          <w:b/>
          <w:bCs/>
        </w:rPr>
        <w:t xml:space="preserve">Table </w:t>
      </w:r>
      <w:r>
        <w:rPr>
          <w:b/>
          <w:bCs/>
        </w:rPr>
        <w:t>4</w:t>
      </w:r>
      <w:r w:rsidRPr="00D81278">
        <w:t xml:space="preserve">. </w:t>
      </w:r>
      <w:bookmarkEnd w:id="3"/>
      <w:r w:rsidRPr="00D81278">
        <w:t>Category of liquefaction potential based on LPI value</w:t>
      </w:r>
    </w:p>
    <w:tbl>
      <w:tblPr>
        <w:tblStyle w:val="TableGrid"/>
        <w:tblW w:w="310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7"/>
        <w:gridCol w:w="1558"/>
        <w:gridCol w:w="1280"/>
      </w:tblGrid>
      <w:tr w:rsidR="007E76B4" w:rsidRPr="007E76B4" w14:paraId="14FE91A6" w14:textId="77777777" w:rsidTr="007E76B4">
        <w:trPr>
          <w:trHeight w:val="346"/>
          <w:jc w:val="center"/>
        </w:trPr>
        <w:tc>
          <w:tcPr>
            <w:tcW w:w="1220" w:type="pct"/>
            <w:tcBorders>
              <w:top w:val="single" w:sz="4" w:space="0" w:color="auto"/>
              <w:bottom w:val="single" w:sz="4" w:space="0" w:color="auto"/>
            </w:tcBorders>
            <w:vAlign w:val="center"/>
          </w:tcPr>
          <w:p w14:paraId="6364D2D0" w14:textId="77777777" w:rsidR="007E76B4" w:rsidRPr="007E76B4" w:rsidRDefault="007E76B4" w:rsidP="00786C75">
            <w:pPr>
              <w:pStyle w:val="NoSpacing"/>
              <w:jc w:val="center"/>
              <w:rPr>
                <w:rFonts w:ascii="Times New Roman" w:hAnsi="Times New Roman" w:cs="Times New Roman"/>
                <w:b/>
                <w:sz w:val="18"/>
                <w:szCs w:val="18"/>
              </w:rPr>
            </w:pPr>
            <w:r w:rsidRPr="007E76B4">
              <w:rPr>
                <w:rFonts w:ascii="Times New Roman" w:hAnsi="Times New Roman" w:cs="Times New Roman"/>
                <w:b/>
                <w:sz w:val="18"/>
                <w:szCs w:val="18"/>
              </w:rPr>
              <w:t xml:space="preserve"> </w:t>
            </w:r>
            <w:r w:rsidRPr="007E76B4">
              <w:rPr>
                <w:rFonts w:ascii="Times New Roman" w:hAnsi="Times New Roman" w:cs="Times New Roman"/>
                <w:b/>
                <w:i/>
                <w:sz w:val="18"/>
                <w:szCs w:val="18"/>
              </w:rPr>
              <w:t xml:space="preserve">LPI </w:t>
            </w:r>
            <w:r w:rsidRPr="007E76B4">
              <w:rPr>
                <w:rFonts w:ascii="Times New Roman" w:hAnsi="Times New Roman" w:cs="Times New Roman"/>
                <w:b/>
                <w:iCs/>
                <w:sz w:val="18"/>
                <w:szCs w:val="18"/>
              </w:rPr>
              <w:t>Value</w:t>
            </w:r>
          </w:p>
        </w:tc>
        <w:tc>
          <w:tcPr>
            <w:tcW w:w="1339" w:type="pct"/>
            <w:tcBorders>
              <w:top w:val="single" w:sz="4" w:space="0" w:color="auto"/>
              <w:bottom w:val="single" w:sz="4" w:space="0" w:color="auto"/>
            </w:tcBorders>
            <w:vAlign w:val="center"/>
          </w:tcPr>
          <w:p w14:paraId="2DF855B2" w14:textId="77777777" w:rsidR="007E76B4" w:rsidRPr="007E76B4" w:rsidRDefault="007E76B4" w:rsidP="00786C75">
            <w:pPr>
              <w:pStyle w:val="NoSpacing"/>
              <w:jc w:val="center"/>
              <w:rPr>
                <w:rFonts w:ascii="Times New Roman" w:hAnsi="Times New Roman" w:cs="Times New Roman"/>
                <w:b/>
                <w:bCs/>
                <w:sz w:val="18"/>
                <w:szCs w:val="18"/>
              </w:rPr>
            </w:pPr>
            <w:r w:rsidRPr="007E76B4">
              <w:rPr>
                <w:rFonts w:ascii="Times New Roman" w:hAnsi="Times New Roman" w:cs="Times New Roman"/>
                <w:b/>
                <w:bCs/>
                <w:sz w:val="18"/>
                <w:szCs w:val="18"/>
              </w:rPr>
              <w:fldChar w:fldCharType="begin"/>
            </w:r>
            <w:r w:rsidRPr="007E76B4">
              <w:rPr>
                <w:rFonts w:ascii="Times New Roman" w:hAnsi="Times New Roman" w:cs="Times New Roman"/>
                <w:b/>
                <w:bCs/>
                <w:sz w:val="18"/>
                <w:szCs w:val="18"/>
              </w:rPr>
              <w:instrText>ADDIN CSL_CITATION {"citationItems":[{"id":"ITEM-1","itemData":{"author":[{"dropping-particle":"","family":"Iwasaki","given":"Toshio","non-dropping-particle":"","parse-names":false,"suffix":""},{"dropping-particle":"","family":"Arakawa","given":"Tadashi","non-dropping-particle":"","parse-names":false,"suffix":""},{"dropping-particle":"","family":"Tokida","given":"Ken-ichi","non-dropping-particle":"","parse-names":false,"suffix":""}],"id":"ITEM-1","issue":"1","issued":{"date-parts":[["1984"]]},"page":"49-58","title":"Simplified Procedures for Assessing Soil Liquefaction during Earthquakes","type":"article-journal","volume":"3"},"uris":["http://www.mendeley.com/documents/?uuid=03694b59-f7d6-4c89-b463-d0bfd8a77b80"]}],"mendeley":{"formattedCitation":"(Iwasaki et al., 1984)","manualFormatting":"Iwasaki dkk., (1984)","plainTextFormattedCitation":"(Iwasaki et al., 1984)","previouslyFormattedCitation":"(Iwasaki et al., 1984)"},"properties":{"noteIndex":0},"schema":"https://github.com/citation-style-language/schema/raw/master/csl-citation.json"}</w:instrText>
            </w:r>
            <w:r w:rsidRPr="007E76B4">
              <w:rPr>
                <w:rFonts w:ascii="Times New Roman" w:hAnsi="Times New Roman" w:cs="Times New Roman"/>
                <w:b/>
                <w:bCs/>
                <w:sz w:val="18"/>
                <w:szCs w:val="18"/>
              </w:rPr>
              <w:fldChar w:fldCharType="separate"/>
            </w:r>
            <w:r w:rsidRPr="007E76B4">
              <w:rPr>
                <w:rFonts w:ascii="Times New Roman" w:hAnsi="Times New Roman" w:cs="Times New Roman"/>
                <w:b/>
                <w:bCs/>
                <w:sz w:val="18"/>
                <w:szCs w:val="18"/>
              </w:rPr>
              <w:t>Iwasaki et al., (1984)</w:t>
            </w:r>
            <w:r w:rsidRPr="007E76B4">
              <w:rPr>
                <w:rFonts w:ascii="Times New Roman" w:hAnsi="Times New Roman" w:cs="Times New Roman"/>
                <w:b/>
                <w:bCs/>
                <w:sz w:val="18"/>
                <w:szCs w:val="18"/>
              </w:rPr>
              <w:fldChar w:fldCharType="end"/>
            </w:r>
          </w:p>
        </w:tc>
        <w:tc>
          <w:tcPr>
            <w:tcW w:w="1340" w:type="pct"/>
            <w:tcBorders>
              <w:top w:val="single" w:sz="4" w:space="0" w:color="auto"/>
              <w:bottom w:val="single" w:sz="4" w:space="0" w:color="auto"/>
            </w:tcBorders>
            <w:vAlign w:val="center"/>
          </w:tcPr>
          <w:p w14:paraId="2AFC693A" w14:textId="77777777" w:rsidR="007E76B4" w:rsidRPr="007E76B4" w:rsidRDefault="007E76B4" w:rsidP="00786C75">
            <w:pPr>
              <w:pStyle w:val="NoSpacing"/>
              <w:jc w:val="center"/>
              <w:rPr>
                <w:rFonts w:ascii="Times New Roman" w:hAnsi="Times New Roman" w:cs="Times New Roman"/>
                <w:b/>
                <w:sz w:val="18"/>
                <w:szCs w:val="18"/>
              </w:rPr>
            </w:pPr>
            <w:r w:rsidRPr="007E76B4">
              <w:rPr>
                <w:rFonts w:ascii="Times New Roman" w:hAnsi="Times New Roman" w:cs="Times New Roman"/>
                <w:b/>
                <w:sz w:val="18"/>
                <w:szCs w:val="18"/>
              </w:rPr>
              <w:fldChar w:fldCharType="begin"/>
            </w:r>
            <w:r w:rsidRPr="007E76B4">
              <w:rPr>
                <w:rFonts w:ascii="Times New Roman" w:hAnsi="Times New Roman" w:cs="Times New Roman"/>
                <w:b/>
                <w:sz w:val="18"/>
                <w:szCs w:val="18"/>
              </w:rPr>
              <w:instrText>ADDIN CSL_CITATION {"citationItems":[{"id":"ITEM-1","itemData":{"author":[{"dropping-particle":"","family":"Luna","given":"Ronaldo","non-dropping-particle":"","parse-names":false,"suffix":""},{"dropping-particle":"","family":"Frost","given":"J David","non-dropping-particle":"","parse-names":false,"suffix":""}],"container-title":"Journal Comput. Civil Engineering","id":"ITEM-1","issued":{"date-parts":[["1998"]]},"page":"48 - 56","title":"Spatial liquefaction analysis system","type":"article-journal","volume":"12"},"uris":["http://www.mendeley.com/documents/?uuid=e440b71f-c242-4b30-9904-35d3688645a2"]}],"mendeley":{"formattedCitation":"(Luna &amp; Frost, 1998)","plainTextFormattedCitation":"(Luna &amp; Frost, 1998)","previouslyFormattedCitation":"(Luna &amp; Frost, 1998)"},"properties":{"noteIndex":0},"schema":"https://github.com/citation-style-language/schema/raw/master/csl-citation.json"}</w:instrText>
            </w:r>
            <w:r w:rsidRPr="007E76B4">
              <w:rPr>
                <w:rFonts w:ascii="Times New Roman" w:hAnsi="Times New Roman" w:cs="Times New Roman"/>
                <w:b/>
                <w:sz w:val="18"/>
                <w:szCs w:val="18"/>
              </w:rPr>
              <w:fldChar w:fldCharType="separate"/>
            </w:r>
            <w:r w:rsidRPr="007E76B4">
              <w:rPr>
                <w:rFonts w:ascii="Times New Roman" w:hAnsi="Times New Roman" w:cs="Times New Roman"/>
                <w:b/>
                <w:sz w:val="18"/>
                <w:szCs w:val="18"/>
              </w:rPr>
              <w:t>(Luna &amp; Frost, 1998)</w:t>
            </w:r>
            <w:r w:rsidRPr="007E76B4">
              <w:rPr>
                <w:rFonts w:ascii="Times New Roman" w:hAnsi="Times New Roman" w:cs="Times New Roman"/>
                <w:b/>
                <w:sz w:val="18"/>
                <w:szCs w:val="18"/>
              </w:rPr>
              <w:fldChar w:fldCharType="end"/>
            </w:r>
          </w:p>
        </w:tc>
        <w:tc>
          <w:tcPr>
            <w:tcW w:w="1101" w:type="pct"/>
            <w:tcBorders>
              <w:top w:val="single" w:sz="4" w:space="0" w:color="auto"/>
              <w:bottom w:val="single" w:sz="4" w:space="0" w:color="auto"/>
            </w:tcBorders>
            <w:vAlign w:val="center"/>
          </w:tcPr>
          <w:p w14:paraId="305DAE90" w14:textId="77777777" w:rsidR="007E76B4" w:rsidRPr="007E76B4" w:rsidRDefault="007E76B4" w:rsidP="00786C75">
            <w:pPr>
              <w:pStyle w:val="NoSpacing"/>
              <w:jc w:val="center"/>
              <w:rPr>
                <w:rFonts w:ascii="Times New Roman" w:hAnsi="Times New Roman" w:cs="Times New Roman"/>
                <w:b/>
                <w:sz w:val="18"/>
                <w:szCs w:val="18"/>
              </w:rPr>
            </w:pPr>
            <w:r w:rsidRPr="007E76B4">
              <w:rPr>
                <w:rFonts w:ascii="Times New Roman" w:hAnsi="Times New Roman" w:cs="Times New Roman"/>
                <w:b/>
                <w:sz w:val="18"/>
                <w:szCs w:val="18"/>
              </w:rPr>
              <w:t>MERM (2003)</w:t>
            </w:r>
          </w:p>
        </w:tc>
      </w:tr>
      <w:tr w:rsidR="007E76B4" w:rsidRPr="007E76B4" w14:paraId="6C7E0338" w14:textId="77777777" w:rsidTr="007E76B4">
        <w:trPr>
          <w:trHeight w:val="346"/>
          <w:jc w:val="center"/>
        </w:trPr>
        <w:tc>
          <w:tcPr>
            <w:tcW w:w="1220" w:type="pct"/>
            <w:tcBorders>
              <w:top w:val="single" w:sz="4" w:space="0" w:color="auto"/>
            </w:tcBorders>
            <w:vAlign w:val="center"/>
          </w:tcPr>
          <w:p w14:paraId="05263DCA"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i/>
                <w:sz w:val="18"/>
                <w:szCs w:val="18"/>
              </w:rPr>
              <w:t>LPI</w:t>
            </w:r>
            <w:r w:rsidRPr="007E76B4">
              <w:rPr>
                <w:rFonts w:ascii="Times New Roman" w:hAnsi="Times New Roman" w:cs="Times New Roman"/>
                <w:sz w:val="18"/>
                <w:szCs w:val="18"/>
              </w:rPr>
              <w:t xml:space="preserve"> = 0</w:t>
            </w:r>
          </w:p>
        </w:tc>
        <w:tc>
          <w:tcPr>
            <w:tcW w:w="1339" w:type="pct"/>
            <w:tcBorders>
              <w:top w:val="single" w:sz="4" w:space="0" w:color="auto"/>
            </w:tcBorders>
            <w:vAlign w:val="center"/>
          </w:tcPr>
          <w:p w14:paraId="271D0F81"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Very low</w:t>
            </w:r>
          </w:p>
        </w:tc>
        <w:tc>
          <w:tcPr>
            <w:tcW w:w="1340" w:type="pct"/>
            <w:tcBorders>
              <w:top w:val="single" w:sz="4" w:space="0" w:color="auto"/>
            </w:tcBorders>
            <w:vAlign w:val="center"/>
          </w:tcPr>
          <w:p w14:paraId="20E88648"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Little to none</w:t>
            </w:r>
          </w:p>
        </w:tc>
        <w:tc>
          <w:tcPr>
            <w:tcW w:w="1101" w:type="pct"/>
            <w:tcBorders>
              <w:top w:val="single" w:sz="4" w:space="0" w:color="auto"/>
            </w:tcBorders>
            <w:vAlign w:val="center"/>
          </w:tcPr>
          <w:p w14:paraId="13743766"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None</w:t>
            </w:r>
          </w:p>
        </w:tc>
      </w:tr>
      <w:tr w:rsidR="007E76B4" w:rsidRPr="007E76B4" w14:paraId="3B1B63B9" w14:textId="77777777" w:rsidTr="007E76B4">
        <w:trPr>
          <w:trHeight w:val="346"/>
          <w:jc w:val="center"/>
        </w:trPr>
        <w:tc>
          <w:tcPr>
            <w:tcW w:w="1220" w:type="pct"/>
            <w:vAlign w:val="center"/>
          </w:tcPr>
          <w:p w14:paraId="394E59E7"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 xml:space="preserve">0 &lt; </w:t>
            </w:r>
            <w:r w:rsidRPr="007E76B4">
              <w:rPr>
                <w:rFonts w:ascii="Times New Roman" w:hAnsi="Times New Roman" w:cs="Times New Roman"/>
                <w:i/>
                <w:sz w:val="18"/>
                <w:szCs w:val="18"/>
              </w:rPr>
              <w:t>LPI</w:t>
            </w:r>
            <w:r w:rsidRPr="007E76B4">
              <w:rPr>
                <w:rFonts w:ascii="Times New Roman" w:hAnsi="Times New Roman" w:cs="Times New Roman"/>
                <w:sz w:val="18"/>
                <w:szCs w:val="18"/>
              </w:rPr>
              <w:t xml:space="preserve"> </w:t>
            </w:r>
            <w:r w:rsidRPr="007E76B4">
              <w:rPr>
                <w:rFonts w:ascii="Times New Roman" w:hAnsi="Times New Roman" w:cs="Times New Roman"/>
                <w:sz w:val="18"/>
                <w:szCs w:val="18"/>
                <w:u w:val="single"/>
              </w:rPr>
              <w:t>&lt;</w:t>
            </w:r>
            <w:r w:rsidRPr="007E76B4">
              <w:rPr>
                <w:rFonts w:ascii="Times New Roman" w:hAnsi="Times New Roman" w:cs="Times New Roman"/>
                <w:sz w:val="18"/>
                <w:szCs w:val="18"/>
              </w:rPr>
              <w:t xml:space="preserve"> 5</w:t>
            </w:r>
          </w:p>
        </w:tc>
        <w:tc>
          <w:tcPr>
            <w:tcW w:w="1339" w:type="pct"/>
            <w:vAlign w:val="center"/>
          </w:tcPr>
          <w:p w14:paraId="0DDBD5C0"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Low</w:t>
            </w:r>
          </w:p>
        </w:tc>
        <w:tc>
          <w:tcPr>
            <w:tcW w:w="1340" w:type="pct"/>
            <w:vAlign w:val="center"/>
          </w:tcPr>
          <w:p w14:paraId="45A3F0A1"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Minor</w:t>
            </w:r>
          </w:p>
        </w:tc>
        <w:tc>
          <w:tcPr>
            <w:tcW w:w="1101" w:type="pct"/>
            <w:vAlign w:val="center"/>
          </w:tcPr>
          <w:p w14:paraId="3D532E13"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Low</w:t>
            </w:r>
          </w:p>
        </w:tc>
      </w:tr>
      <w:tr w:rsidR="007E76B4" w:rsidRPr="007E76B4" w14:paraId="330AD20B" w14:textId="77777777" w:rsidTr="007E76B4">
        <w:trPr>
          <w:trHeight w:val="346"/>
          <w:jc w:val="center"/>
        </w:trPr>
        <w:tc>
          <w:tcPr>
            <w:tcW w:w="1220" w:type="pct"/>
            <w:vAlign w:val="center"/>
          </w:tcPr>
          <w:p w14:paraId="24CD7B5D"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 xml:space="preserve">5 &lt; </w:t>
            </w:r>
            <w:r w:rsidRPr="007E76B4">
              <w:rPr>
                <w:rFonts w:ascii="Times New Roman" w:hAnsi="Times New Roman" w:cs="Times New Roman"/>
                <w:i/>
                <w:sz w:val="18"/>
                <w:szCs w:val="18"/>
              </w:rPr>
              <w:t xml:space="preserve">LPI </w:t>
            </w:r>
            <w:r w:rsidRPr="007E76B4">
              <w:rPr>
                <w:rFonts w:ascii="Times New Roman" w:hAnsi="Times New Roman" w:cs="Times New Roman"/>
                <w:i/>
                <w:sz w:val="18"/>
                <w:szCs w:val="18"/>
                <w:u w:val="single"/>
              </w:rPr>
              <w:t>&lt;</w:t>
            </w:r>
            <w:r w:rsidRPr="007E76B4">
              <w:rPr>
                <w:rFonts w:ascii="Times New Roman" w:hAnsi="Times New Roman" w:cs="Times New Roman"/>
                <w:sz w:val="18"/>
                <w:szCs w:val="18"/>
              </w:rPr>
              <w:t xml:space="preserve"> 15</w:t>
            </w:r>
          </w:p>
        </w:tc>
        <w:tc>
          <w:tcPr>
            <w:tcW w:w="1339" w:type="pct"/>
            <w:vAlign w:val="center"/>
          </w:tcPr>
          <w:p w14:paraId="7A025960"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High</w:t>
            </w:r>
          </w:p>
        </w:tc>
        <w:tc>
          <w:tcPr>
            <w:tcW w:w="1340" w:type="pct"/>
            <w:vAlign w:val="center"/>
          </w:tcPr>
          <w:p w14:paraId="472BB9BA"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Moderate</w:t>
            </w:r>
          </w:p>
        </w:tc>
        <w:tc>
          <w:tcPr>
            <w:tcW w:w="1101" w:type="pct"/>
            <w:vAlign w:val="center"/>
          </w:tcPr>
          <w:p w14:paraId="7380E62A"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Medium</w:t>
            </w:r>
          </w:p>
        </w:tc>
      </w:tr>
      <w:tr w:rsidR="007E76B4" w:rsidRPr="007E76B4" w14:paraId="5AC20F82" w14:textId="77777777" w:rsidTr="007E76B4">
        <w:trPr>
          <w:trHeight w:val="346"/>
          <w:jc w:val="center"/>
        </w:trPr>
        <w:tc>
          <w:tcPr>
            <w:tcW w:w="1220" w:type="pct"/>
            <w:vAlign w:val="center"/>
          </w:tcPr>
          <w:p w14:paraId="4128C258"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i/>
                <w:sz w:val="18"/>
                <w:szCs w:val="18"/>
              </w:rPr>
              <w:t>LPI</w:t>
            </w:r>
            <w:r w:rsidRPr="007E76B4">
              <w:rPr>
                <w:rFonts w:ascii="Times New Roman" w:hAnsi="Times New Roman" w:cs="Times New Roman"/>
                <w:sz w:val="18"/>
                <w:szCs w:val="18"/>
              </w:rPr>
              <w:t xml:space="preserve"> &gt; 15</w:t>
            </w:r>
          </w:p>
        </w:tc>
        <w:tc>
          <w:tcPr>
            <w:tcW w:w="1339" w:type="pct"/>
            <w:vAlign w:val="center"/>
          </w:tcPr>
          <w:p w14:paraId="53B47559"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Very high</w:t>
            </w:r>
          </w:p>
        </w:tc>
        <w:tc>
          <w:tcPr>
            <w:tcW w:w="1340" w:type="pct"/>
            <w:vAlign w:val="center"/>
          </w:tcPr>
          <w:p w14:paraId="4D06A6D5"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Major</w:t>
            </w:r>
          </w:p>
        </w:tc>
        <w:tc>
          <w:tcPr>
            <w:tcW w:w="1101" w:type="pct"/>
            <w:vAlign w:val="center"/>
          </w:tcPr>
          <w:p w14:paraId="133B0882"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High</w:t>
            </w:r>
          </w:p>
        </w:tc>
      </w:tr>
    </w:tbl>
    <w:p w14:paraId="59F5F923" w14:textId="5FAB5838" w:rsidR="003641BB" w:rsidRDefault="00BF02A4" w:rsidP="00BF02A4">
      <w:pPr>
        <w:pStyle w:val="Heading2"/>
      </w:pPr>
      <w:r>
        <w:lastRenderedPageBreak/>
        <w:t>Evaluation of Liquefaction Severity Index (LSI)</w:t>
      </w:r>
    </w:p>
    <w:p w14:paraId="6748E927" w14:textId="35315436" w:rsidR="003641BB" w:rsidRPr="00D81278" w:rsidRDefault="003641BB" w:rsidP="003641BB">
      <w:pPr>
        <w:pStyle w:val="Paragraph"/>
      </w:pPr>
      <w:r w:rsidRPr="00D81278">
        <w:t xml:space="preserve">The liquefaction Severity Index is </w:t>
      </w:r>
      <w:r>
        <w:t>a</w:t>
      </w:r>
      <w:r w:rsidRPr="00D81278">
        <w:t xml:space="preserve"> method to estimate the damage level due to liquefaction. It is a development of the previous method proposed by </w:t>
      </w:r>
      <w:r>
        <w:t>(</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Iwasaki et al.,</w:t>
      </w:r>
      <w:r w:rsidRPr="00E21102">
        <w:t xml:space="preserve"> 198</w:t>
      </w:r>
      <w:r>
        <w:t>4</w:t>
      </w:r>
      <w:r w:rsidRPr="00E21102">
        <w:t>)</w:t>
      </w:r>
      <w:r w:rsidRPr="00E21102">
        <w:fldChar w:fldCharType="end"/>
      </w:r>
      <w:r>
        <w:t>.</w:t>
      </w:r>
      <w:r w:rsidR="00CF6C90">
        <w:t xml:space="preserve"> T</w:t>
      </w:r>
      <w:r w:rsidRPr="00D81278">
        <w:t xml:space="preserve">he damage level due to liquefaction using LSI is classified into six categories as listed in Table </w:t>
      </w:r>
      <w:r>
        <w:t>5</w:t>
      </w:r>
      <w:r w:rsidRPr="00D81278">
        <w:t xml:space="preserve"> below.</w:t>
      </w:r>
    </w:p>
    <w:p w14:paraId="73257B1F" w14:textId="1991D2D7" w:rsidR="003641BB" w:rsidRPr="00D81278" w:rsidRDefault="003641BB" w:rsidP="003641BB">
      <w:pPr>
        <w:pStyle w:val="TableCaption"/>
      </w:pPr>
      <w:r w:rsidRPr="00D81278">
        <w:rPr>
          <w:b/>
          <w:bCs/>
        </w:rPr>
        <w:t xml:space="preserve">Table </w:t>
      </w:r>
      <w:r>
        <w:rPr>
          <w:b/>
          <w:bCs/>
        </w:rPr>
        <w:t>5.</w:t>
      </w:r>
      <w:r w:rsidRPr="00D81278">
        <w:rPr>
          <w:b/>
          <w:bCs/>
        </w:rPr>
        <w:t xml:space="preserve"> </w:t>
      </w:r>
      <w:r w:rsidRPr="00D81278">
        <w:t>Categories of liquefaction potential based on LSI values</w:t>
      </w:r>
    </w:p>
    <w:tbl>
      <w:tblPr>
        <w:tblStyle w:val="TableGrid"/>
        <w:tblW w:w="315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067"/>
      </w:tblGrid>
      <w:tr w:rsidR="003641BB" w:rsidRPr="003641BB" w14:paraId="46368073" w14:textId="77777777" w:rsidTr="003641BB">
        <w:trPr>
          <w:trHeight w:val="283"/>
          <w:jc w:val="center"/>
        </w:trPr>
        <w:tc>
          <w:tcPr>
            <w:tcW w:w="2402" w:type="pct"/>
            <w:tcBorders>
              <w:top w:val="single" w:sz="4" w:space="0" w:color="auto"/>
              <w:bottom w:val="single" w:sz="4" w:space="0" w:color="auto"/>
            </w:tcBorders>
            <w:vAlign w:val="center"/>
          </w:tcPr>
          <w:p w14:paraId="7FF13B0F" w14:textId="77777777" w:rsidR="003641BB" w:rsidRPr="003641BB" w:rsidRDefault="003641BB" w:rsidP="00786C75">
            <w:pPr>
              <w:pStyle w:val="NoSpacing"/>
              <w:jc w:val="center"/>
              <w:rPr>
                <w:rFonts w:ascii="Times New Roman" w:hAnsi="Times New Roman" w:cs="Times New Roman"/>
                <w:b/>
                <w:sz w:val="18"/>
                <w:szCs w:val="18"/>
              </w:rPr>
            </w:pPr>
            <w:r w:rsidRPr="003641BB">
              <w:rPr>
                <w:rFonts w:ascii="Times New Roman" w:hAnsi="Times New Roman"/>
                <w:b/>
                <w:sz w:val="18"/>
                <w:szCs w:val="18"/>
              </w:rPr>
              <w:t>LSI value</w:t>
            </w:r>
          </w:p>
        </w:tc>
        <w:tc>
          <w:tcPr>
            <w:tcW w:w="2598" w:type="pct"/>
            <w:tcBorders>
              <w:top w:val="single" w:sz="4" w:space="0" w:color="auto"/>
              <w:bottom w:val="single" w:sz="4" w:space="0" w:color="auto"/>
            </w:tcBorders>
            <w:vAlign w:val="center"/>
          </w:tcPr>
          <w:p w14:paraId="6473B6BE" w14:textId="77777777" w:rsidR="003641BB" w:rsidRPr="003641BB" w:rsidRDefault="003641BB" w:rsidP="00786C75">
            <w:pPr>
              <w:pStyle w:val="NoSpacing"/>
              <w:jc w:val="center"/>
              <w:rPr>
                <w:rFonts w:ascii="Times New Roman" w:hAnsi="Times New Roman" w:cs="Times New Roman"/>
                <w:b/>
                <w:sz w:val="18"/>
                <w:szCs w:val="18"/>
              </w:rPr>
            </w:pPr>
            <w:r w:rsidRPr="003641BB">
              <w:rPr>
                <w:rFonts w:ascii="Times New Roman" w:hAnsi="Times New Roman" w:cs="Times New Roman"/>
                <w:b/>
                <w:sz w:val="18"/>
                <w:szCs w:val="18"/>
              </w:rPr>
              <w:t>Level</w:t>
            </w:r>
          </w:p>
        </w:tc>
      </w:tr>
      <w:tr w:rsidR="003641BB" w:rsidRPr="003641BB" w14:paraId="4D924217" w14:textId="77777777" w:rsidTr="003641BB">
        <w:trPr>
          <w:trHeight w:val="283"/>
          <w:jc w:val="center"/>
        </w:trPr>
        <w:tc>
          <w:tcPr>
            <w:tcW w:w="2402" w:type="pct"/>
            <w:tcBorders>
              <w:top w:val="single" w:sz="4" w:space="0" w:color="auto"/>
            </w:tcBorders>
            <w:vAlign w:val="center"/>
          </w:tcPr>
          <w:p w14:paraId="33EA850F"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85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100</w:t>
            </w:r>
          </w:p>
        </w:tc>
        <w:tc>
          <w:tcPr>
            <w:tcW w:w="2598" w:type="pct"/>
            <w:tcBorders>
              <w:top w:val="single" w:sz="4" w:space="0" w:color="auto"/>
            </w:tcBorders>
            <w:vAlign w:val="center"/>
          </w:tcPr>
          <w:p w14:paraId="46FF5CA7" w14:textId="77777777" w:rsidR="003641BB" w:rsidRPr="003641BB" w:rsidRDefault="003641BB" w:rsidP="00786C75">
            <w:pPr>
              <w:jc w:val="center"/>
              <w:rPr>
                <w:sz w:val="18"/>
                <w:szCs w:val="18"/>
              </w:rPr>
            </w:pPr>
            <w:r w:rsidRPr="003641BB">
              <w:rPr>
                <w:sz w:val="18"/>
                <w:szCs w:val="18"/>
              </w:rPr>
              <w:t>Very high</w:t>
            </w:r>
          </w:p>
        </w:tc>
      </w:tr>
      <w:tr w:rsidR="003641BB" w:rsidRPr="003641BB" w14:paraId="0284BE1C" w14:textId="77777777" w:rsidTr="003641BB">
        <w:trPr>
          <w:trHeight w:val="283"/>
          <w:jc w:val="center"/>
        </w:trPr>
        <w:tc>
          <w:tcPr>
            <w:tcW w:w="2402" w:type="pct"/>
            <w:vAlign w:val="center"/>
          </w:tcPr>
          <w:p w14:paraId="7EFE5ADF"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65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85</w:t>
            </w:r>
          </w:p>
        </w:tc>
        <w:tc>
          <w:tcPr>
            <w:tcW w:w="2598" w:type="pct"/>
            <w:vAlign w:val="center"/>
          </w:tcPr>
          <w:p w14:paraId="7EF11A23" w14:textId="77777777" w:rsidR="003641BB" w:rsidRPr="003641BB" w:rsidRDefault="003641BB" w:rsidP="00786C75">
            <w:pPr>
              <w:jc w:val="center"/>
              <w:rPr>
                <w:sz w:val="18"/>
                <w:szCs w:val="18"/>
              </w:rPr>
            </w:pPr>
            <w:r w:rsidRPr="003641BB">
              <w:rPr>
                <w:sz w:val="18"/>
                <w:szCs w:val="18"/>
              </w:rPr>
              <w:t>High</w:t>
            </w:r>
          </w:p>
        </w:tc>
      </w:tr>
      <w:tr w:rsidR="003641BB" w:rsidRPr="003641BB" w14:paraId="156AECC6" w14:textId="77777777" w:rsidTr="003641BB">
        <w:trPr>
          <w:trHeight w:val="283"/>
          <w:jc w:val="center"/>
        </w:trPr>
        <w:tc>
          <w:tcPr>
            <w:tcW w:w="2402" w:type="pct"/>
            <w:vAlign w:val="center"/>
          </w:tcPr>
          <w:p w14:paraId="397DE25B"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35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65</w:t>
            </w:r>
          </w:p>
        </w:tc>
        <w:tc>
          <w:tcPr>
            <w:tcW w:w="2598" w:type="pct"/>
            <w:vAlign w:val="center"/>
          </w:tcPr>
          <w:p w14:paraId="2D61A104" w14:textId="77777777" w:rsidR="003641BB" w:rsidRPr="003641BB" w:rsidRDefault="003641BB" w:rsidP="00786C75">
            <w:pPr>
              <w:jc w:val="center"/>
              <w:rPr>
                <w:sz w:val="18"/>
                <w:szCs w:val="18"/>
              </w:rPr>
            </w:pPr>
            <w:r w:rsidRPr="003641BB">
              <w:rPr>
                <w:sz w:val="18"/>
                <w:szCs w:val="18"/>
              </w:rPr>
              <w:t>Medium</w:t>
            </w:r>
          </w:p>
        </w:tc>
      </w:tr>
      <w:tr w:rsidR="003641BB" w:rsidRPr="003641BB" w14:paraId="43CCCB89" w14:textId="77777777" w:rsidTr="003641BB">
        <w:trPr>
          <w:trHeight w:val="283"/>
          <w:jc w:val="center"/>
        </w:trPr>
        <w:tc>
          <w:tcPr>
            <w:tcW w:w="2402" w:type="pct"/>
            <w:vAlign w:val="center"/>
          </w:tcPr>
          <w:p w14:paraId="420A24FF"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15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35</w:t>
            </w:r>
          </w:p>
        </w:tc>
        <w:tc>
          <w:tcPr>
            <w:tcW w:w="2598" w:type="pct"/>
            <w:vAlign w:val="center"/>
          </w:tcPr>
          <w:p w14:paraId="1A3A25E7" w14:textId="77777777" w:rsidR="003641BB" w:rsidRPr="003641BB" w:rsidRDefault="003641BB" w:rsidP="00786C75">
            <w:pPr>
              <w:jc w:val="center"/>
              <w:rPr>
                <w:sz w:val="18"/>
                <w:szCs w:val="18"/>
              </w:rPr>
            </w:pPr>
            <w:r w:rsidRPr="003641BB">
              <w:rPr>
                <w:sz w:val="18"/>
                <w:szCs w:val="18"/>
              </w:rPr>
              <w:t>Low</w:t>
            </w:r>
          </w:p>
        </w:tc>
      </w:tr>
      <w:tr w:rsidR="003641BB" w:rsidRPr="003641BB" w14:paraId="28A92850" w14:textId="77777777" w:rsidTr="003641BB">
        <w:trPr>
          <w:trHeight w:val="283"/>
          <w:jc w:val="center"/>
        </w:trPr>
        <w:tc>
          <w:tcPr>
            <w:tcW w:w="2402" w:type="pct"/>
            <w:vAlign w:val="center"/>
          </w:tcPr>
          <w:p w14:paraId="22A91E96"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0 &lt;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15</w:t>
            </w:r>
          </w:p>
        </w:tc>
        <w:tc>
          <w:tcPr>
            <w:tcW w:w="2598" w:type="pct"/>
            <w:vAlign w:val="center"/>
          </w:tcPr>
          <w:p w14:paraId="4D0735D6" w14:textId="77777777" w:rsidR="003641BB" w:rsidRPr="003641BB" w:rsidRDefault="003641BB" w:rsidP="00786C75">
            <w:pPr>
              <w:jc w:val="center"/>
              <w:rPr>
                <w:sz w:val="18"/>
                <w:szCs w:val="18"/>
              </w:rPr>
            </w:pPr>
            <w:r w:rsidRPr="003641BB">
              <w:rPr>
                <w:sz w:val="18"/>
                <w:szCs w:val="18"/>
              </w:rPr>
              <w:t>Very low</w:t>
            </w:r>
          </w:p>
        </w:tc>
      </w:tr>
      <w:tr w:rsidR="003641BB" w:rsidRPr="003641BB" w14:paraId="4B20A6F4" w14:textId="77777777" w:rsidTr="003641BB">
        <w:trPr>
          <w:trHeight w:val="283"/>
          <w:jc w:val="center"/>
        </w:trPr>
        <w:tc>
          <w:tcPr>
            <w:tcW w:w="2402" w:type="pct"/>
            <w:vAlign w:val="center"/>
          </w:tcPr>
          <w:p w14:paraId="7C7C492B"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 0</w:t>
            </w:r>
          </w:p>
        </w:tc>
        <w:tc>
          <w:tcPr>
            <w:tcW w:w="2598" w:type="pct"/>
            <w:vAlign w:val="center"/>
          </w:tcPr>
          <w:p w14:paraId="470FFB18" w14:textId="77777777" w:rsidR="003641BB" w:rsidRPr="003641BB" w:rsidRDefault="003641BB" w:rsidP="00786C75">
            <w:pPr>
              <w:jc w:val="center"/>
              <w:rPr>
                <w:sz w:val="18"/>
                <w:szCs w:val="18"/>
              </w:rPr>
            </w:pPr>
            <w:r w:rsidRPr="003641BB">
              <w:rPr>
                <w:sz w:val="18"/>
                <w:szCs w:val="18"/>
              </w:rPr>
              <w:t>Not liquefied</w:t>
            </w:r>
          </w:p>
        </w:tc>
      </w:tr>
    </w:tbl>
    <w:p w14:paraId="3EB1B34F" w14:textId="77777777" w:rsidR="003641BB" w:rsidRPr="003641BB" w:rsidRDefault="003641BB" w:rsidP="003641BB">
      <w:pPr>
        <w:pStyle w:val="NoSpacing"/>
        <w:jc w:val="center"/>
        <w:rPr>
          <w:rFonts w:ascii="Times New Roman" w:hAnsi="Times New Roman" w:cs="Times New Roman"/>
          <w:i/>
          <w:iCs/>
          <w:sz w:val="18"/>
          <w:szCs w:val="18"/>
        </w:rPr>
      </w:pPr>
      <w:r w:rsidRPr="003641BB">
        <w:rPr>
          <w:rFonts w:ascii="Times New Roman" w:hAnsi="Times New Roman"/>
          <w:i/>
          <w:iCs/>
          <w:sz w:val="18"/>
          <w:szCs w:val="18"/>
        </w:rPr>
        <w:t>Source</w:t>
      </w:r>
      <w:r w:rsidRPr="003641BB">
        <w:rPr>
          <w:rFonts w:ascii="Times New Roman" w:hAnsi="Times New Roman" w:cs="Times New Roman"/>
          <w:i/>
          <w:iCs/>
          <w:sz w:val="18"/>
          <w:szCs w:val="18"/>
        </w:rPr>
        <w:t xml:space="preserve">: </w:t>
      </w:r>
      <w:r w:rsidRPr="003641BB">
        <w:rPr>
          <w:rFonts w:ascii="Times New Roman" w:hAnsi="Times New Roman" w:cs="Times New Roman"/>
          <w:i/>
          <w:iCs/>
          <w:sz w:val="18"/>
          <w:szCs w:val="18"/>
        </w:rPr>
        <w:fldChar w:fldCharType="begin"/>
      </w:r>
      <w:r w:rsidRPr="003641BB">
        <w:rPr>
          <w:rFonts w:ascii="Times New Roman" w:hAnsi="Times New Roman" w:cs="Times New Roman"/>
          <w:i/>
          <w:iCs/>
          <w:sz w:val="18"/>
          <w:szCs w:val="18"/>
        </w:rPr>
        <w:instrText>ADDIN CSL_CITATION {"citationItems":[{"id":"ITEM-1","itemData":{"author":[{"dropping-particle":"","family":"Sonmez","given":"H","non-dropping-particle":"","parse-names":false,"suffix":""},{"dropping-particle":"","family":"Gokceoglu","given":"Candan","non-dropping-particle":"","parse-names":false,"suffix":""}],"id":"ITEM-1","issued":{"date-parts":[["2005"]]},"page":"81-99","title":"A Liquefaction Severity Index Suggested foe Engineering Practice","type":"article-journal"},"uris":["http://www.mendeley.com/documents/?uuid=8f3727a0-3680-4ac4-a1ca-e93a52368d02"]}],"mendeley":{"formattedCitation":"(Sonmez &amp; Gokceoglu, 2005)","plainTextFormattedCitation":"(Sonmez &amp; Gokceoglu, 2005)","previouslyFormattedCitation":"(Sonmez &amp; Gokceoglu, 2005)"},"properties":{"noteIndex":0},"schema":"https://github.com/citation-style-language/schema/raw/master/csl-citation.json"}</w:instrText>
      </w:r>
      <w:r w:rsidRPr="003641BB">
        <w:rPr>
          <w:rFonts w:ascii="Times New Roman" w:hAnsi="Times New Roman" w:cs="Times New Roman"/>
          <w:i/>
          <w:iCs/>
          <w:sz w:val="18"/>
          <w:szCs w:val="18"/>
        </w:rPr>
        <w:fldChar w:fldCharType="separate"/>
      </w:r>
      <w:r w:rsidRPr="003641BB">
        <w:rPr>
          <w:rFonts w:ascii="Times New Roman" w:hAnsi="Times New Roman" w:cs="Times New Roman"/>
          <w:i/>
          <w:iCs/>
          <w:sz w:val="18"/>
          <w:szCs w:val="18"/>
        </w:rPr>
        <w:t>(Sonmez &amp; Gokceoglu, 2005)</w:t>
      </w:r>
      <w:r w:rsidRPr="003641BB">
        <w:rPr>
          <w:rFonts w:ascii="Times New Roman" w:hAnsi="Times New Roman" w:cs="Times New Roman"/>
          <w:i/>
          <w:iCs/>
          <w:sz w:val="18"/>
          <w:szCs w:val="18"/>
        </w:rPr>
        <w:fldChar w:fldCharType="end"/>
      </w:r>
    </w:p>
    <w:p w14:paraId="4238C147" w14:textId="77777777" w:rsidR="003641BB" w:rsidRPr="00D81278" w:rsidRDefault="003641BB" w:rsidP="003641BB">
      <w:pPr>
        <w:pStyle w:val="NoSpacing"/>
        <w:ind w:firstLine="284"/>
        <w:jc w:val="both"/>
        <w:rPr>
          <w:rFonts w:ascii="Times New Roman" w:hAnsi="Times New Roman" w:cs="Times New Roman"/>
          <w:i/>
          <w:iCs/>
          <w:sz w:val="20"/>
          <w:szCs w:val="20"/>
        </w:rPr>
      </w:pPr>
      <w:r w:rsidRPr="00D81278">
        <w:rPr>
          <w:rFonts w:ascii="Times New Roman" w:hAnsi="Times New Roman" w:cs="Times New Roman"/>
          <w:i/>
          <w:iCs/>
          <w:sz w:val="20"/>
          <w:szCs w:val="20"/>
        </w:rPr>
        <w:t xml:space="preserve"> </w:t>
      </w:r>
    </w:p>
    <w:p w14:paraId="165BA9FF" w14:textId="407864AC" w:rsidR="003641BB" w:rsidRPr="00D81278" w:rsidRDefault="003641BB" w:rsidP="003641BB">
      <w:pPr>
        <w:pStyle w:val="Paragraph"/>
        <w:rPr>
          <w:i/>
          <w:iCs/>
        </w:rPr>
      </w:pPr>
      <w:r w:rsidRPr="00D81278">
        <w:t>The determination of the liquefaction probability value us</w:t>
      </w:r>
      <w:r w:rsidR="00CF6C90">
        <w:t xml:space="preserve">ed </w:t>
      </w:r>
      <w:r w:rsidRPr="00D81278">
        <w:t>the formula in Equation (7).</w:t>
      </w:r>
    </w:p>
    <w:tbl>
      <w:tblPr>
        <w:tblStyle w:val="TableGrid"/>
        <w:tblW w:w="5124"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3919"/>
        <w:gridCol w:w="1469"/>
      </w:tblGrid>
      <w:tr w:rsidR="003641BB" w:rsidRPr="003641BB" w14:paraId="60613199" w14:textId="77777777" w:rsidTr="00786C75">
        <w:trPr>
          <w:trHeight w:val="1072"/>
        </w:trPr>
        <w:tc>
          <w:tcPr>
            <w:tcW w:w="2191" w:type="pct"/>
            <w:vAlign w:val="center"/>
          </w:tcPr>
          <w:p w14:paraId="55955003" w14:textId="77777777" w:rsidR="003641BB" w:rsidRPr="003641BB" w:rsidRDefault="00E93B70" w:rsidP="003641BB">
            <w:pPr>
              <w:pStyle w:val="Paragraph"/>
            </w:pPr>
            <m:oMathPara>
              <m:oMathParaPr>
                <m:jc m:val="center"/>
              </m:oMathParaPr>
              <m:oMath>
                <m:sSub>
                  <m:sSubPr>
                    <m:ctrlPr>
                      <w:rPr>
                        <w:rFonts w:ascii="Cambria Math" w:hAnsi="Cambria Math"/>
                        <w:i/>
                      </w:rPr>
                    </m:ctrlPr>
                  </m:sSubPr>
                  <m:e>
                    <m:r>
                      <m:rPr>
                        <m:nor/>
                      </m:rPr>
                      <w:rPr>
                        <w:i/>
                      </w:rPr>
                      <m:t>P</m:t>
                    </m:r>
                  </m:e>
                  <m:sub>
                    <m:r>
                      <m:rPr>
                        <m:nor/>
                      </m:rPr>
                      <w:rPr>
                        <w:i/>
                      </w:rPr>
                      <m:t>L</m:t>
                    </m:r>
                  </m:sub>
                </m:sSub>
                <m:r>
                  <m:rPr>
                    <m:nor/>
                  </m:rPr>
                  <m:t>(</m:t>
                </m:r>
                <m:r>
                  <m:rPr>
                    <m:nor/>
                  </m:rPr>
                  <w:rPr>
                    <w:i/>
                    <w:iCs/>
                  </w:rPr>
                  <m:t>z</m:t>
                </m:r>
                <m:r>
                  <m:rPr>
                    <m:nor/>
                  </m:rPr>
                  <m:t xml:space="preserve">) = </m:t>
                </m:r>
                <m:f>
                  <m:fPr>
                    <m:ctrlPr>
                      <w:rPr>
                        <w:rFonts w:ascii="Cambria Math" w:hAnsi="Cambria Math"/>
                      </w:rPr>
                    </m:ctrlPr>
                  </m:fPr>
                  <m:num>
                    <m:r>
                      <m:rPr>
                        <m:nor/>
                      </m:rPr>
                      <m:t>1</m:t>
                    </m:r>
                  </m:num>
                  <m:den>
                    <m:r>
                      <m:rPr>
                        <m:nor/>
                      </m:rPr>
                      <m:t xml:space="preserve">1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nor/>
                                  </m:rPr>
                                  <w:rPr>
                                    <w:i/>
                                    <w:iCs/>
                                  </w:rPr>
                                  <m:t>SF</m:t>
                                </m:r>
                              </m:num>
                              <m:den>
                                <m:r>
                                  <m:rPr>
                                    <m:nor/>
                                  </m:rPr>
                                  <m:t>0</m:t>
                                </m:r>
                                <m:r>
                                  <m:rPr>
                                    <m:nor/>
                                  </m:rPr>
                                  <w:rPr>
                                    <w:rFonts w:ascii="Cambria Math"/>
                                  </w:rPr>
                                  <m:t>.</m:t>
                                </m:r>
                                <m:r>
                                  <m:rPr>
                                    <m:nor/>
                                  </m:rPr>
                                  <m:t>96</m:t>
                                </m:r>
                              </m:den>
                            </m:f>
                          </m:e>
                        </m:d>
                      </m:e>
                      <m:sup>
                        <m:r>
                          <m:rPr>
                            <m:nor/>
                          </m:rPr>
                          <m:t>4.5</m:t>
                        </m:r>
                      </m:sup>
                    </m:sSup>
                  </m:den>
                </m:f>
              </m:oMath>
            </m:oMathPara>
          </w:p>
        </w:tc>
        <w:tc>
          <w:tcPr>
            <w:tcW w:w="2043" w:type="pct"/>
            <w:vAlign w:val="center"/>
          </w:tcPr>
          <w:p w14:paraId="5C2B5BA7" w14:textId="3BD7C9BE" w:rsidR="003641BB" w:rsidRPr="003641BB" w:rsidRDefault="003641BB" w:rsidP="003641BB">
            <w:pPr>
              <w:pStyle w:val="Paragraph"/>
              <w:jc w:val="left"/>
            </w:pPr>
            <w:r w:rsidRPr="003641BB">
              <w:t xml:space="preserve">For </w:t>
            </w:r>
            <w:r w:rsidRPr="003641BB">
              <w:rPr>
                <w:i/>
                <w:iCs/>
              </w:rPr>
              <w:t>SF</w:t>
            </w:r>
            <w:r w:rsidRPr="003641BB">
              <w:rPr>
                <w:i/>
              </w:rPr>
              <w:t xml:space="preserve"> </w:t>
            </w:r>
            <w:r w:rsidRPr="003641BB">
              <w:rPr>
                <w:u w:val="single"/>
              </w:rPr>
              <w:t>&lt;</w:t>
            </w:r>
            <w:r w:rsidRPr="003641BB">
              <w:t xml:space="preserve"> 1</w:t>
            </w:r>
            <w:r w:rsidR="00B56F67">
              <w:t>.</w:t>
            </w:r>
            <w:r w:rsidRPr="003641BB">
              <w:t>411</w:t>
            </w:r>
          </w:p>
        </w:tc>
        <w:tc>
          <w:tcPr>
            <w:tcW w:w="766" w:type="pct"/>
            <w:vAlign w:val="center"/>
          </w:tcPr>
          <w:p w14:paraId="06680A56" w14:textId="77777777" w:rsidR="003641BB" w:rsidRPr="003641BB" w:rsidRDefault="003641BB" w:rsidP="003641BB">
            <w:pPr>
              <w:pStyle w:val="Paragraph"/>
              <w:ind w:firstLine="0"/>
              <w:jc w:val="center"/>
            </w:pPr>
            <w:r w:rsidRPr="003641BB">
              <w:t>(7)</w:t>
            </w:r>
          </w:p>
        </w:tc>
      </w:tr>
    </w:tbl>
    <w:p w14:paraId="0BB8A8CE" w14:textId="50CE7F3A" w:rsidR="003641BB" w:rsidRPr="00D81278" w:rsidRDefault="003641BB" w:rsidP="003641BB">
      <w:pPr>
        <w:pStyle w:val="Paragraph"/>
      </w:pPr>
      <w:r w:rsidRPr="00D81278">
        <w:t>To determine the LSI value, the formula in equation (8)</w:t>
      </w:r>
      <w:r w:rsidR="00CF6C90">
        <w:t xml:space="preserve"> is used.</w:t>
      </w:r>
    </w:p>
    <w:tbl>
      <w:tblPr>
        <w:tblStyle w:val="TableGrid"/>
        <w:tblW w:w="5000"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041"/>
      </w:tblGrid>
      <w:tr w:rsidR="003641BB" w:rsidRPr="003641BB" w14:paraId="2AD5B8DD" w14:textId="77777777" w:rsidTr="00786C75">
        <w:trPr>
          <w:trHeight w:val="685"/>
        </w:trPr>
        <w:tc>
          <w:tcPr>
            <w:tcW w:w="4444" w:type="pct"/>
            <w:vAlign w:val="center"/>
          </w:tcPr>
          <w:p w14:paraId="4630A1BB" w14:textId="77777777" w:rsidR="003641BB" w:rsidRPr="003641BB" w:rsidRDefault="003641BB" w:rsidP="003641BB">
            <w:pPr>
              <w:pStyle w:val="Paragraph"/>
            </w:pPr>
            <m:oMathPara>
              <m:oMathParaPr>
                <m:jc m:val="center"/>
              </m:oMathParaPr>
              <m:oMath>
                <m:r>
                  <m:rPr>
                    <m:nor/>
                  </m:rPr>
                  <w:rPr>
                    <w:i/>
                  </w:rPr>
                  <m:t>LSI</m:t>
                </m:r>
                <m:r>
                  <m:rPr>
                    <m:nor/>
                  </m:rPr>
                  <m:t xml:space="preserve"> =</m:t>
                </m:r>
                <m:nary>
                  <m:naryPr>
                    <m:limLoc m:val="subSup"/>
                    <m:ctrlPr>
                      <w:rPr>
                        <w:rFonts w:ascii="Cambria Math" w:hAnsi="Cambria Math"/>
                        <w:iCs/>
                      </w:rPr>
                    </m:ctrlPr>
                  </m:naryPr>
                  <m:sub>
                    <m:r>
                      <m:rPr>
                        <m:nor/>
                      </m:rPr>
                      <w:rPr>
                        <w:iCs/>
                      </w:rPr>
                      <m:t>0</m:t>
                    </m:r>
                  </m:sub>
                  <m:sup>
                    <m:r>
                      <m:rPr>
                        <m:nor/>
                      </m:rPr>
                      <w:rPr>
                        <w:iCs/>
                      </w:rPr>
                      <m:t>20</m:t>
                    </m:r>
                  </m:sup>
                  <m:e>
                    <m:sSub>
                      <m:sSubPr>
                        <m:ctrlPr>
                          <w:rPr>
                            <w:rFonts w:ascii="Cambria Math" w:hAnsi="Cambria Math"/>
                            <w:i/>
                          </w:rPr>
                        </m:ctrlPr>
                      </m:sSubPr>
                      <m:e>
                        <m:r>
                          <m:rPr>
                            <m:nor/>
                          </m:rPr>
                          <w:rPr>
                            <w:i/>
                          </w:rPr>
                          <m:t>P</m:t>
                        </m:r>
                      </m:e>
                      <m:sub>
                        <m:r>
                          <m:rPr>
                            <m:nor/>
                          </m:rPr>
                          <w:rPr>
                            <w:i/>
                          </w:rPr>
                          <m:t>L</m:t>
                        </m:r>
                      </m:sub>
                    </m:sSub>
                    <m:r>
                      <m:rPr>
                        <m:nor/>
                      </m:rPr>
                      <m:t>(</m:t>
                    </m:r>
                    <m:r>
                      <m:rPr>
                        <m:nor/>
                      </m:rPr>
                      <w:rPr>
                        <w:i/>
                        <w:iCs/>
                      </w:rPr>
                      <m:t>z</m:t>
                    </m:r>
                    <m:r>
                      <m:rPr>
                        <m:nor/>
                      </m:rPr>
                      <m:t>)</m:t>
                    </m:r>
                    <m:r>
                      <m:rPr>
                        <m:nor/>
                      </m:rPr>
                      <w:rPr>
                        <w:iCs/>
                      </w:rPr>
                      <m:t xml:space="preserve"> . </m:t>
                    </m:r>
                    <m:r>
                      <m:rPr>
                        <m:nor/>
                      </m:rPr>
                      <w:rPr>
                        <w:i/>
                      </w:rPr>
                      <m:t>w</m:t>
                    </m:r>
                    <m:r>
                      <m:rPr>
                        <m:nor/>
                      </m:rPr>
                      <w:rPr>
                        <w:iCs/>
                      </w:rPr>
                      <m:t>(</m:t>
                    </m:r>
                    <m:r>
                      <m:rPr>
                        <m:nor/>
                      </m:rPr>
                      <w:rPr>
                        <w:i/>
                      </w:rPr>
                      <m:t>z</m:t>
                    </m:r>
                    <m:r>
                      <m:rPr>
                        <m:nor/>
                      </m:rPr>
                      <w:rPr>
                        <w:iCs/>
                      </w:rPr>
                      <m:t xml:space="preserve">) . </m:t>
                    </m:r>
                    <m:r>
                      <m:rPr>
                        <m:nor/>
                      </m:rPr>
                      <w:rPr>
                        <w:i/>
                      </w:rPr>
                      <m:t>dz</m:t>
                    </m:r>
                    <m:r>
                      <m:rPr>
                        <m:nor/>
                      </m:rPr>
                      <w:rPr>
                        <w:iCs/>
                      </w:rPr>
                      <m:t xml:space="preserve"> </m:t>
                    </m:r>
                  </m:e>
                </m:nary>
              </m:oMath>
            </m:oMathPara>
          </w:p>
        </w:tc>
        <w:tc>
          <w:tcPr>
            <w:tcW w:w="556" w:type="pct"/>
            <w:vAlign w:val="center"/>
          </w:tcPr>
          <w:p w14:paraId="52B953EE" w14:textId="77777777" w:rsidR="003641BB" w:rsidRPr="003641BB" w:rsidRDefault="003641BB" w:rsidP="003641BB">
            <w:pPr>
              <w:pStyle w:val="Paragraph"/>
              <w:ind w:firstLine="0"/>
              <w:jc w:val="center"/>
            </w:pPr>
            <w:r w:rsidRPr="003641BB">
              <w:t>(8)</w:t>
            </w:r>
          </w:p>
        </w:tc>
      </w:tr>
    </w:tbl>
    <w:p w14:paraId="6421C33C" w14:textId="77777777" w:rsidR="003641BB" w:rsidRPr="00D81278" w:rsidRDefault="003641BB" w:rsidP="003641BB">
      <w:pPr>
        <w:pStyle w:val="Paragraph"/>
        <w:ind w:firstLine="0"/>
      </w:pPr>
      <w:proofErr w:type="gramStart"/>
      <w:r w:rsidRPr="00D81278">
        <w:t>where</w:t>
      </w:r>
      <w:proofErr w:type="gramEnd"/>
      <w:r w:rsidRPr="00D81278">
        <w:t>,</w:t>
      </w:r>
    </w:p>
    <w:p w14:paraId="7E4BC38A" w14:textId="77777777" w:rsidR="003641BB" w:rsidRPr="004A44CA" w:rsidRDefault="003641BB" w:rsidP="003641BB">
      <w:pPr>
        <w:pStyle w:val="Paragraph"/>
        <w:ind w:firstLine="0"/>
      </w:pPr>
      <w:r w:rsidRPr="004A44CA">
        <w:rPr>
          <w:color w:val="000000"/>
        </w:rPr>
        <w:t>LSI</w:t>
      </w:r>
      <w:r w:rsidRPr="004A44CA">
        <w:tab/>
        <w:t xml:space="preserve">= </w:t>
      </w:r>
      <w:r w:rsidRPr="004A44CA">
        <w:tab/>
        <w:t>Liquefaction Severity Index</w:t>
      </w:r>
    </w:p>
    <w:p w14:paraId="3B9970CE" w14:textId="77777777" w:rsidR="003641BB" w:rsidRPr="00D81278" w:rsidRDefault="003641BB" w:rsidP="003641BB">
      <w:pPr>
        <w:pStyle w:val="Paragraph"/>
        <w:ind w:firstLine="0"/>
        <w:rPr>
          <w:i/>
          <w:iCs/>
        </w:rPr>
      </w:pPr>
      <w:r w:rsidRPr="00D81278">
        <w:rPr>
          <w:i/>
        </w:rPr>
        <w:t>P</w:t>
      </w:r>
      <w:r w:rsidRPr="00D81278">
        <w:rPr>
          <w:i/>
          <w:vertAlign w:val="subscript"/>
        </w:rPr>
        <w:t>L</w:t>
      </w:r>
      <w:r w:rsidRPr="00D81278">
        <w:t>(</w:t>
      </w:r>
      <w:r w:rsidRPr="00D81278">
        <w:rPr>
          <w:i/>
        </w:rPr>
        <w:t>z</w:t>
      </w:r>
      <w:r w:rsidRPr="00D81278">
        <w:t>)</w:t>
      </w:r>
      <w:r w:rsidRPr="00D81278">
        <w:tab/>
        <w:t xml:space="preserve">= </w:t>
      </w:r>
      <w:r>
        <w:tab/>
      </w:r>
      <w:r w:rsidRPr="00D81278">
        <w:t>Liquefaction probability value based on depth function</w:t>
      </w:r>
    </w:p>
    <w:p w14:paraId="07035ADD" w14:textId="76D49E53" w:rsidR="003641BB" w:rsidRDefault="003641BB" w:rsidP="003641BB">
      <w:pPr>
        <w:pStyle w:val="Paragraph"/>
        <w:ind w:firstLine="0"/>
      </w:pPr>
      <w:r w:rsidRPr="00D81278">
        <w:rPr>
          <w:i/>
        </w:rPr>
        <w:t>z</w:t>
      </w:r>
      <w:r w:rsidRPr="00D81278">
        <w:rPr>
          <w:i/>
        </w:rPr>
        <w:tab/>
      </w:r>
      <w:r w:rsidRPr="00D81278">
        <w:t xml:space="preserve">= </w:t>
      </w:r>
      <w:r w:rsidRPr="00D81278">
        <w:tab/>
        <w:t>Soil depth (m)</w:t>
      </w:r>
    </w:p>
    <w:p w14:paraId="6267CD38" w14:textId="0329136B" w:rsidR="003641BB" w:rsidRDefault="003641BB" w:rsidP="003641BB">
      <w:pPr>
        <w:pStyle w:val="Heading1"/>
      </w:pPr>
      <w:r w:rsidRPr="003641BB">
        <w:t>RESULTS AND DISCUSSION</w:t>
      </w:r>
    </w:p>
    <w:p w14:paraId="59DAA452" w14:textId="4C4B484B" w:rsidR="003641BB" w:rsidRDefault="003641BB" w:rsidP="003641BB">
      <w:pPr>
        <w:pStyle w:val="Paragraph"/>
      </w:pPr>
      <w:r w:rsidRPr="003641BB">
        <w:t>The interpretation of the soil layers based on the conditions in the field is divided into two categories, where</w:t>
      </w:r>
      <w:r w:rsidR="00CF6C90">
        <w:t>as</w:t>
      </w:r>
      <w:r w:rsidRPr="003641BB">
        <w:t xml:space="preserve"> the drilling point of BH 01 is located at the top part of the liquefaction area, </w:t>
      </w:r>
      <w:r w:rsidR="00CF6C90">
        <w:t>and</w:t>
      </w:r>
      <w:r w:rsidRPr="003641BB">
        <w:t xml:space="preserve"> the drilling point of BH 02 is at the north-side of the area and remain</w:t>
      </w:r>
      <w:r w:rsidR="00CF6C90">
        <w:t>ed</w:t>
      </w:r>
      <w:r w:rsidRPr="003641BB">
        <w:t xml:space="preserve"> un-liquified during the 2018 earthquake. From the data interpretation, </w:t>
      </w:r>
      <w:r w:rsidR="00CF6C90">
        <w:t xml:space="preserve">in </w:t>
      </w:r>
      <w:r w:rsidRPr="003641BB">
        <w:t xml:space="preserve">BH 01 </w:t>
      </w:r>
      <w:r w:rsidR="00CF6C90">
        <w:t>it was</w:t>
      </w:r>
      <w:r w:rsidR="00CF6C90" w:rsidRPr="003641BB">
        <w:t xml:space="preserve"> </w:t>
      </w:r>
      <w:r w:rsidRPr="003641BB">
        <w:t xml:space="preserve">generally discovered that most of the soil layers are sand with an average N-SPT &lt; 50. Furthermore, there </w:t>
      </w:r>
      <w:r w:rsidR="00CF6C90">
        <w:t>is</w:t>
      </w:r>
      <w:r w:rsidR="00CF6C90" w:rsidRPr="003641BB">
        <w:t xml:space="preserve"> </w:t>
      </w:r>
      <w:r w:rsidRPr="003641BB">
        <w:t xml:space="preserve">a layer of silt as deep as 2 meters at a depth of 16 meters. Meanwhile, </w:t>
      </w:r>
      <w:r w:rsidR="00CF6C90">
        <w:t xml:space="preserve">in </w:t>
      </w:r>
      <w:r w:rsidRPr="003641BB">
        <w:t>BH 02 it was discovered that the soil layer consis</w:t>
      </w:r>
      <w:r w:rsidR="00CF6C90">
        <w:t xml:space="preserve">ts </w:t>
      </w:r>
      <w:r w:rsidRPr="003641BB">
        <w:t xml:space="preserve">of loose sand with N-SPT &lt; 10 at a depth </w:t>
      </w:r>
      <w:r w:rsidR="00CF6C90">
        <w:t xml:space="preserve">of </w:t>
      </w:r>
      <w:r w:rsidRPr="003641BB">
        <w:t>0 – 6 meters and a hard soil layer at 2, 8 – 20 meters with N-SPT &gt; 30.</w:t>
      </w:r>
    </w:p>
    <w:p w14:paraId="4C3542E3" w14:textId="77777777" w:rsidR="00BF02A4" w:rsidRPr="00BF02A4" w:rsidRDefault="00BF02A4" w:rsidP="00BF02A4">
      <w:pPr>
        <w:pStyle w:val="Heading2"/>
      </w:pPr>
      <w:r>
        <w:t>Seismic Design Analysis</w:t>
      </w:r>
    </w:p>
    <w:p w14:paraId="0E58476E" w14:textId="41BF0545" w:rsidR="00BF02A4" w:rsidRDefault="00BF02A4" w:rsidP="00BF02A4">
      <w:pPr>
        <w:pStyle w:val="Paragraphfirst"/>
        <w:rPr>
          <w:rFonts w:ascii="Times New Roman" w:hAnsi="Times New Roman" w:cs="Times New Roman"/>
          <w:lang w:val="en-US"/>
        </w:rPr>
      </w:pPr>
      <w:r w:rsidRPr="00D81278">
        <w:rPr>
          <w:rFonts w:ascii="Times New Roman" w:hAnsi="Times New Roman"/>
          <w:lang w:val="en-US"/>
        </w:rPr>
        <w:t>Based on the USGS seismic hazard map in the study area, the Peak Ground Acceleration value was 3.2 m/s</w:t>
      </w:r>
      <w:r w:rsidRPr="00D81278">
        <w:rPr>
          <w:rFonts w:ascii="Times New Roman" w:hAnsi="Times New Roman"/>
          <w:vertAlign w:val="superscript"/>
          <w:lang w:val="en-US"/>
        </w:rPr>
        <w:t>2</w:t>
      </w:r>
      <w:r w:rsidRPr="00D81278">
        <w:rPr>
          <w:rFonts w:ascii="Times New Roman" w:hAnsi="Times New Roman"/>
          <w:lang w:val="en-US"/>
        </w:rPr>
        <w:t xml:space="preserve">, </w:t>
      </w:r>
      <w:r>
        <w:rPr>
          <w:rFonts w:ascii="Times New Roman" w:hAnsi="Times New Roman"/>
          <w:lang w:val="en-US"/>
        </w:rPr>
        <w:t xml:space="preserve">this value </w:t>
      </w:r>
      <w:r w:rsidR="00CF6C90">
        <w:rPr>
          <w:rFonts w:ascii="Times New Roman" w:hAnsi="Times New Roman"/>
          <w:lang w:val="en-US"/>
        </w:rPr>
        <w:t xml:space="preserve">was </w:t>
      </w:r>
      <w:r w:rsidRPr="00D81278">
        <w:rPr>
          <w:rFonts w:ascii="Times New Roman" w:hAnsi="Times New Roman"/>
          <w:lang w:val="en-US"/>
        </w:rPr>
        <w:t xml:space="preserve">converted </w:t>
      </w:r>
      <w:r>
        <w:rPr>
          <w:rFonts w:ascii="Times New Roman" w:hAnsi="Times New Roman"/>
          <w:lang w:val="en-US"/>
        </w:rPr>
        <w:t xml:space="preserve">to PGA by dividing </w:t>
      </w:r>
      <w:r w:rsidR="00CF6C90">
        <w:rPr>
          <w:rFonts w:ascii="Times New Roman" w:hAnsi="Times New Roman"/>
          <w:lang w:val="en-US"/>
        </w:rPr>
        <w:t xml:space="preserve">it by </w:t>
      </w:r>
      <w:r>
        <w:rPr>
          <w:rFonts w:ascii="Times New Roman" w:hAnsi="Times New Roman"/>
          <w:lang w:val="en-US"/>
        </w:rPr>
        <w:t xml:space="preserve">9.80665, the result </w:t>
      </w:r>
      <w:r w:rsidR="00CF6C90">
        <w:rPr>
          <w:rFonts w:ascii="Times New Roman" w:hAnsi="Times New Roman"/>
          <w:lang w:val="en-US"/>
        </w:rPr>
        <w:t xml:space="preserve">was </w:t>
      </w:r>
      <w:r>
        <w:rPr>
          <w:rFonts w:ascii="Times New Roman" w:hAnsi="Times New Roman"/>
          <w:lang w:val="en-US"/>
        </w:rPr>
        <w:t xml:space="preserve">0.33 g. </w:t>
      </w:r>
      <w:r w:rsidRPr="00D81278">
        <w:rPr>
          <w:rFonts w:ascii="Times New Roman" w:hAnsi="Times New Roman"/>
          <w:lang w:val="en-US"/>
        </w:rPr>
        <w:t xml:space="preserve">From the results of the seismic design analysis, the maximum peak ground surface acceleration value </w:t>
      </w:r>
      <w:r w:rsidRPr="00D81278">
        <w:rPr>
          <w:rFonts w:cs="Times New Roman"/>
          <w:i/>
          <w:iCs/>
          <w:lang w:val="en-US"/>
        </w:rPr>
        <w:t>a</w:t>
      </w:r>
      <w:r w:rsidRPr="00D81278">
        <w:rPr>
          <w:rFonts w:cs="Times New Roman"/>
          <w:i/>
          <w:iCs/>
          <w:vertAlign w:val="subscript"/>
          <w:lang w:val="en-US"/>
        </w:rPr>
        <w:t xml:space="preserve">max </w:t>
      </w:r>
      <w:r w:rsidRPr="00D81278">
        <w:rPr>
          <w:rFonts w:ascii="Times New Roman" w:hAnsi="Times New Roman"/>
          <w:lang w:val="en-US"/>
        </w:rPr>
        <w:t>was 3.56 m/s</w:t>
      </w:r>
      <w:r w:rsidRPr="00D81278">
        <w:rPr>
          <w:rFonts w:ascii="Times New Roman" w:hAnsi="Times New Roman"/>
          <w:vertAlign w:val="superscript"/>
          <w:lang w:val="en-US"/>
        </w:rPr>
        <w:t>2</w:t>
      </w:r>
      <w:r w:rsidRPr="00D81278">
        <w:rPr>
          <w:rFonts w:ascii="Times New Roman" w:hAnsi="Times New Roman" w:cs="Times New Roman"/>
          <w:lang w:val="en-US"/>
        </w:rPr>
        <w:t>.</w:t>
      </w:r>
    </w:p>
    <w:p w14:paraId="655A50B8" w14:textId="5EEF207C" w:rsidR="00BF02A4" w:rsidRPr="00BB491C" w:rsidRDefault="00BF02A4" w:rsidP="00BF02A4">
      <w:pPr>
        <w:pStyle w:val="Heading2"/>
      </w:pPr>
      <w:r>
        <w:t>Analysis of Liquefaction Potential Using Settle3 Software</w:t>
      </w:r>
    </w:p>
    <w:p w14:paraId="79C36AF5" w14:textId="75D2BBA3" w:rsidR="00BF02A4" w:rsidRPr="00D81278" w:rsidRDefault="00B56F67" w:rsidP="00B56F67">
      <w:pPr>
        <w:pStyle w:val="Paragraph"/>
      </w:pPr>
      <w:r w:rsidRPr="00BF02A4">
        <w:t>The analysis results using Seed et al. (1985) method in Settle3 show that the safety factor of BH 01 has a different value from each type of soil layer analyzed. The layer which is a type of loose sand that has an N-SPT value &lt; 30 indicate</w:t>
      </w:r>
      <w:r w:rsidR="00CF6C90">
        <w:t>s</w:t>
      </w:r>
      <w:r w:rsidRPr="00BF02A4">
        <w:t xml:space="preserve"> </w:t>
      </w:r>
      <w:r w:rsidR="00CF6C90" w:rsidRPr="00BF02A4">
        <w:t>a</w:t>
      </w:r>
      <w:r w:rsidRPr="00BF02A4">
        <w:t xml:space="preserve"> safety factor &lt; 1 at a depth of 2 – 6, 10 – 12, 16, and 10 meters. However</w:t>
      </w:r>
      <w:r w:rsidR="00CF6C90" w:rsidRPr="00BF02A4">
        <w:t>,</w:t>
      </w:r>
      <w:r w:rsidR="00CF6C90">
        <w:t xml:space="preserve"> the safety factor obtained at </w:t>
      </w:r>
      <w:r w:rsidR="00CF6C90" w:rsidRPr="00BF02A4">
        <w:t xml:space="preserve">the depth of 8, 14, and 18 meters </w:t>
      </w:r>
      <w:r w:rsidR="00CF6C90">
        <w:t xml:space="preserve">is </w:t>
      </w:r>
      <w:r w:rsidR="00CF6C90" w:rsidRPr="00BF02A4">
        <w:t>&gt; 1</w:t>
      </w:r>
      <w:r w:rsidRPr="00BF02A4">
        <w:t>. This indicate</w:t>
      </w:r>
      <w:r w:rsidR="00CF6C90">
        <w:t>s</w:t>
      </w:r>
      <w:r w:rsidRPr="00BF02A4">
        <w:t xml:space="preserve"> that there </w:t>
      </w:r>
      <w:r w:rsidR="00CF6C90">
        <w:t>is</w:t>
      </w:r>
      <w:r w:rsidR="00CF6C90" w:rsidRPr="00BF02A4">
        <w:t xml:space="preserve"> </w:t>
      </w:r>
      <w:r w:rsidRPr="00BF02A4">
        <w:t xml:space="preserve">no liquefaction potential at that point. </w:t>
      </w:r>
      <w:r w:rsidR="00BF02A4" w:rsidRPr="00D81278">
        <w:t xml:space="preserve">The analysis results using the Settle3 software at BH 01 can be seen in Figure </w:t>
      </w:r>
      <w:r w:rsidR="00013880">
        <w:t>3</w:t>
      </w:r>
      <w:r w:rsidR="00BF02A4" w:rsidRPr="00D81278">
        <w:t>.</w:t>
      </w:r>
    </w:p>
    <w:p w14:paraId="58EB3C5A" w14:textId="77777777" w:rsidR="00BF02A4" w:rsidRPr="00D81278" w:rsidRDefault="00BF02A4" w:rsidP="00BF02A4">
      <w:pPr>
        <w:pStyle w:val="NoSpacing"/>
        <w:jc w:val="center"/>
        <w:rPr>
          <w:rFonts w:ascii="Times New Roman" w:hAnsi="Times New Roman" w:cs="Times New Roman"/>
          <w:sz w:val="20"/>
          <w:szCs w:val="20"/>
        </w:rPr>
      </w:pPr>
      <w:r w:rsidRPr="00D81278">
        <w:rPr>
          <w:rFonts w:ascii="Times New Roman" w:hAnsi="Times New Roman" w:cs="Times New Roman"/>
          <w:noProof/>
          <w:sz w:val="20"/>
          <w:szCs w:val="20"/>
        </w:rPr>
        <w:lastRenderedPageBreak/>
        <w:drawing>
          <wp:inline distT="0" distB="0" distL="0" distR="0" wp14:anchorId="1EDBD7C5" wp14:editId="1D710EF7">
            <wp:extent cx="3960000" cy="3240000"/>
            <wp:effectExtent l="0" t="0" r="2540" b="0"/>
            <wp:docPr id="1036" name="Picture 14" descr="Graphical user interface,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6" name="Picture 14" descr="Graphical user interface, line chart&#10;&#10;Description automatically generated"/>
                    <pic:cNvPicPr/>
                  </pic:nvPicPr>
                  <pic:blipFill>
                    <a:blip r:embed="rId17" cstate="print"/>
                    <a:srcRect r="33573"/>
                    <a:stretch>
                      <a:fillRect/>
                    </a:stretch>
                  </pic:blipFill>
                  <pic:spPr>
                    <a:xfrm>
                      <a:off x="0" y="0"/>
                      <a:ext cx="3960000" cy="3240000"/>
                    </a:xfrm>
                    <a:prstGeom prst="rect">
                      <a:avLst/>
                    </a:prstGeom>
                    <a:ln>
                      <a:noFill/>
                    </a:ln>
                  </pic:spPr>
                </pic:pic>
              </a:graphicData>
            </a:graphic>
          </wp:inline>
        </w:drawing>
      </w:r>
    </w:p>
    <w:p w14:paraId="38164FC5" w14:textId="055F6BAC" w:rsidR="00BF02A4" w:rsidRDefault="00BF02A4" w:rsidP="00013880">
      <w:pPr>
        <w:pStyle w:val="FigureCaption"/>
      </w:pPr>
      <w:r>
        <w:rPr>
          <w:b/>
          <w:bCs/>
        </w:rPr>
        <w:t xml:space="preserve">FIGURE </w:t>
      </w:r>
      <w:r w:rsidR="00013880">
        <w:rPr>
          <w:b/>
          <w:bCs/>
        </w:rPr>
        <w:t>3</w:t>
      </w:r>
      <w:r w:rsidRPr="00D81278">
        <w:rPr>
          <w:b/>
          <w:bCs/>
        </w:rPr>
        <w:t xml:space="preserve">. </w:t>
      </w:r>
      <w:r w:rsidRPr="00013880">
        <w:t>Graph of safety factor analysis results using Settle3 at BH 01</w:t>
      </w:r>
    </w:p>
    <w:p w14:paraId="38B24D6C" w14:textId="77777777" w:rsidR="00013880" w:rsidRDefault="00013880" w:rsidP="00BF02A4">
      <w:pPr>
        <w:pStyle w:val="Figure"/>
      </w:pPr>
    </w:p>
    <w:p w14:paraId="1966F16D" w14:textId="20E80A46" w:rsidR="00BF02A4" w:rsidRDefault="00013880" w:rsidP="00013880">
      <w:pPr>
        <w:pStyle w:val="Paragraph"/>
        <w:spacing w:before="120"/>
      </w:pPr>
      <w:r w:rsidRPr="00BF02A4">
        <w:t xml:space="preserve">The analysis results using the Settle3 software of BH 02 can be seen in Figure </w:t>
      </w:r>
      <w:r>
        <w:t>4</w:t>
      </w:r>
      <w:r w:rsidRPr="00BF02A4">
        <w:t>.</w:t>
      </w:r>
    </w:p>
    <w:p w14:paraId="42AD7C43" w14:textId="77777777" w:rsidR="00BF02A4" w:rsidRPr="00D81278" w:rsidRDefault="00BF02A4" w:rsidP="00B56F67">
      <w:pPr>
        <w:pStyle w:val="NoSpacing"/>
        <w:jc w:val="center"/>
        <w:rPr>
          <w:rFonts w:ascii="Times New Roman" w:hAnsi="Times New Roman" w:cs="Times New Roman"/>
          <w:sz w:val="20"/>
          <w:szCs w:val="20"/>
        </w:rPr>
      </w:pPr>
      <w:r w:rsidRPr="00D81278">
        <w:rPr>
          <w:rFonts w:ascii="Times New Roman" w:hAnsi="Times New Roman" w:cs="Times New Roman"/>
          <w:noProof/>
          <w:sz w:val="20"/>
          <w:szCs w:val="20"/>
        </w:rPr>
        <w:drawing>
          <wp:inline distT="0" distB="0" distL="0" distR="0" wp14:anchorId="4B917FC9" wp14:editId="4DB8E7D8">
            <wp:extent cx="3960000" cy="3240000"/>
            <wp:effectExtent l="0" t="0" r="2540" b="0"/>
            <wp:docPr id="1037" name="Picture 16"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37" name="Picture 16" descr="Graphical user interface&#10;&#10;Description automatically generated"/>
                    <pic:cNvPicPr/>
                  </pic:nvPicPr>
                  <pic:blipFill>
                    <a:blip r:embed="rId18" cstate="print"/>
                    <a:srcRect l="1" r="33831"/>
                    <a:stretch>
                      <a:fillRect/>
                    </a:stretch>
                  </pic:blipFill>
                  <pic:spPr>
                    <a:xfrm>
                      <a:off x="0" y="0"/>
                      <a:ext cx="3960000" cy="3240000"/>
                    </a:xfrm>
                    <a:prstGeom prst="rect">
                      <a:avLst/>
                    </a:prstGeom>
                    <a:ln>
                      <a:noFill/>
                    </a:ln>
                  </pic:spPr>
                </pic:pic>
              </a:graphicData>
            </a:graphic>
          </wp:inline>
        </w:drawing>
      </w:r>
    </w:p>
    <w:p w14:paraId="4B18466D" w14:textId="028C3AE5" w:rsidR="00B56F67" w:rsidRDefault="00B56F67" w:rsidP="00013880">
      <w:pPr>
        <w:pStyle w:val="FigureCaption"/>
      </w:pPr>
      <w:r>
        <w:rPr>
          <w:b/>
          <w:bCs/>
        </w:rPr>
        <w:t xml:space="preserve">FIGURE </w:t>
      </w:r>
      <w:r w:rsidR="00013880">
        <w:rPr>
          <w:b/>
          <w:bCs/>
        </w:rPr>
        <w:t>4</w:t>
      </w:r>
      <w:r w:rsidR="00BF02A4" w:rsidRPr="00D81278">
        <w:rPr>
          <w:b/>
          <w:bCs/>
        </w:rPr>
        <w:t xml:space="preserve">. </w:t>
      </w:r>
      <w:r w:rsidR="00BF02A4" w:rsidRPr="00D81278">
        <w:t>Graph of SF analysis results using Settle3 at BH 02 point</w:t>
      </w:r>
    </w:p>
    <w:p w14:paraId="2B35BF1F" w14:textId="5EB0BEA5" w:rsidR="00013880" w:rsidRDefault="00013880" w:rsidP="00013880">
      <w:pPr>
        <w:pStyle w:val="Paragraph"/>
        <w:spacing w:before="120"/>
      </w:pPr>
      <w:r>
        <w:t>The</w:t>
      </w:r>
      <w:r w:rsidRPr="00BF02A4">
        <w:t xml:space="preserve"> analysis results of BH 02 using Seed, et al., (1985) method in Settle3 show that safety factor at a depth of 4 – 6 meters </w:t>
      </w:r>
      <w:r w:rsidR="00CF6C90">
        <w:t>is</w:t>
      </w:r>
      <w:r w:rsidR="00CF6C90" w:rsidRPr="00BF02A4">
        <w:t xml:space="preserve"> </w:t>
      </w:r>
      <w:r w:rsidRPr="00BF02A4">
        <w:t xml:space="preserve">&lt; 1. Meanwhile, at 8 – 20 meters, the safety factor obtained is &gt; 1. At a depth of 4 – 6 meters, the safety factor </w:t>
      </w:r>
      <w:r w:rsidR="00CF6C90">
        <w:t>is</w:t>
      </w:r>
      <w:r w:rsidR="00CF6C90" w:rsidRPr="00BF02A4">
        <w:t xml:space="preserve"> </w:t>
      </w:r>
      <w:r w:rsidRPr="00BF02A4">
        <w:t xml:space="preserve">very small </w:t>
      </w:r>
      <w:r w:rsidR="00CF6C90">
        <w:t>as</w:t>
      </w:r>
      <w:r w:rsidRPr="00BF02A4">
        <w:t xml:space="preserve"> the type of soil at that depth </w:t>
      </w:r>
      <w:r w:rsidR="00CF6C90">
        <w:t>is</w:t>
      </w:r>
      <w:r w:rsidR="00CF6C90" w:rsidRPr="00BF02A4">
        <w:t xml:space="preserve"> </w:t>
      </w:r>
      <w:r w:rsidRPr="00BF02A4">
        <w:t xml:space="preserve">loose sand. </w:t>
      </w:r>
      <w:r w:rsidR="00CF6C90">
        <w:t>In addition</w:t>
      </w:r>
      <w:r w:rsidRPr="00BF02A4">
        <w:t xml:space="preserve">, at a depth of 8 – 20 meters, the safety </w:t>
      </w:r>
      <w:r w:rsidR="00CF6C90" w:rsidRPr="00BF02A4">
        <w:t xml:space="preserve">factor </w:t>
      </w:r>
      <w:r w:rsidR="00CF6C90">
        <w:t xml:space="preserve">is </w:t>
      </w:r>
      <w:r w:rsidRPr="00BF02A4">
        <w:t xml:space="preserve">&gt; 1 </w:t>
      </w:r>
      <w:r w:rsidR="00CF6C90">
        <w:t>as</w:t>
      </w:r>
      <w:r w:rsidRPr="00BF02A4">
        <w:t xml:space="preserve"> the type of soil is dense sand.</w:t>
      </w:r>
      <w:r>
        <w:t xml:space="preserve"> </w:t>
      </w:r>
    </w:p>
    <w:p w14:paraId="64C81684" w14:textId="7695E8E0" w:rsidR="00B56F67" w:rsidRDefault="00B56F67" w:rsidP="00B56F67">
      <w:pPr>
        <w:pStyle w:val="Heading2"/>
      </w:pPr>
      <w:r w:rsidRPr="00D81278">
        <w:lastRenderedPageBreak/>
        <w:t>Liquefaction Analysis with Liquefaction Potential Index Method</w:t>
      </w:r>
    </w:p>
    <w:p w14:paraId="6B14A868" w14:textId="1F23BD52" w:rsidR="00B56F67" w:rsidRDefault="00B56F67" w:rsidP="00B56F67">
      <w:pPr>
        <w:pStyle w:val="Paragraph"/>
      </w:pPr>
      <w:r w:rsidRPr="00D81278">
        <w:t xml:space="preserve">Based on the analysis results, the </w:t>
      </w:r>
      <w:r>
        <w:t>liquefaction potential index (LPI)</w:t>
      </w:r>
      <w:r w:rsidRPr="00D81278">
        <w:t xml:space="preserve"> value was obtained by integrating the value of </w:t>
      </w:r>
      <w:r w:rsidRPr="00FC5CB4">
        <w:rPr>
          <w:i/>
          <w:iCs/>
        </w:rPr>
        <w:t>F.w</w:t>
      </w:r>
      <w:r w:rsidRPr="00D81278">
        <w:t>(</w:t>
      </w:r>
      <w:r w:rsidRPr="00FC5CB4">
        <w:rPr>
          <w:i/>
          <w:iCs/>
        </w:rPr>
        <w:t>z</w:t>
      </w:r>
      <w:r w:rsidRPr="00D81278">
        <w:t xml:space="preserve">) at each depth. This is described by the area bounded by the function </w:t>
      </w:r>
      <w:r w:rsidRPr="00FC5CB4">
        <w:rPr>
          <w:i/>
          <w:iCs/>
        </w:rPr>
        <w:t>F.w</w:t>
      </w:r>
      <w:r w:rsidRPr="00D81278">
        <w:t>(</w:t>
      </w:r>
      <w:r w:rsidRPr="00FC5CB4">
        <w:rPr>
          <w:i/>
          <w:iCs/>
        </w:rPr>
        <w:t>z</w:t>
      </w:r>
      <w:r w:rsidRPr="00D81278">
        <w:t xml:space="preserve">) as the x-axis, and depth as the y-axis. The calculation of the integral function used the trapezoidal area method, therefore the LPI value </w:t>
      </w:r>
      <w:r>
        <w:t xml:space="preserve">of </w:t>
      </w:r>
      <w:r w:rsidRPr="00D81278">
        <w:t>BH 01 ha</w:t>
      </w:r>
      <w:r w:rsidR="00CF6C90">
        <w:t xml:space="preserve">s </w:t>
      </w:r>
      <w:r w:rsidRPr="00D81278">
        <w:t>a larger area of 17.191 and BH 02 ha</w:t>
      </w:r>
      <w:r w:rsidR="00CF6C90">
        <w:t>s</w:t>
      </w:r>
      <w:r w:rsidRPr="00D81278">
        <w:t xml:space="preserve"> an area of 7.546. </w:t>
      </w:r>
      <w:r>
        <w:t>T</w:t>
      </w:r>
      <w:r w:rsidRPr="00D81278">
        <w:t xml:space="preserve">he calculation results show that </w:t>
      </w:r>
      <w:r>
        <w:t>BH 01</w:t>
      </w:r>
      <w:r w:rsidRPr="00D81278">
        <w:t xml:space="preserve"> has a very high category of damage potential according to (Iwasaki et al., 1984), major category or large according to (</w:t>
      </w:r>
      <w:r w:rsidRPr="001A6F27">
        <w:t>Luna &amp; Frost, 1998</w:t>
      </w:r>
      <w:r w:rsidRPr="00F27530">
        <w:t>), and</w:t>
      </w:r>
      <w:r w:rsidRPr="00D81278">
        <w:t xml:space="preserve"> according to (MERM., 2003), it is a high category in which the LPI value obtained </w:t>
      </w:r>
      <w:r w:rsidR="00CF6C90">
        <w:t>is</w:t>
      </w:r>
      <w:r w:rsidR="00CF6C90" w:rsidRPr="00D81278">
        <w:t xml:space="preserve"> </w:t>
      </w:r>
      <w:r w:rsidRPr="00D81278">
        <w:t>&gt; 15. Meanwhile</w:t>
      </w:r>
      <w:r>
        <w:t xml:space="preserve">, </w:t>
      </w:r>
      <w:r w:rsidRPr="00D81278">
        <w:t xml:space="preserve">BH 02 </w:t>
      </w:r>
      <w:r>
        <w:t>has</w:t>
      </w:r>
      <w:r w:rsidRPr="00D81278">
        <w:t xml:space="preserve"> LPI value ran</w:t>
      </w:r>
      <w:r w:rsidR="00CF6C90">
        <w:t>ging</w:t>
      </w:r>
      <w:r w:rsidRPr="00D81278">
        <w:t xml:space="preserve"> from </w:t>
      </w:r>
      <w:r>
        <w:t>5 – 15</w:t>
      </w:r>
      <w:r w:rsidRPr="00D81278">
        <w:t xml:space="preserve"> which is a high category according to (Iwasaki et al., 1984), moderate category according to (Luna &amp; Frost, 1998), and according to (MERM., 2003)</w:t>
      </w:r>
      <w:r w:rsidR="00CF6C90">
        <w:t>,</w:t>
      </w:r>
      <w:r w:rsidRPr="00D81278">
        <w:t xml:space="preserve"> it is a medium category.</w:t>
      </w:r>
    </w:p>
    <w:p w14:paraId="7BFC0CCF" w14:textId="06C1EA9C" w:rsidR="00B56F67" w:rsidRDefault="00B56F67" w:rsidP="00B56F67">
      <w:pPr>
        <w:pStyle w:val="Paragraph"/>
      </w:pPr>
      <w:r w:rsidRPr="00D81278">
        <w:t xml:space="preserve">The liquefaction Severity Index is </w:t>
      </w:r>
      <w:r>
        <w:t>a</w:t>
      </w:r>
      <w:r w:rsidRPr="00D81278">
        <w:t xml:space="preserve"> method to estimate the damage level due to liquefaction. It is a development of the previous method proposed by </w:t>
      </w:r>
      <w:r>
        <w:t>(</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Iwasaki et al.,</w:t>
      </w:r>
      <w:r w:rsidRPr="00E21102">
        <w:t xml:space="preserve"> 198</w:t>
      </w:r>
      <w:r>
        <w:t>4</w:t>
      </w:r>
      <w:r w:rsidRPr="00E21102">
        <w:t>)</w:t>
      </w:r>
      <w:r w:rsidRPr="00E21102">
        <w:fldChar w:fldCharType="end"/>
      </w:r>
      <w:r>
        <w:t xml:space="preserve">. </w:t>
      </w:r>
      <w:r w:rsidRPr="00D81278">
        <w:t xml:space="preserve">Furthermore, the damage level due to liquefaction using LSI is classified into six categories as listed in Table </w:t>
      </w:r>
      <w:r>
        <w:t>5</w:t>
      </w:r>
      <w:r w:rsidRPr="00D81278">
        <w:t xml:space="preserve"> below.</w:t>
      </w:r>
    </w:p>
    <w:p w14:paraId="5E7954E0" w14:textId="037004F4" w:rsidR="00B56F67" w:rsidRDefault="00B56F67" w:rsidP="00B56F67">
      <w:pPr>
        <w:pStyle w:val="Heading2"/>
      </w:pPr>
      <w:r w:rsidRPr="00D81278">
        <w:t xml:space="preserve">Liquefaction Analysis with Liquefaction </w:t>
      </w:r>
      <w:r>
        <w:t>Severity</w:t>
      </w:r>
      <w:r w:rsidRPr="00D81278">
        <w:t xml:space="preserve"> Index Method</w:t>
      </w:r>
    </w:p>
    <w:p w14:paraId="24521659" w14:textId="7487D587" w:rsidR="00B56F67" w:rsidRDefault="00B56F67" w:rsidP="00B56F67">
      <w:pPr>
        <w:pStyle w:val="Paragraph"/>
      </w:pPr>
      <w:r w:rsidRPr="00D81278">
        <w:t xml:space="preserve">Based on the analysis results, the </w:t>
      </w:r>
      <w:r>
        <w:t>liquefaction severity index (LSI)</w:t>
      </w:r>
      <w:r w:rsidRPr="00D81278">
        <w:t xml:space="preserve"> value was obtained by integrating the </w:t>
      </w:r>
      <w:r w:rsidRPr="00D81278">
        <w:rPr>
          <w:i/>
          <w:iCs/>
        </w:rPr>
        <w:t>PL(z</w:t>
      </w:r>
      <w:proofErr w:type="gramStart"/>
      <w:r w:rsidRPr="00D81278">
        <w:rPr>
          <w:i/>
          <w:iCs/>
        </w:rPr>
        <w:t>).w</w:t>
      </w:r>
      <w:proofErr w:type="gramEnd"/>
      <w:r w:rsidRPr="00D81278">
        <w:t xml:space="preserve"> value at each depth. This is described by the area bounded by the </w:t>
      </w:r>
      <w:r w:rsidRPr="00D81278">
        <w:rPr>
          <w:i/>
          <w:iCs/>
        </w:rPr>
        <w:t>PL(z</w:t>
      </w:r>
      <w:proofErr w:type="gramStart"/>
      <w:r w:rsidRPr="00D81278">
        <w:rPr>
          <w:i/>
          <w:iCs/>
        </w:rPr>
        <w:t>).w</w:t>
      </w:r>
      <w:proofErr w:type="gramEnd"/>
      <w:r w:rsidRPr="00D81278">
        <w:t xml:space="preserve"> function as the x-axis, and depth as the y-axis. </w:t>
      </w:r>
      <w:r>
        <w:t>The</w:t>
      </w:r>
      <w:r w:rsidRPr="00D81278">
        <w:t xml:space="preserve"> calculation of the integral function</w:t>
      </w:r>
      <w:r w:rsidR="00CF6C90">
        <w:t xml:space="preserve"> </w:t>
      </w:r>
      <w:r w:rsidRPr="00D81278">
        <w:t xml:space="preserve">implemented the trapezoidal area method. Therefore, the LSI value </w:t>
      </w:r>
      <w:r>
        <w:t>of BH 01</w:t>
      </w:r>
      <w:r w:rsidRPr="00D81278">
        <w:t xml:space="preserve"> ha</w:t>
      </w:r>
      <w:r w:rsidR="00CF6C90">
        <w:t>s</w:t>
      </w:r>
      <w:r w:rsidRPr="00D81278">
        <w:t xml:space="preserve"> a larger area of 32.823</w:t>
      </w:r>
      <w:r w:rsidR="00CF6C90">
        <w:t>.</w:t>
      </w:r>
      <w:r>
        <w:t xml:space="preserve"> </w:t>
      </w:r>
      <w:r w:rsidR="00CF6C90">
        <w:t>I</w:t>
      </w:r>
      <w:r>
        <w:t>t</w:t>
      </w:r>
      <w:r w:rsidRPr="00D81278">
        <w:t xml:space="preserve"> show</w:t>
      </w:r>
      <w:r>
        <w:t>s</w:t>
      </w:r>
      <w:r w:rsidRPr="00D81278">
        <w:t xml:space="preserve"> that the LSI value</w:t>
      </w:r>
      <w:r w:rsidR="00CF6C90">
        <w:t xml:space="preserve"> is</w:t>
      </w:r>
      <w:r w:rsidRPr="00D81278">
        <w:t xml:space="preserve"> in the range of 15 &lt; LSI &lt; 35. </w:t>
      </w:r>
      <w:r w:rsidR="00CF6C90">
        <w:t>As a result</w:t>
      </w:r>
      <w:r w:rsidRPr="00D81278">
        <w:t xml:space="preserve">, the damage level that can be caused by liquefaction is in a low category. Meanwhile, </w:t>
      </w:r>
      <w:r>
        <w:t>BH 02</w:t>
      </w:r>
      <w:r w:rsidRPr="00D81278">
        <w:t xml:space="preserve"> </w:t>
      </w:r>
      <w:r>
        <w:t>has</w:t>
      </w:r>
      <w:r w:rsidRPr="00D81278">
        <w:t xml:space="preserve"> an area of 11.36</w:t>
      </w:r>
      <w:r>
        <w:t xml:space="preserve">8, </w:t>
      </w:r>
      <w:r w:rsidRPr="00D81278">
        <w:t xml:space="preserve">the LSI value obtained </w:t>
      </w:r>
      <w:r w:rsidR="00CF6C90">
        <w:t>is</w:t>
      </w:r>
      <w:r w:rsidR="00CF6C90" w:rsidRPr="00D81278">
        <w:t xml:space="preserve"> </w:t>
      </w:r>
      <w:r w:rsidRPr="00D81278">
        <w:t>in the range of 0 &lt; LSI &lt; 15 which is a very low category.</w:t>
      </w:r>
    </w:p>
    <w:p w14:paraId="63523BAC" w14:textId="3580ABF8" w:rsidR="00B56F67" w:rsidRPr="00B56F67" w:rsidRDefault="00B56F67" w:rsidP="00B56F67">
      <w:pPr>
        <w:pStyle w:val="Paragraph"/>
        <w:spacing w:before="240"/>
        <w:jc w:val="center"/>
        <w:rPr>
          <w:b/>
          <w:bCs/>
          <w:sz w:val="24"/>
          <w:szCs w:val="24"/>
        </w:rPr>
      </w:pPr>
      <w:r w:rsidRPr="00B56F67">
        <w:rPr>
          <w:b/>
          <w:bCs/>
          <w:sz w:val="24"/>
          <w:szCs w:val="24"/>
        </w:rPr>
        <w:t>Mitigation Efforts on Liquefaction Potential</w:t>
      </w:r>
    </w:p>
    <w:p w14:paraId="23CEC532" w14:textId="1A17A4B3" w:rsidR="00B56F67" w:rsidRPr="00D81278" w:rsidRDefault="00B56F67" w:rsidP="00B56F67">
      <w:pPr>
        <w:pStyle w:val="NoSpacing"/>
        <w:spacing w:before="120"/>
        <w:ind w:firstLine="284"/>
        <w:jc w:val="both"/>
        <w:rPr>
          <w:rFonts w:ascii="Times New Roman" w:hAnsi="Times New Roman"/>
          <w:sz w:val="20"/>
          <w:szCs w:val="20"/>
        </w:rPr>
      </w:pPr>
      <w:r w:rsidRPr="00D81278">
        <w:rPr>
          <w:rFonts w:ascii="Times New Roman" w:hAnsi="Times New Roman"/>
          <w:sz w:val="20"/>
          <w:szCs w:val="20"/>
        </w:rPr>
        <w:t>Based on field conditions,</w:t>
      </w:r>
      <w:r>
        <w:rPr>
          <w:rFonts w:ascii="Times New Roman" w:hAnsi="Times New Roman"/>
          <w:sz w:val="20"/>
          <w:szCs w:val="20"/>
        </w:rPr>
        <w:t xml:space="preserve"> </w:t>
      </w:r>
      <w:r w:rsidRPr="00D81278">
        <w:rPr>
          <w:rFonts w:ascii="Times New Roman" w:hAnsi="Times New Roman"/>
          <w:sz w:val="20"/>
          <w:szCs w:val="20"/>
        </w:rPr>
        <w:t xml:space="preserve">BH 01 was an area affected by liquefaction. Therefore, the area is not recommended for </w:t>
      </w:r>
      <w:r w:rsidRPr="00216F79">
        <w:rPr>
          <w:rFonts w:ascii="Times New Roman" w:hAnsi="Times New Roman"/>
          <w:sz w:val="20"/>
          <w:szCs w:val="20"/>
        </w:rPr>
        <w:t xml:space="preserve">rebuilding </w:t>
      </w:r>
      <w:r w:rsidRPr="00D81278">
        <w:rPr>
          <w:rFonts w:ascii="Times New Roman" w:hAnsi="Times New Roman"/>
          <w:sz w:val="20"/>
          <w:szCs w:val="20"/>
        </w:rPr>
        <w:t xml:space="preserve">but can be used as green open spaces. This is based on soil improvement by compacting </w:t>
      </w:r>
      <w:r>
        <w:rPr>
          <w:rFonts w:ascii="Times New Roman" w:hAnsi="Times New Roman"/>
          <w:sz w:val="20"/>
          <w:szCs w:val="20"/>
        </w:rPr>
        <w:t>at ground level</w:t>
      </w:r>
      <w:r w:rsidRPr="00D81278">
        <w:rPr>
          <w:rFonts w:ascii="Times New Roman" w:hAnsi="Times New Roman"/>
          <w:sz w:val="20"/>
          <w:szCs w:val="20"/>
        </w:rPr>
        <w:t xml:space="preserve"> and making drainage to control pore water in the soil.</w:t>
      </w:r>
    </w:p>
    <w:p w14:paraId="77BC3168" w14:textId="6137D0EC" w:rsidR="00B56F67" w:rsidRDefault="00B56F67" w:rsidP="00B56F67">
      <w:pPr>
        <w:pStyle w:val="Paragraph"/>
      </w:pPr>
      <w:r w:rsidRPr="00D81278">
        <w:t xml:space="preserve">The BH 02 an area not affected by liquefaction in the September 28, </w:t>
      </w:r>
      <w:proofErr w:type="gramStart"/>
      <w:r w:rsidRPr="00D81278">
        <w:t>2018</w:t>
      </w:r>
      <w:proofErr w:type="gramEnd"/>
      <w:r w:rsidRPr="00D81278">
        <w:t xml:space="preserve"> earthquake. The soil interpretation results </w:t>
      </w:r>
      <w:r>
        <w:t>show</w:t>
      </w:r>
      <w:r w:rsidRPr="00D81278">
        <w:t xml:space="preserve"> that this point is a </w:t>
      </w:r>
      <w:r>
        <w:t xml:space="preserve">type of </w:t>
      </w:r>
      <w:r w:rsidRPr="00D81278">
        <w:t>loose sand</w:t>
      </w:r>
      <w:r>
        <w:t xml:space="preserve"> </w:t>
      </w:r>
      <w:r w:rsidRPr="00D81278">
        <w:t xml:space="preserve">at a depth of </w:t>
      </w:r>
      <w:r>
        <w:t>4 – 6</w:t>
      </w:r>
      <w:r w:rsidRPr="00D81278">
        <w:t xml:space="preserve"> meters, dense sand soil at a depth of 8 – 20 meters and a shallow groundwater level at 2.10 meters. The results of the liquefaction potential analysis show that the point has liquefaction potential at a depth of 4 – 6 meters, with the value of the damage level based on LPI being a medium category and the damage level caused by liquefaction based on the LSI being a very low category. </w:t>
      </w:r>
      <w:r>
        <w:t>Meanwhile</w:t>
      </w:r>
      <w:r w:rsidRPr="00D81278">
        <w:t>, BH 02</w:t>
      </w:r>
      <w:r>
        <w:t xml:space="preserve"> </w:t>
      </w:r>
      <w:r w:rsidRPr="00D81278">
        <w:t xml:space="preserve">can be stated to have no liquefaction potential. This is due to the analysis results at a depth below the very </w:t>
      </w:r>
      <w:r>
        <w:t>dense</w:t>
      </w:r>
      <w:r w:rsidRPr="00D81278">
        <w:t xml:space="preserve"> soil. Therefore, liquefaction at a depth of 4</w:t>
      </w:r>
      <w:r>
        <w:t xml:space="preserve"> – 6</w:t>
      </w:r>
      <w:r w:rsidRPr="00D81278">
        <w:t xml:space="preserve"> d</w:t>
      </w:r>
      <w:r>
        <w:t>oes</w:t>
      </w:r>
      <w:r w:rsidRPr="00D81278">
        <w:t xml:space="preserve"> not affect the soil above it and cause</w:t>
      </w:r>
      <w:r w:rsidR="00216F79">
        <w:t>s</w:t>
      </w:r>
      <w:r w:rsidRPr="00D81278">
        <w:t xml:space="preserve"> no damage.</w:t>
      </w:r>
    </w:p>
    <w:p w14:paraId="0ED0A316" w14:textId="42976573" w:rsidR="00B56F67" w:rsidRPr="00000814" w:rsidRDefault="00B56F67" w:rsidP="00B56F67">
      <w:pPr>
        <w:pStyle w:val="Heading1"/>
      </w:pPr>
      <w:r>
        <w:t>CONCLUSION</w:t>
      </w:r>
    </w:p>
    <w:p w14:paraId="10B88593" w14:textId="59E6CCB0" w:rsidR="00B56F67" w:rsidRPr="00D81278" w:rsidRDefault="00216F79" w:rsidP="00B56F67">
      <w:pPr>
        <w:pStyle w:val="NoSpacing"/>
        <w:ind w:firstLine="284"/>
        <w:jc w:val="both"/>
        <w:rPr>
          <w:rFonts w:ascii="Times New Roman" w:hAnsi="Times New Roman"/>
          <w:sz w:val="20"/>
          <w:szCs w:val="20"/>
        </w:rPr>
      </w:pPr>
      <w:r>
        <w:rPr>
          <w:rFonts w:ascii="Times New Roman" w:hAnsi="Times New Roman"/>
          <w:sz w:val="20"/>
          <w:szCs w:val="20"/>
        </w:rPr>
        <w:t>The a</w:t>
      </w:r>
      <w:r w:rsidR="00B56F67" w:rsidRPr="00D81278">
        <w:rPr>
          <w:rFonts w:ascii="Times New Roman" w:hAnsi="Times New Roman"/>
          <w:sz w:val="20"/>
          <w:szCs w:val="20"/>
        </w:rPr>
        <w:t xml:space="preserve">nalysis of </w:t>
      </w:r>
      <w:r w:rsidR="00B56F67">
        <w:rPr>
          <w:rFonts w:ascii="Times New Roman" w:hAnsi="Times New Roman"/>
          <w:sz w:val="20"/>
          <w:szCs w:val="20"/>
        </w:rPr>
        <w:t>potential liquefaction us</w:t>
      </w:r>
      <w:r>
        <w:rPr>
          <w:rFonts w:ascii="Times New Roman" w:hAnsi="Times New Roman"/>
          <w:sz w:val="20"/>
          <w:szCs w:val="20"/>
        </w:rPr>
        <w:t>ed</w:t>
      </w:r>
      <w:r w:rsidR="00B56F67" w:rsidRPr="00D81278">
        <w:rPr>
          <w:rFonts w:ascii="Times New Roman" w:hAnsi="Times New Roman"/>
          <w:sz w:val="20"/>
          <w:szCs w:val="20"/>
        </w:rPr>
        <w:t xml:space="preserve"> Seed, et al., (1985) method </w:t>
      </w:r>
      <w:r w:rsidR="00B56F67">
        <w:rPr>
          <w:rFonts w:ascii="Times New Roman" w:hAnsi="Times New Roman"/>
          <w:sz w:val="20"/>
          <w:szCs w:val="20"/>
        </w:rPr>
        <w:t>in Settle3 software</w:t>
      </w:r>
      <w:r>
        <w:rPr>
          <w:rFonts w:ascii="Times New Roman" w:hAnsi="Times New Roman"/>
          <w:sz w:val="20"/>
          <w:szCs w:val="20"/>
        </w:rPr>
        <w:t xml:space="preserve"> and</w:t>
      </w:r>
      <w:r w:rsidR="00B56F67" w:rsidRPr="00D81278">
        <w:rPr>
          <w:rFonts w:ascii="Times New Roman" w:hAnsi="Times New Roman"/>
          <w:sz w:val="20"/>
          <w:szCs w:val="20"/>
        </w:rPr>
        <w:t xml:space="preserve"> </w:t>
      </w:r>
      <w:r w:rsidR="00B56F67">
        <w:rPr>
          <w:rFonts w:ascii="Times New Roman" w:hAnsi="Times New Roman"/>
          <w:sz w:val="20"/>
          <w:szCs w:val="20"/>
        </w:rPr>
        <w:t>t</w:t>
      </w:r>
      <w:r w:rsidR="00B56F67" w:rsidRPr="00D81278">
        <w:rPr>
          <w:rFonts w:ascii="Times New Roman" w:hAnsi="Times New Roman"/>
          <w:sz w:val="20"/>
          <w:szCs w:val="20"/>
        </w:rPr>
        <w:t>he results show that BH 01 ha</w:t>
      </w:r>
      <w:r>
        <w:rPr>
          <w:rFonts w:ascii="Times New Roman" w:hAnsi="Times New Roman"/>
          <w:sz w:val="20"/>
          <w:szCs w:val="20"/>
        </w:rPr>
        <w:t>s</w:t>
      </w:r>
      <w:r w:rsidR="00B56F67" w:rsidRPr="00D81278">
        <w:rPr>
          <w:rFonts w:ascii="Times New Roman" w:hAnsi="Times New Roman"/>
          <w:sz w:val="20"/>
          <w:szCs w:val="20"/>
        </w:rPr>
        <w:t xml:space="preserve"> a high liquefaction potential with </w:t>
      </w:r>
      <w:r w:rsidR="00B56F67">
        <w:rPr>
          <w:rFonts w:ascii="Times New Roman" w:hAnsi="Times New Roman"/>
          <w:sz w:val="20"/>
          <w:szCs w:val="20"/>
        </w:rPr>
        <w:t>safety factor</w:t>
      </w:r>
      <w:r w:rsidR="00B56F67" w:rsidRPr="00D81278">
        <w:rPr>
          <w:rFonts w:ascii="Times New Roman" w:hAnsi="Times New Roman"/>
          <w:sz w:val="20"/>
          <w:szCs w:val="20"/>
        </w:rPr>
        <w:t xml:space="preserve"> &lt; 1 at a certain depth. Meanwhile, </w:t>
      </w:r>
      <w:r w:rsidR="00B56F67">
        <w:rPr>
          <w:rFonts w:ascii="Times New Roman" w:hAnsi="Times New Roman"/>
          <w:sz w:val="20"/>
          <w:szCs w:val="20"/>
        </w:rPr>
        <w:t>BH 02</w:t>
      </w:r>
      <w:r w:rsidR="00B56F67" w:rsidRPr="00D81278">
        <w:rPr>
          <w:rFonts w:ascii="Times New Roman" w:hAnsi="Times New Roman"/>
          <w:sz w:val="20"/>
          <w:szCs w:val="20"/>
        </w:rPr>
        <w:t xml:space="preserve"> </w:t>
      </w:r>
      <w:r w:rsidR="00B56F67">
        <w:rPr>
          <w:rFonts w:ascii="Times New Roman" w:hAnsi="Times New Roman"/>
          <w:sz w:val="20"/>
          <w:szCs w:val="20"/>
        </w:rPr>
        <w:t xml:space="preserve">has </w:t>
      </w:r>
      <w:r w:rsidR="00B56F67" w:rsidRPr="00D81278">
        <w:rPr>
          <w:rFonts w:ascii="Times New Roman" w:hAnsi="Times New Roman"/>
          <w:sz w:val="20"/>
          <w:szCs w:val="20"/>
        </w:rPr>
        <w:t xml:space="preserve">liquefaction potential </w:t>
      </w:r>
      <w:r>
        <w:rPr>
          <w:rFonts w:ascii="Times New Roman" w:hAnsi="Times New Roman"/>
          <w:sz w:val="20"/>
          <w:szCs w:val="20"/>
        </w:rPr>
        <w:t xml:space="preserve">that </w:t>
      </w:r>
      <w:r w:rsidR="00B56F67" w:rsidRPr="00D81278">
        <w:rPr>
          <w:rFonts w:ascii="Times New Roman" w:hAnsi="Times New Roman"/>
          <w:sz w:val="20"/>
          <w:szCs w:val="20"/>
        </w:rPr>
        <w:t xml:space="preserve">only </w:t>
      </w:r>
      <w:r w:rsidRPr="00D81278">
        <w:rPr>
          <w:rFonts w:ascii="Times New Roman" w:hAnsi="Times New Roman"/>
          <w:sz w:val="20"/>
          <w:szCs w:val="20"/>
        </w:rPr>
        <w:t>occurs</w:t>
      </w:r>
      <w:r w:rsidR="00B56F67" w:rsidRPr="00D81278">
        <w:rPr>
          <w:rFonts w:ascii="Times New Roman" w:hAnsi="Times New Roman"/>
          <w:sz w:val="20"/>
          <w:szCs w:val="20"/>
        </w:rPr>
        <w:t xml:space="preserve"> at a depth </w:t>
      </w:r>
      <w:r w:rsidR="00B56F67">
        <w:rPr>
          <w:rFonts w:ascii="Times New Roman" w:hAnsi="Times New Roman"/>
          <w:sz w:val="20"/>
          <w:szCs w:val="20"/>
        </w:rPr>
        <w:t>of</w:t>
      </w:r>
      <w:r w:rsidR="00B56F67" w:rsidRPr="00D81278">
        <w:rPr>
          <w:rFonts w:ascii="Times New Roman" w:hAnsi="Times New Roman"/>
          <w:sz w:val="20"/>
          <w:szCs w:val="20"/>
        </w:rPr>
        <w:t xml:space="preserve"> 4 – 6 meters.</w:t>
      </w:r>
    </w:p>
    <w:p w14:paraId="11E91E8A" w14:textId="22780FE5" w:rsidR="00B56F67" w:rsidRPr="00D81278" w:rsidRDefault="00B56F67" w:rsidP="00B56F67">
      <w:pPr>
        <w:pStyle w:val="NoSpacing"/>
        <w:ind w:firstLine="284"/>
        <w:jc w:val="both"/>
        <w:rPr>
          <w:rFonts w:ascii="Times New Roman" w:hAnsi="Times New Roman"/>
          <w:sz w:val="20"/>
          <w:szCs w:val="20"/>
        </w:rPr>
      </w:pPr>
      <w:r>
        <w:rPr>
          <w:rFonts w:ascii="Times New Roman" w:hAnsi="Times New Roman"/>
          <w:sz w:val="20"/>
          <w:szCs w:val="20"/>
        </w:rPr>
        <w:t>T</w:t>
      </w:r>
      <w:r w:rsidRPr="00D81278">
        <w:rPr>
          <w:rFonts w:ascii="Times New Roman" w:hAnsi="Times New Roman"/>
          <w:sz w:val="20"/>
          <w:szCs w:val="20"/>
        </w:rPr>
        <w:t>he analysis of the damage level due to liquefaction was carried out using the Liquefaction Potential Index (LPI) and Liquefaction Severity Index (LSI) methods</w:t>
      </w:r>
      <w:r>
        <w:rPr>
          <w:rFonts w:ascii="Times New Roman" w:hAnsi="Times New Roman"/>
          <w:sz w:val="20"/>
          <w:szCs w:val="20"/>
        </w:rPr>
        <w:t>, t</w:t>
      </w:r>
      <w:r w:rsidRPr="00D81278">
        <w:rPr>
          <w:rFonts w:ascii="Times New Roman" w:hAnsi="Times New Roman"/>
          <w:sz w:val="20"/>
          <w:szCs w:val="20"/>
        </w:rPr>
        <w:t xml:space="preserve">he results show that </w:t>
      </w:r>
      <w:r>
        <w:rPr>
          <w:rFonts w:ascii="Times New Roman" w:hAnsi="Times New Roman"/>
          <w:sz w:val="20"/>
          <w:szCs w:val="20"/>
        </w:rPr>
        <w:t>BH 01</w:t>
      </w:r>
      <w:r w:rsidRPr="00D81278">
        <w:rPr>
          <w:rFonts w:ascii="Times New Roman" w:hAnsi="Times New Roman"/>
          <w:sz w:val="20"/>
          <w:szCs w:val="20"/>
        </w:rPr>
        <w:t xml:space="preserve"> ha</w:t>
      </w:r>
      <w:r w:rsidR="00216F79">
        <w:rPr>
          <w:rFonts w:ascii="Times New Roman" w:hAnsi="Times New Roman"/>
          <w:sz w:val="20"/>
          <w:szCs w:val="20"/>
        </w:rPr>
        <w:t>s</w:t>
      </w:r>
      <w:r w:rsidRPr="00D81278">
        <w:rPr>
          <w:rFonts w:ascii="Times New Roman" w:hAnsi="Times New Roman"/>
          <w:sz w:val="20"/>
          <w:szCs w:val="20"/>
        </w:rPr>
        <w:t xml:space="preserve"> a very high level of potential damage with the degree of damage due to liquefaction being categorized as low. Meanwhile, </w:t>
      </w:r>
      <w:r w:rsidR="00216F79">
        <w:rPr>
          <w:rFonts w:ascii="Times New Roman" w:hAnsi="Times New Roman"/>
          <w:sz w:val="20"/>
          <w:szCs w:val="20"/>
        </w:rPr>
        <w:t xml:space="preserve">for </w:t>
      </w:r>
      <w:r w:rsidR="00216F79" w:rsidRPr="00D81278">
        <w:rPr>
          <w:rFonts w:ascii="Times New Roman" w:hAnsi="Times New Roman"/>
          <w:sz w:val="20"/>
          <w:szCs w:val="20"/>
        </w:rPr>
        <w:t>BH 02</w:t>
      </w:r>
      <w:r w:rsidR="00216F79">
        <w:rPr>
          <w:rFonts w:ascii="Times New Roman" w:hAnsi="Times New Roman"/>
          <w:sz w:val="20"/>
          <w:szCs w:val="20"/>
        </w:rPr>
        <w:t xml:space="preserve">, the </w:t>
      </w:r>
      <w:r w:rsidRPr="00D81278">
        <w:rPr>
          <w:rFonts w:ascii="Times New Roman" w:hAnsi="Times New Roman"/>
          <w:sz w:val="20"/>
          <w:szCs w:val="20"/>
        </w:rPr>
        <w:t xml:space="preserve">level of potential damage due to liquefaction is in the medium category and the degree of damage that can be caused by liquefaction </w:t>
      </w:r>
      <w:r w:rsidR="00216F79">
        <w:rPr>
          <w:rFonts w:ascii="Times New Roman" w:hAnsi="Times New Roman"/>
          <w:sz w:val="20"/>
          <w:szCs w:val="20"/>
        </w:rPr>
        <w:t>is</w:t>
      </w:r>
      <w:r w:rsidR="00216F79" w:rsidRPr="00D81278">
        <w:rPr>
          <w:rFonts w:ascii="Times New Roman" w:hAnsi="Times New Roman"/>
          <w:sz w:val="20"/>
          <w:szCs w:val="20"/>
        </w:rPr>
        <w:t xml:space="preserve"> </w:t>
      </w:r>
      <w:r w:rsidRPr="00D81278">
        <w:rPr>
          <w:rFonts w:ascii="Times New Roman" w:hAnsi="Times New Roman"/>
          <w:sz w:val="20"/>
          <w:szCs w:val="20"/>
        </w:rPr>
        <w:t xml:space="preserve">categorized as very low. </w:t>
      </w:r>
    </w:p>
    <w:p w14:paraId="4FBF3185" w14:textId="4C9B6A19" w:rsidR="00B56F67" w:rsidRDefault="00B56F67" w:rsidP="00B56F67">
      <w:pPr>
        <w:pStyle w:val="Paragraph"/>
      </w:pPr>
      <w:r w:rsidRPr="00D81278">
        <w:t xml:space="preserve">Based on the analysis results, it </w:t>
      </w:r>
      <w:r w:rsidR="00216F79">
        <w:t>is</w:t>
      </w:r>
      <w:r w:rsidR="00216F79" w:rsidRPr="00D81278">
        <w:t xml:space="preserve"> </w:t>
      </w:r>
      <w:r w:rsidRPr="00D81278">
        <w:t xml:space="preserve">concluded that </w:t>
      </w:r>
      <w:r>
        <w:t>BH 01</w:t>
      </w:r>
      <w:r w:rsidRPr="00D81278">
        <w:t xml:space="preserve"> which ha</w:t>
      </w:r>
      <w:r w:rsidR="00216F79">
        <w:t>s</w:t>
      </w:r>
      <w:r w:rsidRPr="00D81278">
        <w:t xml:space="preserve"> the potential for liquefaction as deep as 20 meters with a very high level of potential damage, is not recommended for rebuilding because </w:t>
      </w:r>
      <w:r>
        <w:t>it is located at the liquefaction</w:t>
      </w:r>
      <w:r w:rsidRPr="00D81278">
        <w:t xml:space="preserve"> area and </w:t>
      </w:r>
      <w:r w:rsidR="00216F79">
        <w:t xml:space="preserve">instead, </w:t>
      </w:r>
      <w:r w:rsidRPr="00D81278">
        <w:t xml:space="preserve">can be used as a green open space. Meanwhile, </w:t>
      </w:r>
      <w:r>
        <w:t>the analysis results of BH 02</w:t>
      </w:r>
      <w:r w:rsidR="00216F79">
        <w:t xml:space="preserve"> shows that it</w:t>
      </w:r>
      <w:r>
        <w:t xml:space="preserve"> has </w:t>
      </w:r>
      <w:r w:rsidRPr="00D81278">
        <w:t xml:space="preserve">the liquefaction potential </w:t>
      </w:r>
      <w:r>
        <w:t>but only</w:t>
      </w:r>
      <w:r w:rsidRPr="00D81278">
        <w:t xml:space="preserve"> at a depth </w:t>
      </w:r>
      <w:r>
        <w:t>of</w:t>
      </w:r>
      <w:r w:rsidRPr="00D81278">
        <w:t xml:space="preserve"> 4 – 6 meters. Therefore, there is no need for repairs because the liquefaction potential </w:t>
      </w:r>
      <w:r w:rsidR="00216F79">
        <w:t>is</w:t>
      </w:r>
      <w:r w:rsidR="00216F79" w:rsidRPr="00D81278">
        <w:t xml:space="preserve"> </w:t>
      </w:r>
      <w:r w:rsidRPr="00D81278">
        <w:t xml:space="preserve">at a depth below the ground surface which is very </w:t>
      </w:r>
      <w:r>
        <w:t xml:space="preserve">dense </w:t>
      </w:r>
      <w:proofErr w:type="gramStart"/>
      <w:r>
        <w:t>soil</w:t>
      </w:r>
      <w:proofErr w:type="gramEnd"/>
      <w:r w:rsidR="00216F79">
        <w:t xml:space="preserve"> </w:t>
      </w:r>
      <w:r w:rsidRPr="00D81278">
        <w:t>and it does not cause damage to the structure above it</w:t>
      </w:r>
      <w:r w:rsidRPr="00D81278">
        <w:rPr>
          <w:color w:val="000000"/>
        </w:rPr>
        <w:t>.</w:t>
      </w:r>
    </w:p>
    <w:p w14:paraId="18861239" w14:textId="2FA59DF7" w:rsidR="00151388" w:rsidRPr="00151388" w:rsidRDefault="00B56F67" w:rsidP="00151388">
      <w:pPr>
        <w:pStyle w:val="Heading1"/>
        <w:rPr>
          <w:b w:val="0"/>
          <w:caps w:val="0"/>
          <w:sz w:val="20"/>
        </w:rPr>
      </w:pPr>
      <w:r w:rsidRPr="00075EA6">
        <w:rPr>
          <w:rFonts w:asciiTheme="majorBidi" w:hAnsiTheme="majorBidi" w:cstheme="majorBidi"/>
        </w:rPr>
        <w:lastRenderedPageBreak/>
        <w:t>References</w:t>
      </w:r>
    </w:p>
    <w:p w14:paraId="47421A12" w14:textId="001D8E03" w:rsidR="00151388" w:rsidRPr="00151388" w:rsidRDefault="00151388" w:rsidP="00151388">
      <w:pPr>
        <w:pStyle w:val="ListParagraph"/>
        <w:widowControl w:val="0"/>
        <w:numPr>
          <w:ilvl w:val="0"/>
          <w:numId w:val="7"/>
        </w:numPr>
        <w:tabs>
          <w:tab w:val="left" w:pos="284"/>
        </w:tabs>
        <w:suppressAutoHyphens/>
        <w:autoSpaceDE w:val="0"/>
        <w:autoSpaceDN w:val="0"/>
        <w:adjustRightInd w:val="0"/>
        <w:spacing w:before="120"/>
        <w:ind w:left="284" w:hanging="284"/>
        <w:jc w:val="both"/>
        <w:rPr>
          <w:sz w:val="20"/>
        </w:rPr>
      </w:pPr>
      <w:r w:rsidRPr="00151388">
        <w:rPr>
          <w:sz w:val="20"/>
        </w:rPr>
        <w:t xml:space="preserve">Cetin K.O., Seed R.B., Der Kiureghian A., Tokimatsu K., Harder L.F. Jr, Kayen R.E., MossR.E.S. “SPT-based probabilistic and deterministic assessment of seismic soil liquefaction potential”, </w:t>
      </w:r>
      <w:r w:rsidRPr="000473F8">
        <w:rPr>
          <w:i/>
          <w:iCs/>
          <w:sz w:val="20"/>
        </w:rPr>
        <w:t>Journal of Geotechnical and Geoenvironmental Engineering</w:t>
      </w:r>
      <w:r w:rsidRPr="00151388">
        <w:rPr>
          <w:sz w:val="20"/>
        </w:rPr>
        <w:t>, ASCE, 130(12), 1314-1340 (2004)</w:t>
      </w:r>
    </w:p>
    <w:p w14:paraId="61FB3F6E" w14:textId="56B33484" w:rsidR="00151388" w:rsidRDefault="00151388" w:rsidP="00151388">
      <w:pPr>
        <w:pStyle w:val="ListParagraph"/>
        <w:widowControl w:val="0"/>
        <w:numPr>
          <w:ilvl w:val="0"/>
          <w:numId w:val="7"/>
        </w:numPr>
        <w:tabs>
          <w:tab w:val="left" w:pos="284"/>
        </w:tabs>
        <w:suppressAutoHyphens/>
        <w:autoSpaceDE w:val="0"/>
        <w:autoSpaceDN w:val="0"/>
        <w:adjustRightInd w:val="0"/>
        <w:spacing w:before="120"/>
        <w:ind w:left="284" w:hanging="284"/>
        <w:jc w:val="both"/>
        <w:rPr>
          <w:sz w:val="20"/>
        </w:rPr>
      </w:pPr>
      <w:r w:rsidRPr="00151388">
        <w:rPr>
          <w:noProof/>
          <w:sz w:val="20"/>
        </w:rPr>
        <w:t xml:space="preserve">Fathani, T. F., Adi, A. D., Pramumijoyo, S., &amp; Karnawati, D. </w:t>
      </w:r>
      <w:r w:rsidR="00E93D9C">
        <w:rPr>
          <w:noProof/>
          <w:sz w:val="20"/>
        </w:rPr>
        <w:t>“</w:t>
      </w:r>
      <w:r w:rsidRPr="00151388">
        <w:rPr>
          <w:noProof/>
          <w:sz w:val="20"/>
        </w:rPr>
        <w:t>The Determination of Peak Ground Acceleration at Bantul Regency , Yogyakarta Province , Indonesia</w:t>
      </w:r>
      <w:r w:rsidR="00E93D9C">
        <w:rPr>
          <w:noProof/>
          <w:sz w:val="20"/>
        </w:rPr>
        <w:t>”.</w:t>
      </w:r>
      <w:r w:rsidRPr="00151388">
        <w:rPr>
          <w:noProof/>
          <w:sz w:val="20"/>
        </w:rPr>
        <w:t xml:space="preserve"> </w:t>
      </w:r>
      <w:r w:rsidRPr="00151388">
        <w:rPr>
          <w:i/>
          <w:iCs/>
          <w:noProof/>
          <w:sz w:val="20"/>
        </w:rPr>
        <w:t>The Yogyakarta Earthquake of May 27, 2006</w:t>
      </w:r>
      <w:r w:rsidRPr="00151388">
        <w:rPr>
          <w:noProof/>
          <w:sz w:val="20"/>
        </w:rPr>
        <w:t>, 1–15 (2008)</w:t>
      </w:r>
    </w:p>
    <w:p w14:paraId="33F29959" w14:textId="1F7B5E89"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Hidayat, R. F., Kiyota, T., Tada, N., Hayakawa, J., &amp; Nawir, H.</w:t>
      </w:r>
      <w:r>
        <w:rPr>
          <w:noProof/>
          <w:sz w:val="20"/>
        </w:rPr>
        <w:t xml:space="preserve"> “</w:t>
      </w:r>
      <w:r w:rsidRPr="00C15FAB">
        <w:rPr>
          <w:noProof/>
          <w:sz w:val="20"/>
        </w:rPr>
        <w:t xml:space="preserve">Reconnaissance on </w:t>
      </w:r>
      <w:r>
        <w:rPr>
          <w:noProof/>
          <w:sz w:val="20"/>
        </w:rPr>
        <w:t>L</w:t>
      </w:r>
      <w:r w:rsidRPr="00C15FAB">
        <w:rPr>
          <w:noProof/>
          <w:sz w:val="20"/>
        </w:rPr>
        <w:t xml:space="preserve">iquefaction-induced </w:t>
      </w:r>
      <w:r>
        <w:rPr>
          <w:noProof/>
          <w:sz w:val="20"/>
        </w:rPr>
        <w:t>F</w:t>
      </w:r>
      <w:r w:rsidRPr="00C15FAB">
        <w:rPr>
          <w:noProof/>
          <w:sz w:val="20"/>
        </w:rPr>
        <w:t xml:space="preserve">low </w:t>
      </w:r>
      <w:r>
        <w:rPr>
          <w:noProof/>
          <w:sz w:val="20"/>
        </w:rPr>
        <w:t>F</w:t>
      </w:r>
      <w:r w:rsidRPr="00C15FAB">
        <w:rPr>
          <w:noProof/>
          <w:sz w:val="20"/>
        </w:rPr>
        <w:t xml:space="preserve">ailure caused by </w:t>
      </w:r>
      <w:r>
        <w:rPr>
          <w:noProof/>
          <w:sz w:val="20"/>
        </w:rPr>
        <w:t>T</w:t>
      </w:r>
      <w:r w:rsidRPr="00C15FAB">
        <w:rPr>
          <w:noProof/>
          <w:sz w:val="20"/>
        </w:rPr>
        <w:t xml:space="preserve">he 2018 Mw 7.5 </w:t>
      </w:r>
      <w:r>
        <w:rPr>
          <w:noProof/>
          <w:sz w:val="20"/>
        </w:rPr>
        <w:t>S</w:t>
      </w:r>
      <w:r w:rsidRPr="00C15FAB">
        <w:rPr>
          <w:noProof/>
          <w:sz w:val="20"/>
        </w:rPr>
        <w:t xml:space="preserve">ulawesi </w:t>
      </w:r>
      <w:r>
        <w:rPr>
          <w:noProof/>
          <w:sz w:val="20"/>
        </w:rPr>
        <w:t>E</w:t>
      </w:r>
      <w:r w:rsidRPr="00C15FAB">
        <w:rPr>
          <w:noProof/>
          <w:sz w:val="20"/>
        </w:rPr>
        <w:t xml:space="preserve">arthquake, </w:t>
      </w:r>
      <w:r>
        <w:rPr>
          <w:noProof/>
          <w:sz w:val="20"/>
        </w:rPr>
        <w:t>P</w:t>
      </w:r>
      <w:r w:rsidRPr="00C15FAB">
        <w:rPr>
          <w:noProof/>
          <w:sz w:val="20"/>
        </w:rPr>
        <w:t>alu, Indonesia</w:t>
      </w:r>
      <w:r>
        <w:rPr>
          <w:noProof/>
          <w:sz w:val="20"/>
        </w:rPr>
        <w:t>”</w:t>
      </w:r>
      <w:r w:rsidRPr="00C15FAB">
        <w:rPr>
          <w:noProof/>
          <w:sz w:val="20"/>
        </w:rPr>
        <w:t xml:space="preserve">. </w:t>
      </w:r>
      <w:r w:rsidRPr="00C15FAB">
        <w:rPr>
          <w:i/>
          <w:iCs/>
          <w:noProof/>
          <w:sz w:val="20"/>
        </w:rPr>
        <w:t>Journal of Engineering and Technological Sciences</w:t>
      </w:r>
      <w:r w:rsidRPr="00C15FAB">
        <w:rPr>
          <w:noProof/>
          <w:sz w:val="20"/>
        </w:rPr>
        <w:t xml:space="preserve">, </w:t>
      </w:r>
      <w:r w:rsidRPr="00C15FAB">
        <w:rPr>
          <w:i/>
          <w:iCs/>
          <w:noProof/>
          <w:sz w:val="20"/>
        </w:rPr>
        <w:t>52</w:t>
      </w:r>
      <w:r w:rsidRPr="00C15FAB">
        <w:rPr>
          <w:noProof/>
          <w:sz w:val="20"/>
        </w:rPr>
        <w:t>(1), 51–65</w:t>
      </w:r>
      <w:r>
        <w:rPr>
          <w:noProof/>
          <w:sz w:val="20"/>
        </w:rPr>
        <w:t xml:space="preserve"> (2020)</w:t>
      </w:r>
    </w:p>
    <w:p w14:paraId="7EBD45D5" w14:textId="537B1C11" w:rsidR="00151388" w:rsidRDefault="00151388" w:rsidP="00151388">
      <w:pPr>
        <w:pStyle w:val="ListParagraph"/>
        <w:widowControl w:val="0"/>
        <w:numPr>
          <w:ilvl w:val="0"/>
          <w:numId w:val="7"/>
        </w:numPr>
        <w:tabs>
          <w:tab w:val="left" w:pos="284"/>
        </w:tabs>
        <w:suppressAutoHyphens/>
        <w:autoSpaceDE w:val="0"/>
        <w:autoSpaceDN w:val="0"/>
        <w:adjustRightInd w:val="0"/>
        <w:spacing w:before="120"/>
        <w:ind w:left="284" w:hanging="284"/>
        <w:jc w:val="both"/>
        <w:rPr>
          <w:sz w:val="20"/>
        </w:rPr>
      </w:pPr>
      <w:r w:rsidRPr="00151388">
        <w:rPr>
          <w:sz w:val="20"/>
        </w:rPr>
        <w:t xml:space="preserve">Iwasaki, T., Arakawa, T., &amp; Tokida, K. </w:t>
      </w:r>
      <w:r w:rsidR="00E93D9C">
        <w:rPr>
          <w:sz w:val="20"/>
        </w:rPr>
        <w:t>“</w:t>
      </w:r>
      <w:r w:rsidRPr="00E93D9C">
        <w:rPr>
          <w:sz w:val="20"/>
        </w:rPr>
        <w:t>Simplified Procedures for Assessing Soil Liquefaction during Earthquakes</w:t>
      </w:r>
      <w:r w:rsidR="00E93D9C">
        <w:rPr>
          <w:sz w:val="20"/>
        </w:rPr>
        <w:t>”</w:t>
      </w:r>
      <w:r w:rsidRPr="00151388">
        <w:rPr>
          <w:sz w:val="20"/>
        </w:rPr>
        <w:t xml:space="preserve">, </w:t>
      </w:r>
      <w:r w:rsidRPr="00E93D9C">
        <w:rPr>
          <w:sz w:val="20"/>
        </w:rPr>
        <w:t>3</w:t>
      </w:r>
      <w:r w:rsidRPr="00151388">
        <w:rPr>
          <w:sz w:val="20"/>
        </w:rPr>
        <w:t>(1), 49–58 (1984)</w:t>
      </w:r>
    </w:p>
    <w:p w14:paraId="34F09563" w14:textId="6120B51E"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Jalil, A., Fathani, T. F., Satyarno, I., &amp; Wilopo, W.</w:t>
      </w:r>
      <w:r>
        <w:rPr>
          <w:noProof/>
          <w:sz w:val="20"/>
        </w:rPr>
        <w:t xml:space="preserve"> “</w:t>
      </w:r>
      <w:r w:rsidRPr="00C15FAB">
        <w:rPr>
          <w:noProof/>
          <w:sz w:val="20"/>
        </w:rPr>
        <w:t>Liquefaction in Palu : The Cause of Massive Mudflows</w:t>
      </w:r>
      <w:r>
        <w:rPr>
          <w:noProof/>
          <w:sz w:val="20"/>
        </w:rPr>
        <w:t>”,</w:t>
      </w:r>
      <w:r w:rsidRPr="00C15FAB">
        <w:rPr>
          <w:noProof/>
          <w:sz w:val="20"/>
        </w:rPr>
        <w:t xml:space="preserve"> </w:t>
      </w:r>
      <w:r w:rsidR="008B4C64" w:rsidRPr="00224402">
        <w:rPr>
          <w:i/>
          <w:iCs/>
          <w:noProof/>
          <w:sz w:val="20"/>
        </w:rPr>
        <w:t>Journal of Geoenvironmental Disasters</w:t>
      </w:r>
      <w:r w:rsidR="008B4C64">
        <w:rPr>
          <w:noProof/>
          <w:sz w:val="20"/>
        </w:rPr>
        <w:t>, in press,</w:t>
      </w:r>
      <w:r w:rsidR="00224402">
        <w:rPr>
          <w:noProof/>
          <w:sz w:val="20"/>
        </w:rPr>
        <w:t xml:space="preserve"> (</w:t>
      </w:r>
      <w:r w:rsidR="008B4C64">
        <w:rPr>
          <w:noProof/>
          <w:sz w:val="20"/>
        </w:rPr>
        <w:t>2</w:t>
      </w:r>
      <w:r>
        <w:rPr>
          <w:noProof/>
          <w:sz w:val="20"/>
        </w:rPr>
        <w:t>020</w:t>
      </w:r>
      <w:r w:rsidR="00224402">
        <w:rPr>
          <w:noProof/>
          <w:sz w:val="20"/>
        </w:rPr>
        <w:t>)</w:t>
      </w:r>
    </w:p>
    <w:p w14:paraId="3E2D0BA4" w14:textId="364514A9" w:rsidR="00151388" w:rsidRPr="00151388" w:rsidRDefault="00151388" w:rsidP="00151388">
      <w:pPr>
        <w:pStyle w:val="NormalWeb"/>
        <w:numPr>
          <w:ilvl w:val="0"/>
          <w:numId w:val="7"/>
        </w:numPr>
        <w:tabs>
          <w:tab w:val="left" w:pos="284"/>
        </w:tabs>
        <w:ind w:left="284" w:hanging="284"/>
        <w:jc w:val="both"/>
        <w:rPr>
          <w:sz w:val="20"/>
        </w:rPr>
      </w:pPr>
      <w:r w:rsidRPr="00151388">
        <w:rPr>
          <w:sz w:val="20"/>
          <w:szCs w:val="20"/>
        </w:rPr>
        <w:t xml:space="preserve">Kayen, R. E, Mitchell, J. K., Seed, R. B.’ Lodge, A., Nishio, S., and Coutinho, R. </w:t>
      </w:r>
      <w:r w:rsidR="00E93D9C">
        <w:rPr>
          <w:sz w:val="20"/>
          <w:szCs w:val="20"/>
        </w:rPr>
        <w:t>“</w:t>
      </w:r>
      <w:r w:rsidRPr="00151388">
        <w:rPr>
          <w:sz w:val="20"/>
          <w:szCs w:val="20"/>
        </w:rPr>
        <w:t>Evaluation of SPT-, CPT-, and shear wave-based methods for liquefaction potential assessment using Loma Prieta data</w:t>
      </w:r>
      <w:r w:rsidR="00E93D9C">
        <w:rPr>
          <w:sz w:val="20"/>
          <w:szCs w:val="20"/>
        </w:rPr>
        <w:t>”</w:t>
      </w:r>
      <w:r w:rsidRPr="00151388">
        <w:rPr>
          <w:sz w:val="20"/>
          <w:szCs w:val="20"/>
        </w:rPr>
        <w:t xml:space="preserve">, </w:t>
      </w:r>
      <w:r w:rsidRPr="00E93D9C">
        <w:rPr>
          <w:i/>
          <w:iCs/>
          <w:sz w:val="20"/>
          <w:szCs w:val="20"/>
        </w:rPr>
        <w:t>Proc., 4</w:t>
      </w:r>
      <w:r w:rsidRPr="00E93D9C">
        <w:rPr>
          <w:i/>
          <w:iCs/>
          <w:position w:val="6"/>
          <w:sz w:val="20"/>
          <w:szCs w:val="20"/>
        </w:rPr>
        <w:t xml:space="preserve">th </w:t>
      </w:r>
      <w:r w:rsidRPr="00E93D9C">
        <w:rPr>
          <w:i/>
          <w:iCs/>
          <w:sz w:val="20"/>
          <w:szCs w:val="20"/>
        </w:rPr>
        <w:t>Japan-U.S. Workshop on Earthquake-Resistant Des. Of Lifeline Fac. And Counterneasures for Soil Liquefaction</w:t>
      </w:r>
      <w:r w:rsidRPr="00151388">
        <w:rPr>
          <w:sz w:val="20"/>
          <w:szCs w:val="20"/>
        </w:rPr>
        <w:t>, Vol. 1, 177-</w:t>
      </w:r>
      <w:proofErr w:type="gramStart"/>
      <w:r w:rsidRPr="00151388">
        <w:rPr>
          <w:sz w:val="20"/>
          <w:szCs w:val="20"/>
        </w:rPr>
        <w:t>204  (</w:t>
      </w:r>
      <w:proofErr w:type="gramEnd"/>
      <w:r w:rsidRPr="00151388">
        <w:rPr>
          <w:sz w:val="20"/>
          <w:szCs w:val="20"/>
        </w:rPr>
        <w:t>1992)</w:t>
      </w:r>
    </w:p>
    <w:p w14:paraId="612477CE" w14:textId="5DB5472C" w:rsidR="00151388" w:rsidRPr="00151388" w:rsidRDefault="00151388" w:rsidP="00151388">
      <w:pPr>
        <w:pStyle w:val="NormalWeb"/>
        <w:numPr>
          <w:ilvl w:val="0"/>
          <w:numId w:val="7"/>
        </w:numPr>
        <w:tabs>
          <w:tab w:val="left" w:pos="284"/>
        </w:tabs>
        <w:ind w:left="284" w:hanging="284"/>
        <w:jc w:val="both"/>
        <w:rPr>
          <w:sz w:val="20"/>
        </w:rPr>
      </w:pPr>
      <w:r w:rsidRPr="00151388">
        <w:rPr>
          <w:sz w:val="20"/>
          <w:szCs w:val="20"/>
        </w:rPr>
        <w:t xml:space="preserve">Liao, S.S.C. and Whitman, R.V. </w:t>
      </w:r>
      <w:r w:rsidR="00E93D9C">
        <w:rPr>
          <w:sz w:val="20"/>
          <w:szCs w:val="20"/>
        </w:rPr>
        <w:t>“</w:t>
      </w:r>
      <w:r w:rsidRPr="00151388">
        <w:rPr>
          <w:sz w:val="20"/>
          <w:szCs w:val="20"/>
        </w:rPr>
        <w:t>Overburden Correction Factors for SPT in Sand</w:t>
      </w:r>
      <w:r w:rsidR="00E93D9C">
        <w:rPr>
          <w:sz w:val="20"/>
          <w:szCs w:val="20"/>
        </w:rPr>
        <w:t xml:space="preserve">”, </w:t>
      </w:r>
      <w:r w:rsidRPr="00E93D9C">
        <w:rPr>
          <w:i/>
          <w:iCs/>
          <w:sz w:val="20"/>
          <w:szCs w:val="20"/>
        </w:rPr>
        <w:t>Journal of Geotechnical Engineering</w:t>
      </w:r>
      <w:r w:rsidRPr="00151388">
        <w:rPr>
          <w:sz w:val="20"/>
          <w:szCs w:val="20"/>
        </w:rPr>
        <w:t>, Vol. 112, No. 3, p. 373 - 377, (1986a)</w:t>
      </w:r>
    </w:p>
    <w:p w14:paraId="4F1502E3" w14:textId="356A2240" w:rsidR="00151388" w:rsidRDefault="00151388" w:rsidP="00151388">
      <w:pPr>
        <w:pStyle w:val="NormalWeb"/>
        <w:numPr>
          <w:ilvl w:val="0"/>
          <w:numId w:val="7"/>
        </w:numPr>
        <w:tabs>
          <w:tab w:val="left" w:pos="284"/>
        </w:tabs>
        <w:ind w:left="284" w:hanging="284"/>
        <w:jc w:val="both"/>
        <w:rPr>
          <w:sz w:val="20"/>
        </w:rPr>
      </w:pPr>
      <w:r w:rsidRPr="00151388">
        <w:rPr>
          <w:sz w:val="20"/>
        </w:rPr>
        <w:t xml:space="preserve">Luna, R., &amp; Frost, J. D. </w:t>
      </w:r>
      <w:r w:rsidR="00E93D9C">
        <w:rPr>
          <w:sz w:val="20"/>
        </w:rPr>
        <w:t>“</w:t>
      </w:r>
      <w:r w:rsidRPr="00151388">
        <w:rPr>
          <w:sz w:val="20"/>
        </w:rPr>
        <w:t>Spatial liquefaction analysis system</w:t>
      </w:r>
      <w:r w:rsidR="00E93D9C">
        <w:rPr>
          <w:sz w:val="20"/>
        </w:rPr>
        <w:t>”,</w:t>
      </w:r>
      <w:r w:rsidRPr="00151388">
        <w:rPr>
          <w:sz w:val="20"/>
        </w:rPr>
        <w:t xml:space="preserve"> </w:t>
      </w:r>
      <w:r w:rsidRPr="00151388">
        <w:rPr>
          <w:i/>
          <w:iCs/>
          <w:sz w:val="20"/>
        </w:rPr>
        <w:t>Journal Comput. Civil Engineering</w:t>
      </w:r>
      <w:r w:rsidRPr="00151388">
        <w:rPr>
          <w:sz w:val="20"/>
        </w:rPr>
        <w:t>, 12, 48–56 (1998)</w:t>
      </w:r>
    </w:p>
    <w:p w14:paraId="43B0C1F3" w14:textId="65A12118" w:rsidR="00C15FAB" w:rsidRPr="00151388" w:rsidRDefault="00C15FAB" w:rsidP="00151388">
      <w:pPr>
        <w:pStyle w:val="NormalWeb"/>
        <w:numPr>
          <w:ilvl w:val="0"/>
          <w:numId w:val="7"/>
        </w:numPr>
        <w:tabs>
          <w:tab w:val="left" w:pos="284"/>
        </w:tabs>
        <w:ind w:left="284" w:hanging="284"/>
        <w:jc w:val="both"/>
        <w:rPr>
          <w:sz w:val="20"/>
        </w:rPr>
      </w:pPr>
      <w:r w:rsidRPr="00BB4535">
        <w:rPr>
          <w:noProof/>
          <w:sz w:val="20"/>
        </w:rPr>
        <w:t xml:space="preserve">Mason, B., Hutabarat, D., &amp; Prakoso, W. </w:t>
      </w:r>
      <w:r>
        <w:rPr>
          <w:noProof/>
          <w:sz w:val="20"/>
        </w:rPr>
        <w:t>“</w:t>
      </w:r>
      <w:r w:rsidRPr="00C15FAB">
        <w:rPr>
          <w:noProof/>
          <w:sz w:val="20"/>
        </w:rPr>
        <w:t>Geotechnical Extreme Events Reconnaissance</w:t>
      </w:r>
      <w:r>
        <w:rPr>
          <w:noProof/>
          <w:sz w:val="20"/>
        </w:rPr>
        <w:t>”,</w:t>
      </w:r>
      <w:r w:rsidRPr="00BB4535">
        <w:rPr>
          <w:noProof/>
          <w:sz w:val="20"/>
        </w:rPr>
        <w:t xml:space="preserve"> </w:t>
      </w:r>
      <w:r w:rsidRPr="00BB4535">
        <w:rPr>
          <w:i/>
          <w:iCs/>
          <w:noProof/>
          <w:sz w:val="20"/>
        </w:rPr>
        <w:t>Report of Geotechnical Extreme Events Reconnaissance, The Geotechnical Extreme Events Reconnaissance (GEER) Association</w:t>
      </w:r>
      <w:r>
        <w:rPr>
          <w:noProof/>
          <w:sz w:val="20"/>
        </w:rPr>
        <w:t xml:space="preserve"> (2019)</w:t>
      </w:r>
    </w:p>
    <w:p w14:paraId="741C8B43" w14:textId="61EBCDE5" w:rsidR="00151388" w:rsidRDefault="00151388" w:rsidP="00151388">
      <w:pPr>
        <w:pStyle w:val="NormalWeb"/>
        <w:numPr>
          <w:ilvl w:val="0"/>
          <w:numId w:val="7"/>
        </w:numPr>
        <w:tabs>
          <w:tab w:val="left" w:pos="284"/>
        </w:tabs>
        <w:ind w:left="284" w:hanging="284"/>
        <w:jc w:val="both"/>
        <w:rPr>
          <w:sz w:val="20"/>
        </w:rPr>
      </w:pPr>
      <w:r w:rsidRPr="00151388">
        <w:rPr>
          <w:sz w:val="20"/>
        </w:rPr>
        <w:t>Microzonation for Earthquake Risk Mitigation (MERM). "</w:t>
      </w:r>
      <w:r w:rsidRPr="00E93D9C">
        <w:rPr>
          <w:sz w:val="20"/>
        </w:rPr>
        <w:t>Microzonation Manual</w:t>
      </w:r>
      <w:r w:rsidRPr="00151388">
        <w:rPr>
          <w:i/>
          <w:iCs/>
          <w:sz w:val="20"/>
        </w:rPr>
        <w:t>"</w:t>
      </w:r>
      <w:r w:rsidRPr="00151388">
        <w:rPr>
          <w:sz w:val="20"/>
        </w:rPr>
        <w:t xml:space="preserve">. </w:t>
      </w:r>
      <w:r w:rsidRPr="00E93D9C">
        <w:rPr>
          <w:i/>
          <w:iCs/>
          <w:sz w:val="20"/>
        </w:rPr>
        <w:t xml:space="preserve">World Institute for Disaster Risk Management </w:t>
      </w:r>
      <w:r w:rsidRPr="00151388">
        <w:rPr>
          <w:sz w:val="20"/>
        </w:rPr>
        <w:t>(2003)</w:t>
      </w:r>
    </w:p>
    <w:p w14:paraId="2E46C573" w14:textId="70BC545D"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Miyajima, M., Setiawan, H., Yoshida, M., Ono, Y., Kosa, K., Oktaviana, I. S.</w:t>
      </w:r>
      <w:r>
        <w:rPr>
          <w:noProof/>
          <w:sz w:val="20"/>
        </w:rPr>
        <w:t>,</w:t>
      </w:r>
      <w:r w:rsidRPr="00C15FAB">
        <w:rPr>
          <w:noProof/>
          <w:sz w:val="20"/>
        </w:rPr>
        <w:t xml:space="preserve"> Irdhiani. </w:t>
      </w:r>
      <w:r>
        <w:rPr>
          <w:noProof/>
          <w:sz w:val="20"/>
        </w:rPr>
        <w:t>“</w:t>
      </w:r>
      <w:r w:rsidRPr="00C15FAB">
        <w:rPr>
          <w:noProof/>
          <w:sz w:val="20"/>
        </w:rPr>
        <w:t>Geotechnical damage in the 2018 Sulawesi earthquake, Indonesia</w:t>
      </w:r>
      <w:r>
        <w:rPr>
          <w:noProof/>
          <w:sz w:val="20"/>
        </w:rPr>
        <w:t>”</w:t>
      </w:r>
      <w:r w:rsidRPr="00C15FAB">
        <w:rPr>
          <w:noProof/>
          <w:sz w:val="20"/>
        </w:rPr>
        <w:t xml:space="preserve">. </w:t>
      </w:r>
      <w:r w:rsidRPr="00C15FAB">
        <w:rPr>
          <w:i/>
          <w:iCs/>
          <w:noProof/>
          <w:sz w:val="20"/>
        </w:rPr>
        <w:t>Geoenvironmental Disasters</w:t>
      </w:r>
      <w:r w:rsidRPr="00C15FAB">
        <w:rPr>
          <w:noProof/>
          <w:sz w:val="20"/>
        </w:rPr>
        <w:t xml:space="preserve">, </w:t>
      </w:r>
      <w:r w:rsidRPr="00C15FAB">
        <w:rPr>
          <w:i/>
          <w:iCs/>
          <w:noProof/>
          <w:sz w:val="20"/>
        </w:rPr>
        <w:t>6</w:t>
      </w:r>
      <w:r w:rsidRPr="00C15FAB">
        <w:rPr>
          <w:noProof/>
          <w:sz w:val="20"/>
        </w:rPr>
        <w:t>(1), 2–9</w:t>
      </w:r>
      <w:r>
        <w:rPr>
          <w:noProof/>
          <w:sz w:val="20"/>
        </w:rPr>
        <w:t xml:space="preserve"> </w:t>
      </w:r>
      <w:r w:rsidRPr="00C15FAB">
        <w:rPr>
          <w:noProof/>
          <w:sz w:val="20"/>
        </w:rPr>
        <w:t>(2019)</w:t>
      </w:r>
    </w:p>
    <w:p w14:paraId="06179084" w14:textId="00B74F17" w:rsidR="00151388" w:rsidRPr="00151388" w:rsidRDefault="00151388" w:rsidP="00151388">
      <w:pPr>
        <w:pStyle w:val="NormalWeb"/>
        <w:numPr>
          <w:ilvl w:val="0"/>
          <w:numId w:val="7"/>
        </w:numPr>
        <w:tabs>
          <w:tab w:val="left" w:pos="284"/>
        </w:tabs>
        <w:ind w:left="284" w:hanging="284"/>
        <w:jc w:val="both"/>
        <w:rPr>
          <w:sz w:val="20"/>
        </w:rPr>
      </w:pPr>
      <w:r w:rsidRPr="00151388">
        <w:rPr>
          <w:sz w:val="20"/>
        </w:rPr>
        <w:t>National Standardization Agency of Indonesia</w:t>
      </w:r>
      <w:r w:rsidR="00E93D9C">
        <w:rPr>
          <w:sz w:val="20"/>
        </w:rPr>
        <w:t>. “</w:t>
      </w:r>
      <w:r w:rsidRPr="00151388">
        <w:rPr>
          <w:sz w:val="20"/>
        </w:rPr>
        <w:t>National standard for designing earthquake resistance buildings</w:t>
      </w:r>
      <w:r w:rsidR="00E93D9C">
        <w:rPr>
          <w:sz w:val="20"/>
        </w:rPr>
        <w:t>”</w:t>
      </w:r>
      <w:r w:rsidRPr="00151388">
        <w:rPr>
          <w:sz w:val="20"/>
        </w:rPr>
        <w:t>, SNI-1726-2019 (2019)</w:t>
      </w:r>
    </w:p>
    <w:p w14:paraId="510FBF24" w14:textId="75030DCB" w:rsidR="00151388" w:rsidRDefault="00151388" w:rsidP="00151388">
      <w:pPr>
        <w:pStyle w:val="NormalWeb"/>
        <w:numPr>
          <w:ilvl w:val="0"/>
          <w:numId w:val="7"/>
        </w:numPr>
        <w:tabs>
          <w:tab w:val="left" w:pos="284"/>
        </w:tabs>
        <w:ind w:left="284" w:hanging="284"/>
        <w:jc w:val="both"/>
        <w:rPr>
          <w:sz w:val="20"/>
        </w:rPr>
      </w:pPr>
      <w:r w:rsidRPr="00151388">
        <w:rPr>
          <w:sz w:val="20"/>
        </w:rPr>
        <w:t>NCEER. "Proceedings of the NCEER Workshop on Evaluation of Liquefaction Resistance of Soils", Edited by Youd, T. L., Idriss, I. M., Technical Report No. NCEER-97-0022, (1997)</w:t>
      </w:r>
    </w:p>
    <w:p w14:paraId="11350EEC" w14:textId="0C4F2473" w:rsidR="00C15FAB" w:rsidRDefault="00C15FAB" w:rsidP="00151388">
      <w:pPr>
        <w:pStyle w:val="NormalWeb"/>
        <w:numPr>
          <w:ilvl w:val="0"/>
          <w:numId w:val="7"/>
        </w:numPr>
        <w:tabs>
          <w:tab w:val="left" w:pos="284"/>
        </w:tabs>
        <w:ind w:left="284" w:hanging="284"/>
        <w:jc w:val="both"/>
        <w:rPr>
          <w:sz w:val="20"/>
        </w:rPr>
      </w:pPr>
      <w:r w:rsidRPr="00BB4535">
        <w:rPr>
          <w:noProof/>
          <w:sz w:val="20"/>
        </w:rPr>
        <w:t xml:space="preserve">Nurdin, S., Harianto, T., Aswad, S., Arsyad, A., &amp; Alexsander, S. </w:t>
      </w:r>
      <w:r>
        <w:rPr>
          <w:noProof/>
          <w:sz w:val="20"/>
        </w:rPr>
        <w:t>“</w:t>
      </w:r>
      <w:r w:rsidRPr="00BB4535">
        <w:rPr>
          <w:noProof/>
          <w:sz w:val="20"/>
        </w:rPr>
        <w:t>Liquefaction Disaster Mitigation and Geohydrology Conditions, Lessons from the Palu Earthquake Magnitude 7,4 Mw 28 September 2018</w:t>
      </w:r>
      <w:r>
        <w:rPr>
          <w:noProof/>
          <w:sz w:val="20"/>
        </w:rPr>
        <w:t>”</w:t>
      </w:r>
      <w:r w:rsidRPr="00BB4535">
        <w:rPr>
          <w:noProof/>
          <w:sz w:val="20"/>
        </w:rPr>
        <w:t xml:space="preserve"> </w:t>
      </w:r>
      <w:r>
        <w:rPr>
          <w:noProof/>
          <w:sz w:val="20"/>
        </w:rPr>
        <w:t>i</w:t>
      </w:r>
      <w:r w:rsidRPr="00BB4535">
        <w:rPr>
          <w:noProof/>
          <w:sz w:val="20"/>
        </w:rPr>
        <w:t xml:space="preserve">n </w:t>
      </w:r>
      <w:r w:rsidRPr="00BB4535">
        <w:rPr>
          <w:i/>
          <w:iCs/>
          <w:noProof/>
          <w:sz w:val="20"/>
        </w:rPr>
        <w:t>23rd Annual National Conference on Geotechnical Engineering</w:t>
      </w:r>
      <w:r w:rsidRPr="00BB4535">
        <w:rPr>
          <w:noProof/>
          <w:sz w:val="20"/>
        </w:rPr>
        <w:t>. Jakarta, Indonesia</w:t>
      </w:r>
      <w:r>
        <w:rPr>
          <w:noProof/>
          <w:sz w:val="20"/>
        </w:rPr>
        <w:t>, (2019)</w:t>
      </w:r>
    </w:p>
    <w:p w14:paraId="5336092C" w14:textId="3E08C0D1"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 xml:space="preserve">Parura, T. C., &amp; Rahardyan, B. </w:t>
      </w:r>
      <w:r>
        <w:rPr>
          <w:noProof/>
          <w:sz w:val="20"/>
        </w:rPr>
        <w:t>“</w:t>
      </w:r>
      <w:r w:rsidRPr="00C15FAB">
        <w:rPr>
          <w:noProof/>
          <w:sz w:val="20"/>
        </w:rPr>
        <w:t>Evaluation of Post-Earthquake, Tsunami, and Liquefaction Disaster Waste Management in Palu</w:t>
      </w:r>
      <w:r>
        <w:rPr>
          <w:noProof/>
          <w:sz w:val="20"/>
        </w:rPr>
        <w:t>”</w:t>
      </w:r>
      <w:r w:rsidRPr="00C15FAB">
        <w:rPr>
          <w:noProof/>
          <w:sz w:val="20"/>
        </w:rPr>
        <w:t xml:space="preserve">. </w:t>
      </w:r>
      <w:r w:rsidRPr="00C15FAB">
        <w:rPr>
          <w:i/>
          <w:iCs/>
          <w:noProof/>
          <w:sz w:val="20"/>
        </w:rPr>
        <w:t>E3S Web of Conferences</w:t>
      </w:r>
      <w:r w:rsidRPr="00C15FAB">
        <w:rPr>
          <w:noProof/>
          <w:sz w:val="20"/>
        </w:rPr>
        <w:t xml:space="preserve">, </w:t>
      </w:r>
      <w:r w:rsidRPr="00C15FAB">
        <w:rPr>
          <w:i/>
          <w:iCs/>
          <w:noProof/>
          <w:sz w:val="20"/>
        </w:rPr>
        <w:t>148</w:t>
      </w:r>
      <w:r>
        <w:rPr>
          <w:noProof/>
          <w:sz w:val="20"/>
        </w:rPr>
        <w:t xml:space="preserve"> </w:t>
      </w:r>
      <w:r w:rsidRPr="00C15FAB">
        <w:rPr>
          <w:noProof/>
          <w:sz w:val="20"/>
        </w:rPr>
        <w:t>(2020)</w:t>
      </w:r>
    </w:p>
    <w:p w14:paraId="6424A1D7" w14:textId="751685EF" w:rsidR="00151388" w:rsidRPr="00151388" w:rsidRDefault="00151388" w:rsidP="00151388">
      <w:pPr>
        <w:pStyle w:val="NormalWeb"/>
        <w:numPr>
          <w:ilvl w:val="0"/>
          <w:numId w:val="7"/>
        </w:numPr>
        <w:tabs>
          <w:tab w:val="left" w:pos="284"/>
        </w:tabs>
        <w:ind w:left="284" w:hanging="284"/>
        <w:jc w:val="both"/>
        <w:rPr>
          <w:sz w:val="20"/>
        </w:rPr>
      </w:pPr>
      <w:r w:rsidRPr="00151388">
        <w:rPr>
          <w:sz w:val="20"/>
        </w:rPr>
        <w:t xml:space="preserve">Seed, H. B., Tokimatsu, K., Harder, L. F., Chung, R. M. "The Influence of SPT Procedures in Soil Liquefaction Resistance Evaluations", </w:t>
      </w:r>
      <w:r w:rsidRPr="00E93D9C">
        <w:rPr>
          <w:i/>
          <w:iCs/>
          <w:sz w:val="20"/>
        </w:rPr>
        <w:t>Earthquake Engineering Research Center Report</w:t>
      </w:r>
      <w:r w:rsidRPr="00151388">
        <w:rPr>
          <w:sz w:val="20"/>
        </w:rPr>
        <w:t xml:space="preserve"> No. UCB/EERC-84/15, University of California at Berkeley, October, </w:t>
      </w:r>
      <w:r w:rsidR="000466AB">
        <w:rPr>
          <w:sz w:val="20"/>
        </w:rPr>
        <w:t>(</w:t>
      </w:r>
      <w:r w:rsidRPr="00151388">
        <w:rPr>
          <w:sz w:val="20"/>
        </w:rPr>
        <w:t>1984</w:t>
      </w:r>
      <w:r w:rsidR="000466AB">
        <w:rPr>
          <w:sz w:val="20"/>
        </w:rPr>
        <w:t>)</w:t>
      </w:r>
    </w:p>
    <w:p w14:paraId="6C61A62B" w14:textId="77777777" w:rsidR="00151388" w:rsidRPr="00151388" w:rsidRDefault="00151388" w:rsidP="00151388">
      <w:pPr>
        <w:pStyle w:val="NormalWeb"/>
        <w:numPr>
          <w:ilvl w:val="0"/>
          <w:numId w:val="7"/>
        </w:numPr>
        <w:tabs>
          <w:tab w:val="left" w:pos="284"/>
        </w:tabs>
        <w:ind w:left="284" w:hanging="284"/>
        <w:jc w:val="both"/>
        <w:rPr>
          <w:sz w:val="20"/>
        </w:rPr>
      </w:pPr>
      <w:r w:rsidRPr="00151388">
        <w:rPr>
          <w:sz w:val="20"/>
        </w:rPr>
        <w:t xml:space="preserve">Seed, H. B., Idriss, I. A., &amp; Arango, I. Closure to “Evaluation of Liquefaction Potential Using Field Performance Data.” </w:t>
      </w:r>
      <w:r w:rsidRPr="00151388">
        <w:rPr>
          <w:i/>
          <w:iCs/>
          <w:sz w:val="20"/>
        </w:rPr>
        <w:t>Journal of Geotechnical Engineering</w:t>
      </w:r>
      <w:r w:rsidRPr="00151388">
        <w:rPr>
          <w:sz w:val="20"/>
        </w:rPr>
        <w:t>, 111 (11) (1985)</w:t>
      </w:r>
    </w:p>
    <w:p w14:paraId="7930C37E" w14:textId="4EF42CB5" w:rsidR="00151388" w:rsidRPr="00151388" w:rsidRDefault="00151388" w:rsidP="00151388">
      <w:pPr>
        <w:pStyle w:val="NormalWeb"/>
        <w:numPr>
          <w:ilvl w:val="0"/>
          <w:numId w:val="7"/>
        </w:numPr>
        <w:tabs>
          <w:tab w:val="left" w:pos="284"/>
        </w:tabs>
        <w:ind w:left="284" w:hanging="284"/>
        <w:jc w:val="both"/>
        <w:rPr>
          <w:sz w:val="20"/>
        </w:rPr>
      </w:pPr>
      <w:r w:rsidRPr="00151388">
        <w:rPr>
          <w:sz w:val="20"/>
        </w:rPr>
        <w:t xml:space="preserve">Seed, H., &amp; Booker, J. </w:t>
      </w:r>
      <w:r w:rsidR="00E93D9C">
        <w:rPr>
          <w:sz w:val="20"/>
        </w:rPr>
        <w:t>“</w:t>
      </w:r>
      <w:r w:rsidRPr="00151388">
        <w:rPr>
          <w:sz w:val="20"/>
        </w:rPr>
        <w:t>Stabilization of Potential Liquefiable Sand Deposits Using Gravel Drains</w:t>
      </w:r>
      <w:r w:rsidR="00E93D9C">
        <w:rPr>
          <w:sz w:val="20"/>
        </w:rPr>
        <w:t>”</w:t>
      </w:r>
      <w:r w:rsidRPr="00151388">
        <w:rPr>
          <w:sz w:val="20"/>
        </w:rPr>
        <w:t xml:space="preserve">. Closure. </w:t>
      </w:r>
      <w:r w:rsidRPr="00151388">
        <w:rPr>
          <w:i/>
          <w:iCs/>
          <w:sz w:val="20"/>
        </w:rPr>
        <w:t>Journal of Geotechnical and Geoenvironmental Engineering</w:t>
      </w:r>
      <w:r w:rsidRPr="00151388">
        <w:rPr>
          <w:sz w:val="20"/>
        </w:rPr>
        <w:t>, 104</w:t>
      </w:r>
      <w:r w:rsidRPr="00151388">
        <w:rPr>
          <w:i/>
          <w:iCs/>
          <w:sz w:val="20"/>
        </w:rPr>
        <w:t xml:space="preserve"> </w:t>
      </w:r>
      <w:r w:rsidRPr="00151388">
        <w:rPr>
          <w:sz w:val="20"/>
        </w:rPr>
        <w:t>(GT12) (1977)</w:t>
      </w:r>
    </w:p>
    <w:p w14:paraId="5EC8ACFC" w14:textId="5113CD0D" w:rsidR="00151388" w:rsidRPr="00151388" w:rsidRDefault="00151388" w:rsidP="00151388">
      <w:pPr>
        <w:pStyle w:val="NormalWeb"/>
        <w:numPr>
          <w:ilvl w:val="0"/>
          <w:numId w:val="7"/>
        </w:numPr>
        <w:tabs>
          <w:tab w:val="left" w:pos="284"/>
        </w:tabs>
        <w:ind w:left="284" w:hanging="284"/>
        <w:jc w:val="both"/>
        <w:rPr>
          <w:sz w:val="20"/>
        </w:rPr>
      </w:pPr>
      <w:r w:rsidRPr="00151388">
        <w:rPr>
          <w:sz w:val="20"/>
          <w:szCs w:val="20"/>
        </w:rPr>
        <w:t>Skempton, A.W.</w:t>
      </w:r>
      <w:r>
        <w:rPr>
          <w:sz w:val="20"/>
          <w:szCs w:val="20"/>
        </w:rPr>
        <w:t xml:space="preserve"> </w:t>
      </w:r>
      <w:r w:rsidR="00E93D9C">
        <w:rPr>
          <w:sz w:val="20"/>
          <w:szCs w:val="20"/>
        </w:rPr>
        <w:t>“</w:t>
      </w:r>
      <w:r w:rsidRPr="00151388">
        <w:rPr>
          <w:sz w:val="20"/>
          <w:szCs w:val="20"/>
        </w:rPr>
        <w:t>Standard penetration test procedures and the effects in sands of overburden pressure, relative density, particle size, ageing and overconsolidation</w:t>
      </w:r>
      <w:r w:rsidR="00E93D9C">
        <w:rPr>
          <w:sz w:val="20"/>
          <w:szCs w:val="20"/>
        </w:rPr>
        <w:t>”,</w:t>
      </w:r>
      <w:r w:rsidRPr="00151388">
        <w:rPr>
          <w:sz w:val="20"/>
          <w:szCs w:val="20"/>
        </w:rPr>
        <w:t xml:space="preserve"> Geotechnique 36(3</w:t>
      </w:r>
      <w:proofErr w:type="gramStart"/>
      <w:r w:rsidRPr="00151388">
        <w:rPr>
          <w:sz w:val="20"/>
          <w:szCs w:val="20"/>
        </w:rPr>
        <w:t>)</w:t>
      </w:r>
      <w:r w:rsidR="00E93D9C">
        <w:rPr>
          <w:sz w:val="20"/>
          <w:szCs w:val="20"/>
        </w:rPr>
        <w:t xml:space="preserve"> </w:t>
      </w:r>
      <w:r w:rsidRPr="00151388">
        <w:rPr>
          <w:sz w:val="20"/>
          <w:szCs w:val="20"/>
        </w:rPr>
        <w:t>:</w:t>
      </w:r>
      <w:proofErr w:type="gramEnd"/>
      <w:r w:rsidRPr="00151388">
        <w:rPr>
          <w:sz w:val="20"/>
          <w:szCs w:val="20"/>
        </w:rPr>
        <w:t xml:space="preserve"> 425-447</w:t>
      </w:r>
      <w:r>
        <w:rPr>
          <w:sz w:val="20"/>
          <w:szCs w:val="20"/>
        </w:rPr>
        <w:t xml:space="preserve"> (1986)</w:t>
      </w:r>
    </w:p>
    <w:p w14:paraId="53A13542" w14:textId="6FB11057" w:rsidR="00151388" w:rsidRPr="00151388" w:rsidRDefault="00151388" w:rsidP="00151388">
      <w:pPr>
        <w:pStyle w:val="NormalWeb"/>
        <w:numPr>
          <w:ilvl w:val="0"/>
          <w:numId w:val="7"/>
        </w:numPr>
        <w:tabs>
          <w:tab w:val="left" w:pos="284"/>
        </w:tabs>
        <w:ind w:left="284" w:hanging="284"/>
        <w:jc w:val="both"/>
        <w:rPr>
          <w:sz w:val="20"/>
        </w:rPr>
      </w:pPr>
      <w:r w:rsidRPr="00151388">
        <w:rPr>
          <w:sz w:val="20"/>
        </w:rPr>
        <w:t xml:space="preserve">Sonmez, H., &amp; Gokceoglu, C. </w:t>
      </w:r>
      <w:r w:rsidR="00C42A2F">
        <w:rPr>
          <w:sz w:val="20"/>
        </w:rPr>
        <w:t>“</w:t>
      </w:r>
      <w:r w:rsidRPr="00C42A2F">
        <w:rPr>
          <w:sz w:val="20"/>
        </w:rPr>
        <w:t>A Liquefaction Severity Index Suggested for Engineering Practice</w:t>
      </w:r>
      <w:r w:rsidR="00C42A2F">
        <w:rPr>
          <w:sz w:val="20"/>
        </w:rPr>
        <w:t>”</w:t>
      </w:r>
      <w:r w:rsidRPr="00151388">
        <w:rPr>
          <w:sz w:val="20"/>
        </w:rPr>
        <w:t>, 81–99 (2005)</w:t>
      </w:r>
    </w:p>
    <w:p w14:paraId="66F33142" w14:textId="1E4433CF" w:rsidR="00151388" w:rsidRDefault="00151388" w:rsidP="00151388">
      <w:pPr>
        <w:pStyle w:val="NormalWeb"/>
        <w:numPr>
          <w:ilvl w:val="0"/>
          <w:numId w:val="7"/>
        </w:numPr>
        <w:ind w:left="284" w:hanging="284"/>
        <w:jc w:val="both"/>
        <w:rPr>
          <w:sz w:val="20"/>
          <w:szCs w:val="20"/>
        </w:rPr>
      </w:pPr>
      <w:r w:rsidRPr="00151388">
        <w:rPr>
          <w:sz w:val="20"/>
          <w:szCs w:val="20"/>
        </w:rPr>
        <w:t xml:space="preserve">Tokimatsu, K., and Seed, H. B. </w:t>
      </w:r>
      <w:r w:rsidR="00C42A2F">
        <w:rPr>
          <w:sz w:val="20"/>
          <w:szCs w:val="20"/>
        </w:rPr>
        <w:t>“</w:t>
      </w:r>
      <w:r w:rsidRPr="00151388">
        <w:rPr>
          <w:sz w:val="20"/>
          <w:szCs w:val="20"/>
        </w:rPr>
        <w:t>Evaluation of settlements in sands due to earthquake shaking</w:t>
      </w:r>
      <w:r w:rsidR="00C42A2F">
        <w:rPr>
          <w:sz w:val="20"/>
          <w:szCs w:val="20"/>
        </w:rPr>
        <w:t>”</w:t>
      </w:r>
      <w:r w:rsidRPr="00151388">
        <w:rPr>
          <w:sz w:val="20"/>
          <w:szCs w:val="20"/>
        </w:rPr>
        <w:t xml:space="preserve">, </w:t>
      </w:r>
      <w:r w:rsidRPr="00C42A2F">
        <w:rPr>
          <w:i/>
          <w:iCs/>
          <w:sz w:val="20"/>
          <w:szCs w:val="20"/>
        </w:rPr>
        <w:t>J. Geotechnical Eng.</w:t>
      </w:r>
      <w:r w:rsidRPr="00151388">
        <w:rPr>
          <w:sz w:val="20"/>
          <w:szCs w:val="20"/>
        </w:rPr>
        <w:t>, ASCE 113 (GT8), 861-78 (1987)</w:t>
      </w:r>
    </w:p>
    <w:p w14:paraId="07DBDBA6" w14:textId="40D6B34A" w:rsidR="00151388" w:rsidRPr="00151388" w:rsidRDefault="00151388" w:rsidP="00151388">
      <w:pPr>
        <w:pStyle w:val="NormalWeb"/>
        <w:numPr>
          <w:ilvl w:val="0"/>
          <w:numId w:val="7"/>
        </w:numPr>
        <w:ind w:left="284" w:hanging="284"/>
        <w:jc w:val="both"/>
        <w:rPr>
          <w:sz w:val="20"/>
          <w:szCs w:val="20"/>
        </w:rPr>
      </w:pPr>
      <w:r w:rsidRPr="00151388">
        <w:rPr>
          <w:sz w:val="20"/>
          <w:szCs w:val="20"/>
        </w:rPr>
        <w:t xml:space="preserve">Widyaningrum, R. </w:t>
      </w:r>
      <w:r w:rsidR="00C42A2F">
        <w:rPr>
          <w:sz w:val="20"/>
          <w:szCs w:val="20"/>
        </w:rPr>
        <w:t>“P</w:t>
      </w:r>
      <w:r w:rsidRPr="00C42A2F">
        <w:rPr>
          <w:sz w:val="20"/>
          <w:szCs w:val="20"/>
        </w:rPr>
        <w:t>enyelidikan Geologi Teknik Potensi Liquifaksi Daerah Palu, Provinsi Sulawesi Tengah</w:t>
      </w:r>
      <w:r w:rsidR="00C42A2F">
        <w:rPr>
          <w:sz w:val="20"/>
          <w:szCs w:val="20"/>
        </w:rPr>
        <w:t>”</w:t>
      </w:r>
      <w:r w:rsidRPr="00151388">
        <w:rPr>
          <w:sz w:val="20"/>
          <w:szCs w:val="20"/>
        </w:rPr>
        <w:t xml:space="preserve"> Bandung (2012)</w:t>
      </w:r>
    </w:p>
    <w:sectPr w:rsidR="00151388" w:rsidRPr="00151388"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ĝތ"/>
    <w:panose1 w:val="00000000000000000000"/>
    <w:charset w:val="00"/>
    <w:family w:val="auto"/>
    <w:pitch w:val="variable"/>
    <w:sig w:usb0="E00002FF" w:usb1="5000205A"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Ayuthaya">
    <w:altName w:val="﷽﷽﷽﷽﷽﷽﷽﷽"/>
    <w:panose1 w:val="00000400000000000000"/>
    <w:charset w:val="DE"/>
    <w:family w:val="auto"/>
    <w:pitch w:val="variable"/>
    <w:sig w:usb0="A10002FF" w:usb1="5000204A" w:usb2="00000020" w:usb3="00000000" w:csb0="0001019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 w15:restartNumberingAfterBreak="0">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3D9017E"/>
    <w:multiLevelType w:val="hybridMultilevel"/>
    <w:tmpl w:val="DDA239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C7D6467"/>
    <w:multiLevelType w:val="hybridMultilevel"/>
    <w:tmpl w:val="6440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6"/>
  </w:num>
  <w:num w:numId="2">
    <w:abstractNumId w:val="5"/>
  </w:num>
  <w:num w:numId="3">
    <w:abstractNumId w:val="7"/>
  </w:num>
  <w:num w:numId="4">
    <w:abstractNumId w:val="4"/>
  </w:num>
  <w:num w:numId="5">
    <w:abstractNumId w:val="3"/>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intPostScriptOverText/>
  <w:embedSystem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0814"/>
    <w:rsid w:val="00003D7C"/>
    <w:rsid w:val="00013880"/>
    <w:rsid w:val="00014140"/>
    <w:rsid w:val="00027428"/>
    <w:rsid w:val="00031EC9"/>
    <w:rsid w:val="000466AB"/>
    <w:rsid w:val="000473F8"/>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1388"/>
    <w:rsid w:val="00155B67"/>
    <w:rsid w:val="001562AF"/>
    <w:rsid w:val="00161A5B"/>
    <w:rsid w:val="0016385D"/>
    <w:rsid w:val="0016782F"/>
    <w:rsid w:val="001937E9"/>
    <w:rsid w:val="001964E5"/>
    <w:rsid w:val="001B263B"/>
    <w:rsid w:val="001B476A"/>
    <w:rsid w:val="001C764F"/>
    <w:rsid w:val="001C7BB3"/>
    <w:rsid w:val="001D469C"/>
    <w:rsid w:val="0021619E"/>
    <w:rsid w:val="00216F79"/>
    <w:rsid w:val="00224402"/>
    <w:rsid w:val="0023171B"/>
    <w:rsid w:val="00236BFC"/>
    <w:rsid w:val="00237437"/>
    <w:rsid w:val="002502FD"/>
    <w:rsid w:val="00274622"/>
    <w:rsid w:val="00285D24"/>
    <w:rsid w:val="00290390"/>
    <w:rsid w:val="002915D3"/>
    <w:rsid w:val="002924DB"/>
    <w:rsid w:val="002941DA"/>
    <w:rsid w:val="002A1F66"/>
    <w:rsid w:val="002B5648"/>
    <w:rsid w:val="002C313F"/>
    <w:rsid w:val="002E3C35"/>
    <w:rsid w:val="002F5298"/>
    <w:rsid w:val="00326AE0"/>
    <w:rsid w:val="00337E4F"/>
    <w:rsid w:val="00340C36"/>
    <w:rsid w:val="00346A9D"/>
    <w:rsid w:val="003641BB"/>
    <w:rsid w:val="0039376F"/>
    <w:rsid w:val="003A287B"/>
    <w:rsid w:val="003A5C85"/>
    <w:rsid w:val="003A61B1"/>
    <w:rsid w:val="003B0050"/>
    <w:rsid w:val="003D6312"/>
    <w:rsid w:val="003E7C74"/>
    <w:rsid w:val="003F0F00"/>
    <w:rsid w:val="003F31C6"/>
    <w:rsid w:val="0040225B"/>
    <w:rsid w:val="00402DA2"/>
    <w:rsid w:val="00425AC2"/>
    <w:rsid w:val="00432380"/>
    <w:rsid w:val="0044771F"/>
    <w:rsid w:val="004B151D"/>
    <w:rsid w:val="004C7243"/>
    <w:rsid w:val="004E21DE"/>
    <w:rsid w:val="004E3C57"/>
    <w:rsid w:val="004E3CB2"/>
    <w:rsid w:val="00505307"/>
    <w:rsid w:val="00525813"/>
    <w:rsid w:val="0053513F"/>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255A6"/>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86C75"/>
    <w:rsid w:val="007A233B"/>
    <w:rsid w:val="007B4863"/>
    <w:rsid w:val="007C65E6"/>
    <w:rsid w:val="007D406B"/>
    <w:rsid w:val="007D4407"/>
    <w:rsid w:val="007E1CA3"/>
    <w:rsid w:val="007E76B4"/>
    <w:rsid w:val="00812D62"/>
    <w:rsid w:val="00812F29"/>
    <w:rsid w:val="00821713"/>
    <w:rsid w:val="00827050"/>
    <w:rsid w:val="0083278B"/>
    <w:rsid w:val="00834538"/>
    <w:rsid w:val="00850E89"/>
    <w:rsid w:val="008930E4"/>
    <w:rsid w:val="00893821"/>
    <w:rsid w:val="008A7B9C"/>
    <w:rsid w:val="008B39FA"/>
    <w:rsid w:val="008B4754"/>
    <w:rsid w:val="008B4C64"/>
    <w:rsid w:val="008E6A7A"/>
    <w:rsid w:val="008F1038"/>
    <w:rsid w:val="008F7046"/>
    <w:rsid w:val="009005FC"/>
    <w:rsid w:val="00916995"/>
    <w:rsid w:val="00922E5A"/>
    <w:rsid w:val="00943315"/>
    <w:rsid w:val="00946C27"/>
    <w:rsid w:val="009A4F3D"/>
    <w:rsid w:val="009B696B"/>
    <w:rsid w:val="009B7671"/>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6BFE"/>
    <w:rsid w:val="00B500E5"/>
    <w:rsid w:val="00B56F67"/>
    <w:rsid w:val="00BA39BB"/>
    <w:rsid w:val="00BA3B3D"/>
    <w:rsid w:val="00BB491C"/>
    <w:rsid w:val="00BB7EEA"/>
    <w:rsid w:val="00BD1909"/>
    <w:rsid w:val="00BE5E16"/>
    <w:rsid w:val="00BE5FD1"/>
    <w:rsid w:val="00BF02A4"/>
    <w:rsid w:val="00C06E05"/>
    <w:rsid w:val="00C14B14"/>
    <w:rsid w:val="00C15FAB"/>
    <w:rsid w:val="00C17370"/>
    <w:rsid w:val="00C2054D"/>
    <w:rsid w:val="00C252EB"/>
    <w:rsid w:val="00C26EC0"/>
    <w:rsid w:val="00C30BFF"/>
    <w:rsid w:val="00C402D2"/>
    <w:rsid w:val="00C42A2F"/>
    <w:rsid w:val="00C56C77"/>
    <w:rsid w:val="00C5711D"/>
    <w:rsid w:val="00C84923"/>
    <w:rsid w:val="00CB7B3E"/>
    <w:rsid w:val="00CC739D"/>
    <w:rsid w:val="00CF6C90"/>
    <w:rsid w:val="00D04468"/>
    <w:rsid w:val="00D36257"/>
    <w:rsid w:val="00D41B71"/>
    <w:rsid w:val="00D4687E"/>
    <w:rsid w:val="00D53A12"/>
    <w:rsid w:val="00D87E2A"/>
    <w:rsid w:val="00DB0C43"/>
    <w:rsid w:val="00DE3354"/>
    <w:rsid w:val="00DF7DCD"/>
    <w:rsid w:val="00E42C20"/>
    <w:rsid w:val="00E50B7D"/>
    <w:rsid w:val="00E57FB2"/>
    <w:rsid w:val="00E904A1"/>
    <w:rsid w:val="00E93B70"/>
    <w:rsid w:val="00E93D9C"/>
    <w:rsid w:val="00EB7D28"/>
    <w:rsid w:val="00EC0D0C"/>
    <w:rsid w:val="00ED4A2C"/>
    <w:rsid w:val="00EF6940"/>
    <w:rsid w:val="00F2044A"/>
    <w:rsid w:val="00F20BFC"/>
    <w:rsid w:val="00F24D5F"/>
    <w:rsid w:val="00F726C3"/>
    <w:rsid w:val="00F820CA"/>
    <w:rsid w:val="00F8554C"/>
    <w:rsid w:val="00F95F82"/>
    <w:rsid w:val="00F97A90"/>
    <w:rsid w:val="00FB27A7"/>
    <w:rsid w:val="00FC2F35"/>
    <w:rsid w:val="00FC3FD7"/>
    <w:rsid w:val="00FD1FC6"/>
    <w:rsid w:val="00FE5869"/>
    <w:rsid w:val="00FF4457"/>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rsid w:val="00BF02A4"/>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qFormat/>
    <w:rsid w:val="005E415C"/>
    <w:pPr>
      <w:ind w:firstLine="284"/>
      <w:jc w:val="both"/>
    </w:pPr>
    <w:rPr>
      <w:sz w:val="20"/>
    </w:rPr>
  </w:style>
  <w:style w:type="character" w:styleId="FootnoteReference">
    <w:name w:val="footnote reference"/>
    <w:qFormat/>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qFormat/>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NoSpacing">
    <w:name w:val="No Spacing"/>
    <w:uiPriority w:val="1"/>
    <w:qFormat/>
    <w:rsid w:val="00000814"/>
    <w:rPr>
      <w:rFonts w:ascii="Calibri" w:eastAsia="Calibri" w:hAnsi="Calibri" w:cs="SimSun"/>
      <w:sz w:val="24"/>
      <w:szCs w:val="24"/>
      <w:lang w:val="en-US" w:eastAsia="en-US"/>
    </w:rPr>
  </w:style>
  <w:style w:type="paragraph" w:styleId="Caption">
    <w:name w:val="caption"/>
    <w:basedOn w:val="Normal"/>
    <w:next w:val="Normal"/>
    <w:uiPriority w:val="35"/>
    <w:qFormat/>
    <w:rsid w:val="00916995"/>
    <w:pPr>
      <w:ind w:left="-329" w:right="-105"/>
      <w:jc w:val="center"/>
    </w:pPr>
    <w:rPr>
      <w:rFonts w:cs="SimSun"/>
      <w:iCs/>
      <w:color w:val="000000"/>
      <w:szCs w:val="18"/>
      <w:lang w:val="id-ID"/>
    </w:rPr>
  </w:style>
  <w:style w:type="paragraph" w:customStyle="1" w:styleId="Style1">
    <w:name w:val="Style1"/>
    <w:basedOn w:val="NoSpacing"/>
    <w:next w:val="NoSpacing"/>
    <w:qFormat/>
    <w:rsid w:val="00BB491C"/>
    <w:pPr>
      <w:ind w:right="-105"/>
      <w:jc w:val="right"/>
    </w:pPr>
    <w:rPr>
      <w:rFonts w:ascii="Times New Roman" w:hAnsi="Times New Roman"/>
    </w:rPr>
  </w:style>
  <w:style w:type="paragraph" w:customStyle="1" w:styleId="Paragraphfirst">
    <w:name w:val="Paragraph_first"/>
    <w:basedOn w:val="Paragraph"/>
    <w:next w:val="Paragraph"/>
    <w:qFormat/>
    <w:rsid w:val="00BF02A4"/>
    <w:pPr>
      <w:tabs>
        <w:tab w:val="left" w:pos="340"/>
      </w:tabs>
      <w:suppressAutoHyphens/>
      <w:ind w:firstLine="0"/>
    </w:pPr>
    <w:rPr>
      <w:rFonts w:ascii="Times" w:hAnsi="Times" w:cs="New York"/>
      <w:lang w:val="en-GB" w:eastAsia="ar-SA"/>
    </w:rPr>
  </w:style>
  <w:style w:type="paragraph" w:customStyle="1" w:styleId="Section">
    <w:name w:val="Section"/>
    <w:basedOn w:val="Heading1"/>
    <w:next w:val="Paragraphfirst"/>
    <w:qFormat/>
    <w:rsid w:val="00151388"/>
    <w:pPr>
      <w:keepNext w:val="0"/>
      <w:numPr>
        <w:numId w:val="6"/>
      </w:numPr>
      <w:suppressAutoHyphens/>
      <w:spacing w:before="340" w:after="170"/>
      <w:jc w:val="both"/>
    </w:pPr>
    <w:rPr>
      <w:rFonts w:ascii="Arial" w:hAnsi="Arial" w:cs="Arial"/>
      <w:caps w:val="0"/>
      <w:szCs w:val="24"/>
      <w:lang w:val="en-GB" w:eastAsia="ar-SA"/>
    </w:rPr>
  </w:style>
  <w:style w:type="paragraph" w:customStyle="1" w:styleId="Subsection">
    <w:name w:val="Subsection"/>
    <w:basedOn w:val="Heading2"/>
    <w:next w:val="Paragraphfirst"/>
    <w:qFormat/>
    <w:rsid w:val="00151388"/>
    <w:pPr>
      <w:numPr>
        <w:ilvl w:val="1"/>
        <w:numId w:val="6"/>
      </w:numPr>
      <w:tabs>
        <w:tab w:val="left" w:pos="340"/>
      </w:tabs>
      <w:suppressAutoHyphens/>
      <w:spacing w:before="340" w:after="170"/>
      <w:jc w:val="both"/>
    </w:pPr>
    <w:rPr>
      <w:rFonts w:ascii="Arial" w:hAnsi="Arial" w:cs="Arial"/>
      <w:bCs/>
      <w:iCs/>
      <w:sz w:val="20"/>
      <w:szCs w:val="28"/>
      <w:lang w:val="en-GB" w:eastAsia="ar-SA"/>
    </w:rPr>
  </w:style>
  <w:style w:type="paragraph" w:customStyle="1" w:styleId="Subsubsection">
    <w:name w:val="Subsubsection"/>
    <w:basedOn w:val="Heading3"/>
    <w:next w:val="Paragraphfirst"/>
    <w:qFormat/>
    <w:rsid w:val="00151388"/>
    <w:pPr>
      <w:numPr>
        <w:ilvl w:val="2"/>
        <w:numId w:val="6"/>
      </w:numPr>
      <w:suppressAutoHyphens/>
      <w:spacing w:before="340" w:after="170"/>
      <w:jc w:val="left"/>
    </w:pPr>
    <w:rPr>
      <w:rFonts w:ascii="Arial" w:hAnsi="Arial"/>
      <w:bCs/>
      <w:iCs w:val="0"/>
      <w:szCs w:val="26"/>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28051">
      <w:bodyDiv w:val="1"/>
      <w:marLeft w:val="0"/>
      <w:marRight w:val="0"/>
      <w:marTop w:val="0"/>
      <w:marBottom w:val="0"/>
      <w:divBdr>
        <w:top w:val="none" w:sz="0" w:space="0" w:color="auto"/>
        <w:left w:val="none" w:sz="0" w:space="0" w:color="auto"/>
        <w:bottom w:val="none" w:sz="0" w:space="0" w:color="auto"/>
        <w:right w:val="none" w:sz="0" w:space="0" w:color="auto"/>
      </w:divBdr>
      <w:divsChild>
        <w:div w:id="1290432603">
          <w:marLeft w:val="0"/>
          <w:marRight w:val="0"/>
          <w:marTop w:val="0"/>
          <w:marBottom w:val="0"/>
          <w:divBdr>
            <w:top w:val="none" w:sz="0" w:space="0" w:color="auto"/>
            <w:left w:val="none" w:sz="0" w:space="0" w:color="auto"/>
            <w:bottom w:val="none" w:sz="0" w:space="0" w:color="auto"/>
            <w:right w:val="none" w:sz="0" w:space="0" w:color="auto"/>
          </w:divBdr>
          <w:divsChild>
            <w:div w:id="389617774">
              <w:marLeft w:val="0"/>
              <w:marRight w:val="0"/>
              <w:marTop w:val="0"/>
              <w:marBottom w:val="0"/>
              <w:divBdr>
                <w:top w:val="none" w:sz="0" w:space="0" w:color="auto"/>
                <w:left w:val="none" w:sz="0" w:space="0" w:color="auto"/>
                <w:bottom w:val="none" w:sz="0" w:space="0" w:color="auto"/>
                <w:right w:val="none" w:sz="0" w:space="0" w:color="auto"/>
              </w:divBdr>
              <w:divsChild>
                <w:div w:id="1616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4553">
      <w:bodyDiv w:val="1"/>
      <w:marLeft w:val="0"/>
      <w:marRight w:val="0"/>
      <w:marTop w:val="0"/>
      <w:marBottom w:val="0"/>
      <w:divBdr>
        <w:top w:val="none" w:sz="0" w:space="0" w:color="auto"/>
        <w:left w:val="none" w:sz="0" w:space="0" w:color="auto"/>
        <w:bottom w:val="none" w:sz="0" w:space="0" w:color="auto"/>
        <w:right w:val="none" w:sz="0" w:space="0" w:color="auto"/>
      </w:divBdr>
      <w:divsChild>
        <w:div w:id="227110683">
          <w:marLeft w:val="0"/>
          <w:marRight w:val="0"/>
          <w:marTop w:val="0"/>
          <w:marBottom w:val="0"/>
          <w:divBdr>
            <w:top w:val="none" w:sz="0" w:space="0" w:color="auto"/>
            <w:left w:val="none" w:sz="0" w:space="0" w:color="auto"/>
            <w:bottom w:val="none" w:sz="0" w:space="0" w:color="auto"/>
            <w:right w:val="none" w:sz="0" w:space="0" w:color="auto"/>
          </w:divBdr>
          <w:divsChild>
            <w:div w:id="1863978108">
              <w:marLeft w:val="0"/>
              <w:marRight w:val="0"/>
              <w:marTop w:val="0"/>
              <w:marBottom w:val="0"/>
              <w:divBdr>
                <w:top w:val="none" w:sz="0" w:space="0" w:color="auto"/>
                <w:left w:val="none" w:sz="0" w:space="0" w:color="auto"/>
                <w:bottom w:val="none" w:sz="0" w:space="0" w:color="auto"/>
                <w:right w:val="none" w:sz="0" w:space="0" w:color="auto"/>
              </w:divBdr>
              <w:divsChild>
                <w:div w:id="73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8134">
      <w:bodyDiv w:val="1"/>
      <w:marLeft w:val="0"/>
      <w:marRight w:val="0"/>
      <w:marTop w:val="0"/>
      <w:marBottom w:val="0"/>
      <w:divBdr>
        <w:top w:val="none" w:sz="0" w:space="0" w:color="auto"/>
        <w:left w:val="none" w:sz="0" w:space="0" w:color="auto"/>
        <w:bottom w:val="none" w:sz="0" w:space="0" w:color="auto"/>
        <w:right w:val="none" w:sz="0" w:space="0" w:color="auto"/>
      </w:divBdr>
      <w:divsChild>
        <w:div w:id="771124085">
          <w:marLeft w:val="0"/>
          <w:marRight w:val="0"/>
          <w:marTop w:val="0"/>
          <w:marBottom w:val="0"/>
          <w:divBdr>
            <w:top w:val="none" w:sz="0" w:space="0" w:color="auto"/>
            <w:left w:val="none" w:sz="0" w:space="0" w:color="auto"/>
            <w:bottom w:val="none" w:sz="0" w:space="0" w:color="auto"/>
            <w:right w:val="none" w:sz="0" w:space="0" w:color="auto"/>
          </w:divBdr>
          <w:divsChild>
            <w:div w:id="1777941699">
              <w:marLeft w:val="0"/>
              <w:marRight w:val="0"/>
              <w:marTop w:val="0"/>
              <w:marBottom w:val="0"/>
              <w:divBdr>
                <w:top w:val="none" w:sz="0" w:space="0" w:color="auto"/>
                <w:left w:val="none" w:sz="0" w:space="0" w:color="auto"/>
                <w:bottom w:val="none" w:sz="0" w:space="0" w:color="auto"/>
                <w:right w:val="none" w:sz="0" w:space="0" w:color="auto"/>
              </w:divBdr>
              <w:divsChild>
                <w:div w:id="8277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28320">
      <w:bodyDiv w:val="1"/>
      <w:marLeft w:val="0"/>
      <w:marRight w:val="0"/>
      <w:marTop w:val="0"/>
      <w:marBottom w:val="0"/>
      <w:divBdr>
        <w:top w:val="none" w:sz="0" w:space="0" w:color="auto"/>
        <w:left w:val="none" w:sz="0" w:space="0" w:color="auto"/>
        <w:bottom w:val="none" w:sz="0" w:space="0" w:color="auto"/>
        <w:right w:val="none" w:sz="0" w:space="0" w:color="auto"/>
      </w:divBdr>
      <w:divsChild>
        <w:div w:id="512183700">
          <w:marLeft w:val="0"/>
          <w:marRight w:val="0"/>
          <w:marTop w:val="0"/>
          <w:marBottom w:val="0"/>
          <w:divBdr>
            <w:top w:val="none" w:sz="0" w:space="0" w:color="auto"/>
            <w:left w:val="none" w:sz="0" w:space="0" w:color="auto"/>
            <w:bottom w:val="none" w:sz="0" w:space="0" w:color="auto"/>
            <w:right w:val="none" w:sz="0" w:space="0" w:color="auto"/>
          </w:divBdr>
          <w:divsChild>
            <w:div w:id="1701278489">
              <w:marLeft w:val="0"/>
              <w:marRight w:val="0"/>
              <w:marTop w:val="0"/>
              <w:marBottom w:val="0"/>
              <w:divBdr>
                <w:top w:val="none" w:sz="0" w:space="0" w:color="auto"/>
                <w:left w:val="none" w:sz="0" w:space="0" w:color="auto"/>
                <w:bottom w:val="none" w:sz="0" w:space="0" w:color="auto"/>
                <w:right w:val="none" w:sz="0" w:space="0" w:color="auto"/>
              </w:divBdr>
              <w:divsChild>
                <w:div w:id="1983848159">
                  <w:marLeft w:val="0"/>
                  <w:marRight w:val="0"/>
                  <w:marTop w:val="0"/>
                  <w:marBottom w:val="0"/>
                  <w:divBdr>
                    <w:top w:val="none" w:sz="0" w:space="0" w:color="auto"/>
                    <w:left w:val="none" w:sz="0" w:space="0" w:color="auto"/>
                    <w:bottom w:val="none" w:sz="0" w:space="0" w:color="auto"/>
                    <w:right w:val="none" w:sz="0" w:space="0" w:color="auto"/>
                  </w:divBdr>
                  <w:divsChild>
                    <w:div w:id="16576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30569354">
      <w:bodyDiv w:val="1"/>
      <w:marLeft w:val="0"/>
      <w:marRight w:val="0"/>
      <w:marTop w:val="0"/>
      <w:marBottom w:val="0"/>
      <w:divBdr>
        <w:top w:val="none" w:sz="0" w:space="0" w:color="auto"/>
        <w:left w:val="none" w:sz="0" w:space="0" w:color="auto"/>
        <w:bottom w:val="none" w:sz="0" w:space="0" w:color="auto"/>
        <w:right w:val="none" w:sz="0" w:space="0" w:color="auto"/>
      </w:divBdr>
      <w:divsChild>
        <w:div w:id="179248603">
          <w:marLeft w:val="0"/>
          <w:marRight w:val="0"/>
          <w:marTop w:val="0"/>
          <w:marBottom w:val="0"/>
          <w:divBdr>
            <w:top w:val="none" w:sz="0" w:space="0" w:color="auto"/>
            <w:left w:val="none" w:sz="0" w:space="0" w:color="auto"/>
            <w:bottom w:val="none" w:sz="0" w:space="0" w:color="auto"/>
            <w:right w:val="none" w:sz="0" w:space="0" w:color="auto"/>
          </w:divBdr>
          <w:divsChild>
            <w:div w:id="1776711442">
              <w:marLeft w:val="0"/>
              <w:marRight w:val="0"/>
              <w:marTop w:val="0"/>
              <w:marBottom w:val="0"/>
              <w:divBdr>
                <w:top w:val="none" w:sz="0" w:space="0" w:color="auto"/>
                <w:left w:val="none" w:sz="0" w:space="0" w:color="auto"/>
                <w:bottom w:val="none" w:sz="0" w:space="0" w:color="auto"/>
                <w:right w:val="none" w:sz="0" w:space="0" w:color="auto"/>
              </w:divBdr>
              <w:divsChild>
                <w:div w:id="20985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EFF9B3FE-F56C-43CD-B149-BBF7699D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C:\Users\rlevins\Desktop\8x11WordTemplates\article_templates\single_column\8_point5_x11_single_column_template.dotx</Template>
  <TotalTime>13</TotalTime>
  <Pages>9</Pages>
  <Words>8199</Words>
  <Characters>46736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54826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Suci Amalia Namira</cp:lastModifiedBy>
  <cp:revision>8</cp:revision>
  <cp:lastPrinted>2021-07-28T04:12:00Z</cp:lastPrinted>
  <dcterms:created xsi:type="dcterms:W3CDTF">2021-07-28T03:48:00Z</dcterms:created>
  <dcterms:modified xsi:type="dcterms:W3CDTF">2021-07-28T04:15:00Z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