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20E5FD3A" w:rsidR="0016385D" w:rsidRPr="00075EA6" w:rsidRDefault="0035698D" w:rsidP="00090674">
      <w:pPr>
        <w:pStyle w:val="PaperTitle"/>
        <w:rPr>
          <w:b w:val="0"/>
          <w:bCs/>
          <w:sz w:val="24"/>
          <w:szCs w:val="24"/>
        </w:rPr>
      </w:pPr>
      <w:r w:rsidRPr="00214A38">
        <w:rPr>
          <w:color w:val="000000" w:themeColor="text1"/>
        </w:rPr>
        <w:t>Use</w:t>
      </w:r>
      <w:r w:rsidR="005B6EF2" w:rsidRPr="005B6EF2">
        <w:t xml:space="preserve"> of Graphic Info-Based Poster as Work Safety Induction Media</w:t>
      </w:r>
    </w:p>
    <w:p w14:paraId="548D96A3" w14:textId="01CDBF25" w:rsidR="00C14B14" w:rsidRDefault="005B6EF2" w:rsidP="2F830975">
      <w:pPr>
        <w:pStyle w:val="AuthorName"/>
        <w:rPr>
          <w:sz w:val="20"/>
          <w:lang w:val="en-GB" w:eastAsia="en-GB"/>
        </w:rPr>
      </w:pPr>
      <w:r>
        <w:t>Wahyu Noviansyah</w:t>
      </w:r>
      <w:r w:rsidR="00EF6940" w:rsidRPr="2F830975">
        <w:rPr>
          <w:vertAlign w:val="superscript"/>
        </w:rPr>
        <w:t>1,</w:t>
      </w:r>
      <w:r w:rsidR="003A5C85" w:rsidRPr="2F830975">
        <w:rPr>
          <w:vertAlign w:val="superscript"/>
        </w:rPr>
        <w:t xml:space="preserve"> </w:t>
      </w:r>
      <w:r w:rsidR="00EF6940" w:rsidRPr="2F830975">
        <w:rPr>
          <w:vertAlign w:val="superscript"/>
        </w:rPr>
        <w:t>a)</w:t>
      </w:r>
      <w:r w:rsidR="0016385D">
        <w:t xml:space="preserve"> and </w:t>
      </w:r>
      <w:r>
        <w:t xml:space="preserve">Dian </w:t>
      </w:r>
      <w:proofErr w:type="spellStart"/>
      <w:r>
        <w:t>Puspita</w:t>
      </w:r>
      <w:proofErr w:type="spellEnd"/>
      <w:r>
        <w:t xml:space="preserve"> Eka Putri</w:t>
      </w:r>
      <w:proofErr w:type="gramStart"/>
      <w:r w:rsidR="00EF6940" w:rsidRPr="2F830975">
        <w:rPr>
          <w:vertAlign w:val="superscript"/>
        </w:rPr>
        <w:t>2</w:t>
      </w:r>
      <w:r w:rsidR="007B4863" w:rsidRPr="2F830975">
        <w:rPr>
          <w:vertAlign w:val="superscript"/>
        </w:rPr>
        <w:t>,</w:t>
      </w:r>
      <w:r>
        <w:rPr>
          <w:vertAlign w:val="superscript"/>
        </w:rPr>
        <w:t>b</w:t>
      </w:r>
      <w:proofErr w:type="gramEnd"/>
      <w:r>
        <w:rPr>
          <w:vertAlign w:val="superscript"/>
        </w:rPr>
        <w:t xml:space="preserve">) </w:t>
      </w:r>
      <w:r>
        <w:t>Adhan Efendi</w:t>
      </w:r>
      <w:r w:rsidR="007B4863" w:rsidRPr="2F830975">
        <w:rPr>
          <w:vertAlign w:val="superscript"/>
        </w:rPr>
        <w:t xml:space="preserve"> </w:t>
      </w:r>
      <w:r w:rsidR="00EF6940" w:rsidRPr="2F830975">
        <w:rPr>
          <w:vertAlign w:val="superscript"/>
        </w:rPr>
        <w:t>3</w:t>
      </w:r>
      <w:r w:rsidR="003A5C85" w:rsidRPr="2F830975">
        <w:rPr>
          <w:vertAlign w:val="superscript"/>
        </w:rPr>
        <w:t xml:space="preserve">, </w:t>
      </w:r>
      <w:proofErr w:type="spellStart"/>
      <w:r>
        <w:t>Kundari</w:t>
      </w:r>
      <w:proofErr w:type="spellEnd"/>
      <w:r>
        <w:t xml:space="preserve"> Rahmawati</w:t>
      </w:r>
      <w:r>
        <w:rPr>
          <w:vertAlign w:val="superscript"/>
        </w:rPr>
        <w:t>4,</w:t>
      </w:r>
      <w:r>
        <w:t xml:space="preserve"> </w:t>
      </w:r>
      <w:proofErr w:type="spellStart"/>
      <w:r>
        <w:t>Itok</w:t>
      </w:r>
      <w:proofErr w:type="spellEnd"/>
      <w:r>
        <w:t xml:space="preserve"> </w:t>
      </w:r>
      <w:proofErr w:type="spellStart"/>
      <w:r>
        <w:t>Dwi</w:t>
      </w:r>
      <w:proofErr w:type="spellEnd"/>
      <w:r>
        <w:t xml:space="preserve"> Kurniawan</w:t>
      </w:r>
      <w:r>
        <w:rPr>
          <w:vertAlign w:val="superscript"/>
        </w:rPr>
        <w:t>5</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CFA9C09" w14:textId="6B382E14" w:rsidR="00C14B14" w:rsidRDefault="00027428" w:rsidP="00C14B14">
      <w:pPr>
        <w:pStyle w:val="AuthorAffiliation"/>
      </w:pPr>
      <w:r w:rsidRPr="00075EA6">
        <w:rPr>
          <w:i w:val="0"/>
          <w:iCs/>
          <w:vertAlign w:val="superscript"/>
        </w:rPr>
        <w:t>1</w:t>
      </w:r>
      <w:r w:rsidR="000849A7">
        <w:rPr>
          <w:i w:val="0"/>
          <w:iCs/>
          <w:vertAlign w:val="superscript"/>
        </w:rPr>
        <w:t>45</w:t>
      </w:r>
      <w:r w:rsidR="000849A7" w:rsidRPr="000849A7">
        <w:t xml:space="preserve">Universitas </w:t>
      </w:r>
      <w:proofErr w:type="spellStart"/>
      <w:r w:rsidR="000849A7" w:rsidRPr="000849A7">
        <w:t>Sebelas</w:t>
      </w:r>
      <w:proofErr w:type="spellEnd"/>
      <w:r w:rsidR="000849A7" w:rsidRPr="000849A7">
        <w:t xml:space="preserve"> </w:t>
      </w:r>
      <w:proofErr w:type="spellStart"/>
      <w:r w:rsidR="000849A7" w:rsidRPr="000849A7">
        <w:t>Maret</w:t>
      </w:r>
      <w:proofErr w:type="spellEnd"/>
      <w:r w:rsidR="000849A7" w:rsidRPr="000849A7">
        <w:t xml:space="preserve"> Surakarta</w:t>
      </w:r>
      <w:r w:rsidR="000849A7">
        <w:t xml:space="preserve">, </w:t>
      </w:r>
      <w:r w:rsidR="000849A7" w:rsidRPr="000849A7">
        <w:t xml:space="preserve">Jl. Ir. </w:t>
      </w:r>
      <w:proofErr w:type="spellStart"/>
      <w:r w:rsidR="000849A7" w:rsidRPr="000849A7">
        <w:t>Sutami</w:t>
      </w:r>
      <w:proofErr w:type="spellEnd"/>
      <w:r w:rsidR="000849A7" w:rsidRPr="000849A7">
        <w:t xml:space="preserve"> No.36, </w:t>
      </w:r>
      <w:proofErr w:type="spellStart"/>
      <w:r w:rsidR="000849A7" w:rsidRPr="000849A7">
        <w:t>Kentingan</w:t>
      </w:r>
      <w:proofErr w:type="spellEnd"/>
      <w:r w:rsidR="000849A7" w:rsidRPr="000849A7">
        <w:t xml:space="preserve">, </w:t>
      </w:r>
      <w:proofErr w:type="spellStart"/>
      <w:r w:rsidR="000849A7" w:rsidRPr="000849A7">
        <w:t>Kec</w:t>
      </w:r>
      <w:proofErr w:type="spellEnd"/>
      <w:r w:rsidR="000849A7" w:rsidRPr="000849A7">
        <w:t xml:space="preserve">. </w:t>
      </w:r>
      <w:proofErr w:type="spellStart"/>
      <w:r w:rsidR="000849A7" w:rsidRPr="000849A7">
        <w:t>Jebres</w:t>
      </w:r>
      <w:proofErr w:type="spellEnd"/>
      <w:r w:rsidR="000849A7" w:rsidRPr="000849A7">
        <w:t xml:space="preserve">, Kota Surakarta, </w:t>
      </w:r>
      <w:proofErr w:type="spellStart"/>
      <w:r w:rsidR="000849A7" w:rsidRPr="000849A7">
        <w:t>Jawa</w:t>
      </w:r>
      <w:proofErr w:type="spellEnd"/>
      <w:r w:rsidR="000849A7" w:rsidRPr="000849A7">
        <w:t xml:space="preserve"> Tengah 57126</w:t>
      </w:r>
    </w:p>
    <w:p w14:paraId="1540EEFF" w14:textId="654C92C6" w:rsidR="00C14B14" w:rsidRPr="00075EA6" w:rsidRDefault="0016782F" w:rsidP="00C14B14">
      <w:pPr>
        <w:pStyle w:val="AuthorAffiliation"/>
      </w:pPr>
      <w:r w:rsidRPr="00075EA6">
        <w:t xml:space="preserve"> </w:t>
      </w:r>
      <w:r w:rsidR="00C14B14" w:rsidRPr="00075EA6">
        <w:rPr>
          <w:i w:val="0"/>
          <w:iCs/>
          <w:vertAlign w:val="superscript"/>
        </w:rPr>
        <w:t>2</w:t>
      </w:r>
      <w:r w:rsidR="000849A7" w:rsidRPr="000849A7">
        <w:t xml:space="preserve">IAIN </w:t>
      </w:r>
      <w:proofErr w:type="spellStart"/>
      <w:r w:rsidR="000849A7" w:rsidRPr="000849A7">
        <w:t>Syaikh</w:t>
      </w:r>
      <w:proofErr w:type="spellEnd"/>
      <w:r w:rsidR="000849A7" w:rsidRPr="000849A7">
        <w:t xml:space="preserve"> Abdurrahman Bangka Belitung</w:t>
      </w:r>
      <w:r w:rsidR="000849A7">
        <w:t xml:space="preserve">, </w:t>
      </w:r>
      <w:r w:rsidR="000849A7" w:rsidRPr="000849A7">
        <w:t xml:space="preserve">Jl. </w:t>
      </w:r>
      <w:proofErr w:type="spellStart"/>
      <w:r w:rsidR="000849A7" w:rsidRPr="000849A7">
        <w:t>Petaling</w:t>
      </w:r>
      <w:proofErr w:type="spellEnd"/>
      <w:r w:rsidR="000849A7" w:rsidRPr="000849A7">
        <w:t xml:space="preserve"> No.Km.13, </w:t>
      </w:r>
      <w:proofErr w:type="spellStart"/>
      <w:r w:rsidR="000849A7" w:rsidRPr="000849A7">
        <w:t>Petaling</w:t>
      </w:r>
      <w:proofErr w:type="spellEnd"/>
      <w:r w:rsidR="000849A7" w:rsidRPr="000849A7">
        <w:t xml:space="preserve">, </w:t>
      </w:r>
      <w:proofErr w:type="spellStart"/>
      <w:r w:rsidR="000849A7" w:rsidRPr="000849A7">
        <w:t>Mendo</w:t>
      </w:r>
      <w:proofErr w:type="spellEnd"/>
      <w:r w:rsidR="000849A7" w:rsidRPr="000849A7">
        <w:t xml:space="preserve"> Bar., </w:t>
      </w:r>
      <w:proofErr w:type="spellStart"/>
      <w:r w:rsidR="000849A7" w:rsidRPr="000849A7">
        <w:t>Kabupaten</w:t>
      </w:r>
      <w:proofErr w:type="spellEnd"/>
      <w:r w:rsidR="000849A7" w:rsidRPr="000849A7">
        <w:t xml:space="preserve"> Bangka, </w:t>
      </w:r>
      <w:proofErr w:type="spellStart"/>
      <w:r w:rsidR="000849A7" w:rsidRPr="000849A7">
        <w:t>Kepulauan</w:t>
      </w:r>
      <w:proofErr w:type="spellEnd"/>
      <w:r w:rsidR="000849A7" w:rsidRPr="000849A7">
        <w:t xml:space="preserve"> Bangka Belitung 33173</w:t>
      </w:r>
      <w:r w:rsidR="00C14B14">
        <w:t>.</w:t>
      </w:r>
    </w:p>
    <w:p w14:paraId="771D6B6C" w14:textId="45EDDCD3" w:rsidR="00C14B14" w:rsidRPr="00075EA6" w:rsidRDefault="00C14B14" w:rsidP="00C14B14">
      <w:pPr>
        <w:pStyle w:val="AuthorAffiliation"/>
      </w:pPr>
      <w:r w:rsidRPr="00075EA6">
        <w:rPr>
          <w:i w:val="0"/>
          <w:iCs/>
          <w:vertAlign w:val="superscript"/>
        </w:rPr>
        <w:t>3</w:t>
      </w:r>
      <w:r w:rsidR="000849A7" w:rsidRPr="000849A7">
        <w:t>Politeknik Negeri Subang</w:t>
      </w:r>
      <w:r w:rsidR="000849A7">
        <w:t xml:space="preserve">, </w:t>
      </w:r>
      <w:r w:rsidR="000849A7" w:rsidRPr="000849A7">
        <w:t xml:space="preserve">l. </w:t>
      </w:r>
      <w:proofErr w:type="spellStart"/>
      <w:r w:rsidR="000849A7" w:rsidRPr="000849A7">
        <w:t>Brigjen</w:t>
      </w:r>
      <w:proofErr w:type="spellEnd"/>
      <w:r w:rsidR="000849A7" w:rsidRPr="000849A7">
        <w:t xml:space="preserve"> </w:t>
      </w:r>
      <w:proofErr w:type="spellStart"/>
      <w:r w:rsidR="000849A7" w:rsidRPr="000849A7">
        <w:t>Katamso</w:t>
      </w:r>
      <w:proofErr w:type="spellEnd"/>
      <w:r w:rsidR="000849A7" w:rsidRPr="000849A7">
        <w:t xml:space="preserve"> No. 37 (</w:t>
      </w:r>
      <w:proofErr w:type="spellStart"/>
      <w:r w:rsidR="000849A7" w:rsidRPr="000849A7">
        <w:t>Belakang</w:t>
      </w:r>
      <w:proofErr w:type="spellEnd"/>
      <w:r w:rsidR="000849A7" w:rsidRPr="000849A7">
        <w:t xml:space="preserve"> RSUD, </w:t>
      </w:r>
      <w:proofErr w:type="spellStart"/>
      <w:r w:rsidR="000849A7" w:rsidRPr="000849A7">
        <w:t>Dangdeur</w:t>
      </w:r>
      <w:proofErr w:type="spellEnd"/>
      <w:r w:rsidR="000849A7" w:rsidRPr="000849A7">
        <w:t xml:space="preserve">, </w:t>
      </w:r>
      <w:proofErr w:type="spellStart"/>
      <w:r w:rsidR="000849A7" w:rsidRPr="000849A7">
        <w:t>Kec</w:t>
      </w:r>
      <w:proofErr w:type="spellEnd"/>
      <w:r w:rsidR="000849A7" w:rsidRPr="000849A7">
        <w:t xml:space="preserve">. Subang, </w:t>
      </w:r>
      <w:proofErr w:type="spellStart"/>
      <w:r w:rsidR="000849A7" w:rsidRPr="000849A7">
        <w:t>Kabupaten</w:t>
      </w:r>
      <w:proofErr w:type="spellEnd"/>
      <w:r w:rsidR="000849A7" w:rsidRPr="000849A7">
        <w:t xml:space="preserve"> Subang, </w:t>
      </w:r>
      <w:proofErr w:type="spellStart"/>
      <w:r w:rsidR="000849A7" w:rsidRPr="000849A7">
        <w:t>Jawa</w:t>
      </w:r>
      <w:proofErr w:type="spellEnd"/>
      <w:r w:rsidR="000849A7" w:rsidRPr="000849A7">
        <w:t xml:space="preserve"> Barat 41211</w:t>
      </w:r>
    </w:p>
    <w:p w14:paraId="3EAF16AE" w14:textId="77777777" w:rsidR="00C14B14" w:rsidRDefault="00C14B14" w:rsidP="00C14B14">
      <w:pPr>
        <w:pStyle w:val="AuthorAffiliation"/>
      </w:pPr>
      <w:r w:rsidRPr="00075EA6">
        <w:br/>
      </w:r>
      <w:r>
        <w:t>Author Emails</w:t>
      </w:r>
    </w:p>
    <w:p w14:paraId="09853542" w14:textId="6C85C3D7" w:rsidR="00CD7502" w:rsidRDefault="00C14B14" w:rsidP="00CD7502">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CD7502">
        <w:t>adhan</w:t>
      </w:r>
      <w:r w:rsidR="001D469C" w:rsidRPr="00075EA6">
        <w:t>@</w:t>
      </w:r>
      <w:r w:rsidR="00CD7502">
        <w:t>polsub.ac.id</w:t>
      </w:r>
      <w:r w:rsidR="00CD7502" w:rsidRPr="00075EA6">
        <w:rPr>
          <w:i/>
        </w:rPr>
        <w:t xml:space="preserve"> </w:t>
      </w:r>
      <w:r w:rsidR="001D469C" w:rsidRPr="00075EA6">
        <w:rPr>
          <w:i/>
        </w:rPr>
        <w:br/>
      </w:r>
      <w:proofErr w:type="gramStart"/>
      <w:r w:rsidR="003A5C85" w:rsidRPr="00075EA6">
        <w:rPr>
          <w:szCs w:val="28"/>
          <w:vertAlign w:val="superscript"/>
        </w:rPr>
        <w:t>b)</w:t>
      </w:r>
      <w:r w:rsidR="00CD7502">
        <w:rPr>
          <w:szCs w:val="28"/>
        </w:rPr>
        <w:t>wahyunoviansyah@staff.uns.ac.id</w:t>
      </w:r>
      <w:proofErr w:type="gramEnd"/>
      <w:r w:rsidR="00CD7502">
        <w:t xml:space="preserve"> </w:t>
      </w:r>
    </w:p>
    <w:p w14:paraId="36568EA6" w14:textId="77777777" w:rsidR="00CD7502" w:rsidRDefault="00CD7502" w:rsidP="00CD7502">
      <w:pPr>
        <w:pStyle w:val="AuthorEmail"/>
      </w:pPr>
      <w:r>
        <w:rPr>
          <w:szCs w:val="28"/>
          <w:vertAlign w:val="superscript"/>
        </w:rPr>
        <w:t>c</w:t>
      </w:r>
      <w:r w:rsidRPr="00075EA6">
        <w:rPr>
          <w:szCs w:val="28"/>
          <w:vertAlign w:val="superscript"/>
        </w:rPr>
        <w:t>)</w:t>
      </w:r>
      <w:r>
        <w:t>dianpuspitaekap@iainsasbabel.ac.id</w:t>
      </w:r>
      <w:r w:rsidRPr="00075EA6">
        <w:t xml:space="preserve"> </w:t>
      </w:r>
    </w:p>
    <w:p w14:paraId="18FD2232" w14:textId="294F261D" w:rsidR="00CD7502" w:rsidRDefault="00CD7502" w:rsidP="00CD7502">
      <w:pPr>
        <w:pStyle w:val="AuthorEmail"/>
        <w:rPr>
          <w:szCs w:val="28"/>
        </w:rPr>
      </w:pPr>
      <w:r>
        <w:rPr>
          <w:szCs w:val="28"/>
          <w:vertAlign w:val="superscript"/>
        </w:rPr>
        <w:t>d</w:t>
      </w:r>
      <w:r w:rsidRPr="00075EA6">
        <w:rPr>
          <w:szCs w:val="28"/>
          <w:vertAlign w:val="superscript"/>
        </w:rPr>
        <w:t>)</w:t>
      </w:r>
      <w:hyperlink r:id="rId9" w:history="1">
        <w:r w:rsidRPr="00A25D03">
          <w:rPr>
            <w:rStyle w:val="Hyperlink"/>
            <w:szCs w:val="28"/>
          </w:rPr>
          <w:t>kundariwahmawati@staff.uns.ac.id</w:t>
        </w:r>
      </w:hyperlink>
    </w:p>
    <w:p w14:paraId="5E05E235" w14:textId="3EA26E8A" w:rsidR="003A5C85" w:rsidRPr="00075EA6" w:rsidRDefault="00CD7502" w:rsidP="00CD7502">
      <w:pPr>
        <w:pStyle w:val="AuthorEmail"/>
      </w:pPr>
      <w:proofErr w:type="gramStart"/>
      <w:r>
        <w:rPr>
          <w:szCs w:val="28"/>
          <w:vertAlign w:val="superscript"/>
        </w:rPr>
        <w:t>e</w:t>
      </w:r>
      <w:r w:rsidRPr="00075EA6">
        <w:rPr>
          <w:szCs w:val="28"/>
          <w:vertAlign w:val="superscript"/>
        </w:rPr>
        <w:t>)</w:t>
      </w:r>
      <w:r>
        <w:rPr>
          <w:szCs w:val="28"/>
        </w:rPr>
        <w:t>itokdwikurniawan@staff.uns.ac.id</w:t>
      </w:r>
      <w:proofErr w:type="gramEnd"/>
    </w:p>
    <w:p w14:paraId="22C3F2A8" w14:textId="51C86E9D" w:rsidR="0016385D" w:rsidRPr="00075EA6" w:rsidRDefault="0016385D" w:rsidP="003078E2">
      <w:pPr>
        <w:pStyle w:val="Abstract"/>
      </w:pPr>
      <w:r w:rsidRPr="00075EA6">
        <w:rPr>
          <w:b/>
          <w:bCs/>
        </w:rPr>
        <w:t>Abstract.</w:t>
      </w:r>
      <w:r w:rsidRPr="00075EA6">
        <w:t xml:space="preserve"> </w:t>
      </w:r>
      <w:r w:rsidR="00CF7394" w:rsidRPr="00214A38">
        <w:t xml:space="preserve">This study is a type of development research. Researchers develop the media based on the increasing number of work accidents in the vocational education laboratory of Universitas </w:t>
      </w:r>
      <w:proofErr w:type="spellStart"/>
      <w:r w:rsidR="00CF7394" w:rsidRPr="00214A38">
        <w:t>Sebelas</w:t>
      </w:r>
      <w:proofErr w:type="spellEnd"/>
      <w:r w:rsidR="00CF7394" w:rsidRPr="00214A38">
        <w:t xml:space="preserve"> </w:t>
      </w:r>
      <w:proofErr w:type="spellStart"/>
      <w:r w:rsidR="00CF7394" w:rsidRPr="00214A38">
        <w:t>Maret</w:t>
      </w:r>
      <w:proofErr w:type="spellEnd"/>
      <w:r w:rsidR="00CF7394" w:rsidRPr="00214A38">
        <w:t>, especially in construction practice. The rate of work accidents can interfere with the practicum learning process. This study aims to make poster media education for students about occupational health and safety (OHS) in the workshop. Renewal of the research contained in the concept of an OHS poster according to the level of work accidents that often occur.</w:t>
      </w:r>
      <w:r w:rsidR="00CF7394" w:rsidRPr="00CF7394">
        <w:t xml:space="preserve"> Methods of data collection using observation and questionnaires. The data obtained was analyzed quantitatively and descriptively. The results of the study show that: (1) Material expert validation got a score of 84.85% is in the category </w:t>
      </w:r>
      <w:r w:rsidR="009D107B" w:rsidRPr="00CF7394">
        <w:t>valid; (</w:t>
      </w:r>
      <w:r w:rsidR="00CF7394" w:rsidRPr="00CF7394">
        <w:t>2) Validation from media experts got a score of 90.2% is in the very feasible category; (3) small group trials, the percentage of the display aspect is 84.3%, the language aspect is 89.3%, and the usability aspect is 87.5%. The average percentage of eligibility obtained is 87.04%. The average percentage of the small group trial shows that the poster media from the user's perception is categorized as very feasible implemented in learning.</w:t>
      </w:r>
    </w:p>
    <w:p w14:paraId="5240E3FB" w14:textId="78624F5A" w:rsidR="003A287B" w:rsidRPr="00075EA6" w:rsidRDefault="00D816D9" w:rsidP="00003D7C">
      <w:pPr>
        <w:pStyle w:val="Heading1"/>
        <w:rPr>
          <w:b w:val="0"/>
          <w:caps w:val="0"/>
          <w:sz w:val="20"/>
        </w:rPr>
      </w:pPr>
      <w:r>
        <w:t>INTRODUCTION</w:t>
      </w:r>
    </w:p>
    <w:p w14:paraId="6E97B5C8" w14:textId="4518EFE5" w:rsidR="009D107B" w:rsidRDefault="009D107B" w:rsidP="009D107B">
      <w:pPr>
        <w:pStyle w:val="Paragraph"/>
      </w:pPr>
      <w:r>
        <w:t xml:space="preserve">The Building Engineering Education Study Program carrying out its role as an Institution of Educators and Education Personnel needs to equip prospective teachers with work competencies in line with industry needs. It is </w:t>
      </w:r>
      <w:r>
        <w:t>a professional</w:t>
      </w:r>
      <w:r>
        <w:t xml:space="preserve"> competence for students to carry out the teaching profession in the vocational engineering field. With industry-appropriate work competencies, prospective vocational teachers can educate and train vocational students with competencies in line with the industrial world. Education is substantial in supporting the progress of a country in terms of human resources [1]. Added by [2], education focused on the establishment of competencies that produce graduates who are ready to work. Students are required to participate in practical learning in workshops. Students' training is to carry out work tasks in the field of building construction. Skill development in the learning practice requires direct interaction between students and machine tools. Direct interaction between students and machines </w:t>
      </w:r>
      <w:r>
        <w:lastRenderedPageBreak/>
        <w:t xml:space="preserve">requires awareness and a correct understanding of work safety. The potential and risk of work accidents when using the </w:t>
      </w:r>
      <w:r w:rsidR="00391328">
        <w:t>machine</w:t>
      </w:r>
      <w:r>
        <w:t xml:space="preserve"> will endanger and harm various parties. Therefore, students are required to take safe actions in carrying out practical work in the workshop. </w:t>
      </w:r>
    </w:p>
    <w:p w14:paraId="4D25A507" w14:textId="77777777" w:rsidR="009D107B" w:rsidRDefault="009D107B" w:rsidP="009D107B">
      <w:pPr>
        <w:pStyle w:val="Paragraph"/>
      </w:pPr>
    </w:p>
    <w:p w14:paraId="1E7702EE" w14:textId="3838E29F" w:rsidR="00B1000D" w:rsidRDefault="009D107B" w:rsidP="009D107B">
      <w:pPr>
        <w:pStyle w:val="Paragraph"/>
      </w:pPr>
      <w:r>
        <w:t>The survey results from student respondents in 2019 showed that as many as 58.6% of the Building Engineering Education Study Program students had not implemented Occupational Health and Safety (OHS) standards correctly. In addition, as many as 27 cases of work accidents have occurred in the workshop environment from 2016-2019. The phenomenon of work accidents with this period shows an increasing trend and peaks in 2019 with the highest number of work accidents. As can be seen in the following data presentation</w:t>
      </w:r>
    </w:p>
    <w:p w14:paraId="368730AE" w14:textId="77777777" w:rsidR="009D107B" w:rsidRDefault="009D107B" w:rsidP="00827050">
      <w:pPr>
        <w:pStyle w:val="Paragraph"/>
      </w:pPr>
    </w:p>
    <w:p w14:paraId="214428BA" w14:textId="77777777" w:rsidR="00D816D9" w:rsidRDefault="00D816D9" w:rsidP="00827050">
      <w:pPr>
        <w:pStyle w:val="Paragraph"/>
      </w:pPr>
    </w:p>
    <w:p w14:paraId="7C9BD4E3" w14:textId="05D089E1" w:rsidR="00D816D9" w:rsidRPr="00300870" w:rsidRDefault="00D816D9" w:rsidP="00D816D9">
      <w:pPr>
        <w:pBdr>
          <w:top w:val="nil"/>
          <w:left w:val="nil"/>
          <w:bottom w:val="nil"/>
          <w:right w:val="nil"/>
          <w:between w:val="nil"/>
        </w:pBdr>
        <w:tabs>
          <w:tab w:val="left" w:pos="567"/>
        </w:tabs>
        <w:jc w:val="center"/>
        <w:rPr>
          <w:color w:val="000000"/>
          <w:sz w:val="18"/>
          <w:szCs w:val="18"/>
        </w:rPr>
      </w:pPr>
      <w:r w:rsidRPr="00300870">
        <w:rPr>
          <w:b/>
          <w:bCs/>
          <w:color w:val="000000"/>
          <w:sz w:val="20"/>
        </w:rPr>
        <w:t>TABLE 1.</w:t>
      </w:r>
      <w:r w:rsidRPr="00025BA5">
        <w:rPr>
          <w:b/>
          <w:bCs/>
          <w:color w:val="000000"/>
        </w:rPr>
        <w:t xml:space="preserve"> </w:t>
      </w:r>
      <w:r w:rsidRPr="00300870">
        <w:rPr>
          <w:color w:val="000000"/>
          <w:sz w:val="18"/>
          <w:szCs w:val="18"/>
        </w:rPr>
        <w:t>Work Accident Rates in the Building Engineering Education Study Program</w:t>
      </w:r>
    </w:p>
    <w:p w14:paraId="01430A05" w14:textId="77777777" w:rsidR="00D816D9" w:rsidRDefault="00D816D9" w:rsidP="00D816D9">
      <w:pPr>
        <w:pBdr>
          <w:top w:val="nil"/>
          <w:left w:val="nil"/>
          <w:bottom w:val="nil"/>
          <w:right w:val="nil"/>
          <w:between w:val="nil"/>
        </w:pBdr>
        <w:tabs>
          <w:tab w:val="left" w:pos="567"/>
        </w:tabs>
        <w:jc w:val="center"/>
        <w:rPr>
          <w:color w:val="000000"/>
        </w:rPr>
      </w:pP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480"/>
        <w:gridCol w:w="2626"/>
        <w:gridCol w:w="1680"/>
        <w:gridCol w:w="935"/>
      </w:tblGrid>
      <w:tr w:rsidR="00D816D9" w:rsidRPr="006E478D" w14:paraId="4829188E" w14:textId="77777777" w:rsidTr="00E46F07">
        <w:trPr>
          <w:trHeight w:val="208"/>
        </w:trPr>
        <w:tc>
          <w:tcPr>
            <w:tcW w:w="565" w:type="dxa"/>
            <w:tcBorders>
              <w:top w:val="single" w:sz="4" w:space="0" w:color="auto"/>
              <w:bottom w:val="single" w:sz="4" w:space="0" w:color="auto"/>
            </w:tcBorders>
          </w:tcPr>
          <w:p w14:paraId="03E4178B" w14:textId="77777777" w:rsidR="00D816D9" w:rsidRPr="006E478D" w:rsidRDefault="00D816D9" w:rsidP="00E46F07">
            <w:pPr>
              <w:jc w:val="center"/>
              <w:rPr>
                <w:b/>
                <w:sz w:val="20"/>
              </w:rPr>
            </w:pPr>
            <w:r w:rsidRPr="006E478D">
              <w:rPr>
                <w:b/>
                <w:sz w:val="20"/>
              </w:rPr>
              <w:t>No</w:t>
            </w:r>
          </w:p>
        </w:tc>
        <w:tc>
          <w:tcPr>
            <w:tcW w:w="1480" w:type="dxa"/>
            <w:tcBorders>
              <w:top w:val="single" w:sz="4" w:space="0" w:color="auto"/>
              <w:bottom w:val="single" w:sz="4" w:space="0" w:color="auto"/>
            </w:tcBorders>
          </w:tcPr>
          <w:p w14:paraId="6067EC0A" w14:textId="77777777" w:rsidR="00D816D9" w:rsidRPr="006E478D" w:rsidRDefault="00D816D9" w:rsidP="00E46F07">
            <w:pPr>
              <w:jc w:val="center"/>
              <w:rPr>
                <w:b/>
                <w:sz w:val="20"/>
              </w:rPr>
            </w:pPr>
            <w:r w:rsidRPr="006E478D">
              <w:rPr>
                <w:b/>
                <w:sz w:val="20"/>
              </w:rPr>
              <w:t>Year</w:t>
            </w:r>
          </w:p>
        </w:tc>
        <w:tc>
          <w:tcPr>
            <w:tcW w:w="4306" w:type="dxa"/>
            <w:gridSpan w:val="2"/>
            <w:tcBorders>
              <w:top w:val="single" w:sz="4" w:space="0" w:color="auto"/>
              <w:bottom w:val="single" w:sz="4" w:space="0" w:color="auto"/>
            </w:tcBorders>
          </w:tcPr>
          <w:p w14:paraId="0DD717FB" w14:textId="77777777" w:rsidR="00D816D9" w:rsidRPr="006E478D" w:rsidRDefault="00D816D9" w:rsidP="00E46F07">
            <w:pPr>
              <w:jc w:val="center"/>
              <w:rPr>
                <w:b/>
                <w:sz w:val="20"/>
              </w:rPr>
            </w:pPr>
            <w:r w:rsidRPr="006E478D">
              <w:rPr>
                <w:b/>
                <w:sz w:val="20"/>
              </w:rPr>
              <w:t>Work Safety Description</w:t>
            </w:r>
          </w:p>
        </w:tc>
        <w:tc>
          <w:tcPr>
            <w:tcW w:w="935" w:type="dxa"/>
            <w:tcBorders>
              <w:top w:val="single" w:sz="4" w:space="0" w:color="auto"/>
              <w:bottom w:val="single" w:sz="4" w:space="0" w:color="auto"/>
            </w:tcBorders>
          </w:tcPr>
          <w:p w14:paraId="0FBFB255" w14:textId="77777777" w:rsidR="00D816D9" w:rsidRPr="006E478D" w:rsidRDefault="00D816D9" w:rsidP="00E46F07">
            <w:pPr>
              <w:jc w:val="center"/>
              <w:rPr>
                <w:b/>
                <w:sz w:val="20"/>
              </w:rPr>
            </w:pPr>
            <w:r w:rsidRPr="006E478D">
              <w:rPr>
                <w:b/>
                <w:sz w:val="20"/>
              </w:rPr>
              <w:t>Total</w:t>
            </w:r>
          </w:p>
        </w:tc>
      </w:tr>
      <w:tr w:rsidR="00D816D9" w:rsidRPr="006E478D" w14:paraId="3A284185" w14:textId="77777777" w:rsidTr="00E46F07">
        <w:trPr>
          <w:trHeight w:val="208"/>
        </w:trPr>
        <w:tc>
          <w:tcPr>
            <w:tcW w:w="565" w:type="dxa"/>
            <w:tcBorders>
              <w:top w:val="single" w:sz="4" w:space="0" w:color="auto"/>
            </w:tcBorders>
          </w:tcPr>
          <w:p w14:paraId="6B9FE9D5" w14:textId="77777777" w:rsidR="00D816D9" w:rsidRPr="006E478D" w:rsidRDefault="00D816D9" w:rsidP="00E46F07">
            <w:pPr>
              <w:jc w:val="center"/>
              <w:rPr>
                <w:b/>
                <w:sz w:val="20"/>
              </w:rPr>
            </w:pPr>
          </w:p>
        </w:tc>
        <w:tc>
          <w:tcPr>
            <w:tcW w:w="1480" w:type="dxa"/>
            <w:tcBorders>
              <w:top w:val="single" w:sz="4" w:space="0" w:color="auto"/>
            </w:tcBorders>
          </w:tcPr>
          <w:p w14:paraId="70DA7FF2" w14:textId="77777777" w:rsidR="00D816D9" w:rsidRPr="006E478D" w:rsidRDefault="00D816D9" w:rsidP="00E46F07">
            <w:pPr>
              <w:jc w:val="center"/>
              <w:rPr>
                <w:b/>
                <w:sz w:val="20"/>
              </w:rPr>
            </w:pPr>
          </w:p>
        </w:tc>
        <w:tc>
          <w:tcPr>
            <w:tcW w:w="2626" w:type="dxa"/>
            <w:tcBorders>
              <w:top w:val="single" w:sz="4" w:space="0" w:color="auto"/>
            </w:tcBorders>
          </w:tcPr>
          <w:p w14:paraId="096B5297" w14:textId="77777777" w:rsidR="00D816D9" w:rsidRPr="006E478D" w:rsidRDefault="00D816D9" w:rsidP="00E46F07">
            <w:pPr>
              <w:jc w:val="center"/>
              <w:rPr>
                <w:b/>
                <w:sz w:val="20"/>
              </w:rPr>
            </w:pPr>
            <w:r w:rsidRPr="006E478D">
              <w:rPr>
                <w:b/>
                <w:sz w:val="20"/>
              </w:rPr>
              <w:t>Type</w:t>
            </w:r>
          </w:p>
        </w:tc>
        <w:tc>
          <w:tcPr>
            <w:tcW w:w="1680" w:type="dxa"/>
            <w:tcBorders>
              <w:top w:val="single" w:sz="4" w:space="0" w:color="auto"/>
            </w:tcBorders>
          </w:tcPr>
          <w:p w14:paraId="754C1F14" w14:textId="77777777" w:rsidR="00D816D9" w:rsidRPr="006E478D" w:rsidRDefault="00D816D9" w:rsidP="00E46F07">
            <w:pPr>
              <w:jc w:val="center"/>
              <w:rPr>
                <w:b/>
                <w:sz w:val="20"/>
              </w:rPr>
            </w:pPr>
            <w:r w:rsidRPr="006E478D">
              <w:rPr>
                <w:b/>
                <w:sz w:val="20"/>
              </w:rPr>
              <w:t>Category</w:t>
            </w:r>
          </w:p>
        </w:tc>
        <w:tc>
          <w:tcPr>
            <w:tcW w:w="935" w:type="dxa"/>
            <w:tcBorders>
              <w:top w:val="single" w:sz="4" w:space="0" w:color="auto"/>
            </w:tcBorders>
          </w:tcPr>
          <w:p w14:paraId="04513343" w14:textId="77777777" w:rsidR="00D816D9" w:rsidRPr="006E478D" w:rsidRDefault="00D816D9" w:rsidP="00E46F07">
            <w:pPr>
              <w:jc w:val="center"/>
              <w:rPr>
                <w:b/>
                <w:sz w:val="20"/>
              </w:rPr>
            </w:pPr>
          </w:p>
        </w:tc>
      </w:tr>
      <w:tr w:rsidR="00D816D9" w:rsidRPr="006E478D" w14:paraId="36AF89DC" w14:textId="77777777" w:rsidTr="00E46F07">
        <w:trPr>
          <w:trHeight w:val="220"/>
        </w:trPr>
        <w:tc>
          <w:tcPr>
            <w:tcW w:w="565" w:type="dxa"/>
          </w:tcPr>
          <w:p w14:paraId="35665D4A" w14:textId="77777777" w:rsidR="00D816D9" w:rsidRPr="006E478D" w:rsidRDefault="00D816D9" w:rsidP="00E46F07">
            <w:pPr>
              <w:jc w:val="center"/>
              <w:rPr>
                <w:sz w:val="20"/>
              </w:rPr>
            </w:pPr>
            <w:r w:rsidRPr="006E478D">
              <w:rPr>
                <w:sz w:val="20"/>
              </w:rPr>
              <w:t>1</w:t>
            </w:r>
          </w:p>
        </w:tc>
        <w:tc>
          <w:tcPr>
            <w:tcW w:w="1480" w:type="dxa"/>
          </w:tcPr>
          <w:p w14:paraId="3315AEC9" w14:textId="77777777" w:rsidR="00D816D9" w:rsidRPr="006E478D" w:rsidRDefault="00D816D9" w:rsidP="00E46F07">
            <w:pPr>
              <w:jc w:val="center"/>
              <w:rPr>
                <w:sz w:val="20"/>
              </w:rPr>
            </w:pPr>
            <w:r w:rsidRPr="006E478D">
              <w:rPr>
                <w:sz w:val="20"/>
              </w:rPr>
              <w:t>2016</w:t>
            </w:r>
          </w:p>
        </w:tc>
        <w:tc>
          <w:tcPr>
            <w:tcW w:w="2626" w:type="dxa"/>
          </w:tcPr>
          <w:p w14:paraId="61DF12C2" w14:textId="77777777" w:rsidR="00D816D9" w:rsidRPr="006E478D" w:rsidRDefault="00D816D9" w:rsidP="00E46F07">
            <w:pPr>
              <w:jc w:val="center"/>
              <w:rPr>
                <w:sz w:val="20"/>
              </w:rPr>
            </w:pPr>
            <w:r w:rsidRPr="006E478D">
              <w:rPr>
                <w:sz w:val="20"/>
              </w:rPr>
              <w:t>Scratched/sliced by tool</w:t>
            </w:r>
          </w:p>
        </w:tc>
        <w:tc>
          <w:tcPr>
            <w:tcW w:w="1680" w:type="dxa"/>
          </w:tcPr>
          <w:p w14:paraId="45DF9017" w14:textId="77777777" w:rsidR="00D816D9" w:rsidRPr="006E478D" w:rsidRDefault="00D816D9" w:rsidP="00E46F07">
            <w:pPr>
              <w:jc w:val="center"/>
              <w:rPr>
                <w:sz w:val="20"/>
              </w:rPr>
            </w:pPr>
            <w:r w:rsidRPr="006E478D">
              <w:rPr>
                <w:sz w:val="20"/>
              </w:rPr>
              <w:t>Medium</w:t>
            </w:r>
          </w:p>
        </w:tc>
        <w:tc>
          <w:tcPr>
            <w:tcW w:w="935" w:type="dxa"/>
          </w:tcPr>
          <w:p w14:paraId="2CA7A69C" w14:textId="77777777" w:rsidR="00D816D9" w:rsidRPr="006E478D" w:rsidRDefault="00D816D9" w:rsidP="00E46F07">
            <w:pPr>
              <w:jc w:val="center"/>
              <w:rPr>
                <w:sz w:val="20"/>
              </w:rPr>
            </w:pPr>
            <w:r w:rsidRPr="006E478D">
              <w:rPr>
                <w:sz w:val="20"/>
              </w:rPr>
              <w:t>1</w:t>
            </w:r>
          </w:p>
        </w:tc>
      </w:tr>
      <w:tr w:rsidR="00D816D9" w:rsidRPr="006E478D" w14:paraId="68440943" w14:textId="77777777" w:rsidTr="00E46F07">
        <w:trPr>
          <w:trHeight w:val="636"/>
        </w:trPr>
        <w:tc>
          <w:tcPr>
            <w:tcW w:w="565" w:type="dxa"/>
          </w:tcPr>
          <w:p w14:paraId="074898F0" w14:textId="77777777" w:rsidR="00D816D9" w:rsidRPr="006E478D" w:rsidRDefault="00D816D9" w:rsidP="00E46F07">
            <w:pPr>
              <w:jc w:val="center"/>
              <w:rPr>
                <w:sz w:val="20"/>
              </w:rPr>
            </w:pPr>
            <w:r w:rsidRPr="006E478D">
              <w:rPr>
                <w:sz w:val="20"/>
              </w:rPr>
              <w:t>2</w:t>
            </w:r>
          </w:p>
        </w:tc>
        <w:tc>
          <w:tcPr>
            <w:tcW w:w="1480" w:type="dxa"/>
          </w:tcPr>
          <w:p w14:paraId="071FE4C4" w14:textId="77777777" w:rsidR="00D816D9" w:rsidRPr="006E478D" w:rsidRDefault="00D816D9" w:rsidP="00E46F07">
            <w:pPr>
              <w:jc w:val="center"/>
              <w:rPr>
                <w:sz w:val="20"/>
              </w:rPr>
            </w:pPr>
            <w:r w:rsidRPr="006E478D">
              <w:rPr>
                <w:sz w:val="20"/>
              </w:rPr>
              <w:t>2017</w:t>
            </w:r>
          </w:p>
        </w:tc>
        <w:tc>
          <w:tcPr>
            <w:tcW w:w="2626" w:type="dxa"/>
          </w:tcPr>
          <w:p w14:paraId="6D97E1CE" w14:textId="77777777" w:rsidR="00D816D9" w:rsidRPr="006E478D" w:rsidRDefault="00D816D9" w:rsidP="00E46F07">
            <w:pPr>
              <w:jc w:val="center"/>
              <w:rPr>
                <w:sz w:val="20"/>
              </w:rPr>
            </w:pPr>
            <w:r w:rsidRPr="006E478D">
              <w:rPr>
                <w:sz w:val="20"/>
              </w:rPr>
              <w:t>Fell</w:t>
            </w:r>
          </w:p>
          <w:p w14:paraId="76BE9B49" w14:textId="77777777" w:rsidR="00D816D9" w:rsidRPr="006E478D" w:rsidRDefault="00D816D9" w:rsidP="00E46F07">
            <w:pPr>
              <w:jc w:val="center"/>
              <w:rPr>
                <w:sz w:val="20"/>
              </w:rPr>
            </w:pPr>
            <w:r w:rsidRPr="006E478D">
              <w:rPr>
                <w:sz w:val="20"/>
              </w:rPr>
              <w:t>Hit by a sharp object</w:t>
            </w:r>
          </w:p>
          <w:p w14:paraId="09583EAD" w14:textId="77777777" w:rsidR="00D816D9" w:rsidRPr="006E478D" w:rsidRDefault="00D816D9" w:rsidP="00E46F07">
            <w:pPr>
              <w:jc w:val="center"/>
              <w:rPr>
                <w:sz w:val="20"/>
              </w:rPr>
            </w:pPr>
            <w:r w:rsidRPr="006E478D">
              <w:rPr>
                <w:sz w:val="20"/>
              </w:rPr>
              <w:t>Scratched/sliced by tool</w:t>
            </w:r>
          </w:p>
        </w:tc>
        <w:tc>
          <w:tcPr>
            <w:tcW w:w="1680" w:type="dxa"/>
          </w:tcPr>
          <w:p w14:paraId="19692FC4" w14:textId="77777777" w:rsidR="00D816D9" w:rsidRPr="006E478D" w:rsidRDefault="00D816D9" w:rsidP="00E46F07">
            <w:pPr>
              <w:jc w:val="center"/>
              <w:rPr>
                <w:sz w:val="20"/>
              </w:rPr>
            </w:pPr>
            <w:r w:rsidRPr="006E478D">
              <w:rPr>
                <w:sz w:val="20"/>
              </w:rPr>
              <w:t>Medium</w:t>
            </w:r>
          </w:p>
        </w:tc>
        <w:tc>
          <w:tcPr>
            <w:tcW w:w="935" w:type="dxa"/>
          </w:tcPr>
          <w:p w14:paraId="735A3F87" w14:textId="77777777" w:rsidR="00D816D9" w:rsidRPr="006E478D" w:rsidRDefault="00D816D9" w:rsidP="00E46F07">
            <w:pPr>
              <w:jc w:val="center"/>
              <w:rPr>
                <w:sz w:val="20"/>
              </w:rPr>
            </w:pPr>
            <w:r w:rsidRPr="006E478D">
              <w:rPr>
                <w:sz w:val="20"/>
              </w:rPr>
              <w:t>5</w:t>
            </w:r>
          </w:p>
        </w:tc>
      </w:tr>
      <w:tr w:rsidR="00D816D9" w:rsidRPr="006E478D" w14:paraId="054BB743" w14:textId="77777777" w:rsidTr="00E46F07">
        <w:trPr>
          <w:trHeight w:val="428"/>
        </w:trPr>
        <w:tc>
          <w:tcPr>
            <w:tcW w:w="565" w:type="dxa"/>
          </w:tcPr>
          <w:p w14:paraId="15244CD9" w14:textId="77777777" w:rsidR="00D816D9" w:rsidRPr="006E478D" w:rsidRDefault="00D816D9" w:rsidP="00E46F07">
            <w:pPr>
              <w:jc w:val="center"/>
              <w:rPr>
                <w:sz w:val="20"/>
              </w:rPr>
            </w:pPr>
            <w:r w:rsidRPr="006E478D">
              <w:rPr>
                <w:sz w:val="20"/>
              </w:rPr>
              <w:t>3</w:t>
            </w:r>
          </w:p>
        </w:tc>
        <w:tc>
          <w:tcPr>
            <w:tcW w:w="1480" w:type="dxa"/>
          </w:tcPr>
          <w:p w14:paraId="2CA4DDD3" w14:textId="77777777" w:rsidR="00D816D9" w:rsidRPr="006E478D" w:rsidRDefault="00D816D9" w:rsidP="00E46F07">
            <w:pPr>
              <w:jc w:val="center"/>
              <w:rPr>
                <w:sz w:val="20"/>
              </w:rPr>
            </w:pPr>
            <w:r w:rsidRPr="006E478D">
              <w:rPr>
                <w:sz w:val="20"/>
              </w:rPr>
              <w:t>2018</w:t>
            </w:r>
          </w:p>
        </w:tc>
        <w:tc>
          <w:tcPr>
            <w:tcW w:w="2626" w:type="dxa"/>
          </w:tcPr>
          <w:p w14:paraId="4BDEBBF2" w14:textId="77777777" w:rsidR="00D816D9" w:rsidRPr="006E478D" w:rsidRDefault="00D816D9" w:rsidP="00E46F07">
            <w:pPr>
              <w:jc w:val="center"/>
              <w:rPr>
                <w:sz w:val="20"/>
              </w:rPr>
            </w:pPr>
            <w:r w:rsidRPr="006E478D">
              <w:rPr>
                <w:sz w:val="20"/>
              </w:rPr>
              <w:t>Hit by a sharp object</w:t>
            </w:r>
          </w:p>
          <w:p w14:paraId="3ADD1A04" w14:textId="77777777" w:rsidR="00D816D9" w:rsidRPr="006E478D" w:rsidRDefault="00D816D9" w:rsidP="00E46F07">
            <w:pPr>
              <w:jc w:val="center"/>
              <w:rPr>
                <w:sz w:val="20"/>
              </w:rPr>
            </w:pPr>
            <w:r w:rsidRPr="006E478D">
              <w:rPr>
                <w:sz w:val="20"/>
              </w:rPr>
              <w:t>Crashed by object</w:t>
            </w:r>
          </w:p>
        </w:tc>
        <w:tc>
          <w:tcPr>
            <w:tcW w:w="1680" w:type="dxa"/>
          </w:tcPr>
          <w:p w14:paraId="4F3BE2E5" w14:textId="77777777" w:rsidR="00D816D9" w:rsidRPr="006E478D" w:rsidRDefault="00D816D9" w:rsidP="00E46F07">
            <w:pPr>
              <w:jc w:val="center"/>
              <w:rPr>
                <w:sz w:val="20"/>
              </w:rPr>
            </w:pPr>
            <w:r w:rsidRPr="006E478D">
              <w:rPr>
                <w:sz w:val="20"/>
              </w:rPr>
              <w:t>Medium</w:t>
            </w:r>
          </w:p>
        </w:tc>
        <w:tc>
          <w:tcPr>
            <w:tcW w:w="935" w:type="dxa"/>
          </w:tcPr>
          <w:p w14:paraId="477C440E" w14:textId="77777777" w:rsidR="00D816D9" w:rsidRPr="006E478D" w:rsidRDefault="00D816D9" w:rsidP="00E46F07">
            <w:pPr>
              <w:jc w:val="center"/>
              <w:rPr>
                <w:sz w:val="20"/>
              </w:rPr>
            </w:pPr>
            <w:r w:rsidRPr="006E478D">
              <w:rPr>
                <w:sz w:val="20"/>
              </w:rPr>
              <w:t>4</w:t>
            </w:r>
          </w:p>
        </w:tc>
      </w:tr>
      <w:tr w:rsidR="00D816D9" w:rsidRPr="006E478D" w14:paraId="37BBE490" w14:textId="77777777" w:rsidTr="00E46F07">
        <w:trPr>
          <w:trHeight w:val="1064"/>
        </w:trPr>
        <w:tc>
          <w:tcPr>
            <w:tcW w:w="565" w:type="dxa"/>
          </w:tcPr>
          <w:p w14:paraId="44C24794" w14:textId="77777777" w:rsidR="00D816D9" w:rsidRPr="006E478D" w:rsidRDefault="00D816D9" w:rsidP="00E46F07">
            <w:pPr>
              <w:jc w:val="center"/>
              <w:rPr>
                <w:sz w:val="20"/>
              </w:rPr>
            </w:pPr>
            <w:r w:rsidRPr="006E478D">
              <w:rPr>
                <w:sz w:val="20"/>
              </w:rPr>
              <w:t>4</w:t>
            </w:r>
          </w:p>
        </w:tc>
        <w:tc>
          <w:tcPr>
            <w:tcW w:w="1480" w:type="dxa"/>
          </w:tcPr>
          <w:p w14:paraId="6C40C21E" w14:textId="77777777" w:rsidR="00D816D9" w:rsidRPr="006E478D" w:rsidRDefault="00D816D9" w:rsidP="00E46F07">
            <w:pPr>
              <w:jc w:val="center"/>
              <w:rPr>
                <w:sz w:val="20"/>
              </w:rPr>
            </w:pPr>
            <w:r w:rsidRPr="006E478D">
              <w:rPr>
                <w:sz w:val="20"/>
              </w:rPr>
              <w:t>2019</w:t>
            </w:r>
          </w:p>
        </w:tc>
        <w:tc>
          <w:tcPr>
            <w:tcW w:w="2626" w:type="dxa"/>
          </w:tcPr>
          <w:p w14:paraId="0B63F270" w14:textId="77777777" w:rsidR="00D816D9" w:rsidRPr="006E478D" w:rsidRDefault="00D816D9" w:rsidP="00E46F07">
            <w:pPr>
              <w:jc w:val="center"/>
              <w:rPr>
                <w:sz w:val="20"/>
              </w:rPr>
            </w:pPr>
            <w:r w:rsidRPr="006E478D">
              <w:rPr>
                <w:sz w:val="20"/>
              </w:rPr>
              <w:t>Hit by a sharp object</w:t>
            </w:r>
          </w:p>
          <w:p w14:paraId="145857C8" w14:textId="77777777" w:rsidR="00D816D9" w:rsidRPr="006E478D" w:rsidRDefault="00D816D9" w:rsidP="00E46F07">
            <w:pPr>
              <w:jc w:val="center"/>
              <w:rPr>
                <w:sz w:val="20"/>
              </w:rPr>
            </w:pPr>
            <w:r w:rsidRPr="006E478D">
              <w:rPr>
                <w:sz w:val="20"/>
              </w:rPr>
              <w:t>Scratched/sliced by tool</w:t>
            </w:r>
          </w:p>
          <w:p w14:paraId="1C2C43C3" w14:textId="77777777" w:rsidR="00D816D9" w:rsidRPr="006E478D" w:rsidRDefault="00D816D9" w:rsidP="00E46F07">
            <w:pPr>
              <w:jc w:val="center"/>
              <w:rPr>
                <w:sz w:val="20"/>
              </w:rPr>
            </w:pPr>
            <w:r w:rsidRPr="006E478D">
              <w:rPr>
                <w:sz w:val="20"/>
              </w:rPr>
              <w:t>Crashed by objects</w:t>
            </w:r>
          </w:p>
          <w:p w14:paraId="69305AD7" w14:textId="77777777" w:rsidR="00D816D9" w:rsidRPr="006E478D" w:rsidRDefault="00D816D9" w:rsidP="00E46F07">
            <w:pPr>
              <w:jc w:val="center"/>
              <w:rPr>
                <w:sz w:val="20"/>
              </w:rPr>
            </w:pPr>
            <w:r w:rsidRPr="006E478D">
              <w:rPr>
                <w:sz w:val="20"/>
              </w:rPr>
              <w:t xml:space="preserve">Mashed by objects </w:t>
            </w:r>
          </w:p>
          <w:p w14:paraId="7F19E37C" w14:textId="77777777" w:rsidR="00D816D9" w:rsidRPr="006E478D" w:rsidRDefault="00D816D9" w:rsidP="00E46F07">
            <w:pPr>
              <w:jc w:val="center"/>
              <w:rPr>
                <w:sz w:val="20"/>
              </w:rPr>
            </w:pPr>
            <w:r w:rsidRPr="006E478D">
              <w:rPr>
                <w:sz w:val="20"/>
              </w:rPr>
              <w:t>etc.</w:t>
            </w:r>
          </w:p>
        </w:tc>
        <w:tc>
          <w:tcPr>
            <w:tcW w:w="1680" w:type="dxa"/>
          </w:tcPr>
          <w:p w14:paraId="1F391624" w14:textId="77777777" w:rsidR="00D816D9" w:rsidRPr="006E478D" w:rsidRDefault="00D816D9" w:rsidP="00E46F07">
            <w:pPr>
              <w:jc w:val="center"/>
              <w:rPr>
                <w:sz w:val="20"/>
              </w:rPr>
            </w:pPr>
            <w:r w:rsidRPr="006E478D">
              <w:rPr>
                <w:sz w:val="20"/>
              </w:rPr>
              <w:t>Medium</w:t>
            </w:r>
          </w:p>
        </w:tc>
        <w:tc>
          <w:tcPr>
            <w:tcW w:w="935" w:type="dxa"/>
          </w:tcPr>
          <w:p w14:paraId="6C1333EC" w14:textId="77777777" w:rsidR="00D816D9" w:rsidRPr="006E478D" w:rsidRDefault="00D816D9" w:rsidP="00E46F07">
            <w:pPr>
              <w:jc w:val="center"/>
              <w:rPr>
                <w:sz w:val="20"/>
              </w:rPr>
            </w:pPr>
            <w:r w:rsidRPr="006E478D">
              <w:rPr>
                <w:sz w:val="20"/>
              </w:rPr>
              <w:t>17</w:t>
            </w:r>
          </w:p>
        </w:tc>
      </w:tr>
      <w:tr w:rsidR="00D816D9" w:rsidRPr="006E478D" w14:paraId="354B3232" w14:textId="77777777" w:rsidTr="00E46F07">
        <w:trPr>
          <w:trHeight w:val="73"/>
        </w:trPr>
        <w:tc>
          <w:tcPr>
            <w:tcW w:w="565" w:type="dxa"/>
          </w:tcPr>
          <w:p w14:paraId="3E3C3DA8" w14:textId="77777777" w:rsidR="00D816D9" w:rsidRPr="006E478D" w:rsidRDefault="00D816D9" w:rsidP="00E46F07">
            <w:pPr>
              <w:jc w:val="center"/>
              <w:rPr>
                <w:sz w:val="20"/>
              </w:rPr>
            </w:pPr>
          </w:p>
        </w:tc>
        <w:tc>
          <w:tcPr>
            <w:tcW w:w="5786" w:type="dxa"/>
            <w:gridSpan w:val="3"/>
            <w:tcBorders>
              <w:bottom w:val="single" w:sz="4" w:space="0" w:color="auto"/>
            </w:tcBorders>
          </w:tcPr>
          <w:p w14:paraId="28162B9A" w14:textId="77777777" w:rsidR="00D816D9" w:rsidRPr="006E478D" w:rsidRDefault="00D816D9" w:rsidP="00E46F07">
            <w:pPr>
              <w:jc w:val="center"/>
              <w:rPr>
                <w:b/>
                <w:sz w:val="20"/>
              </w:rPr>
            </w:pPr>
            <w:r w:rsidRPr="006E478D">
              <w:rPr>
                <w:b/>
                <w:sz w:val="20"/>
              </w:rPr>
              <w:t>Total</w:t>
            </w:r>
          </w:p>
        </w:tc>
        <w:tc>
          <w:tcPr>
            <w:tcW w:w="935" w:type="dxa"/>
            <w:tcBorders>
              <w:bottom w:val="single" w:sz="4" w:space="0" w:color="auto"/>
            </w:tcBorders>
          </w:tcPr>
          <w:p w14:paraId="7593770D" w14:textId="77777777" w:rsidR="00D816D9" w:rsidRPr="006E478D" w:rsidRDefault="00D816D9" w:rsidP="00E46F07">
            <w:pPr>
              <w:jc w:val="center"/>
              <w:rPr>
                <w:b/>
                <w:sz w:val="20"/>
              </w:rPr>
            </w:pPr>
            <w:r w:rsidRPr="006E478D">
              <w:rPr>
                <w:b/>
                <w:sz w:val="20"/>
              </w:rPr>
              <w:t>27</w:t>
            </w:r>
          </w:p>
        </w:tc>
      </w:tr>
    </w:tbl>
    <w:p w14:paraId="78A2120F" w14:textId="77777777" w:rsidR="00D816D9" w:rsidRDefault="00D816D9" w:rsidP="00827050">
      <w:pPr>
        <w:pStyle w:val="Paragraph"/>
      </w:pPr>
    </w:p>
    <w:p w14:paraId="663BC39E" w14:textId="77777777" w:rsidR="003F31C6" w:rsidRPr="00AE7500" w:rsidRDefault="003F31C6" w:rsidP="00D816D9">
      <w:pPr>
        <w:pStyle w:val="Paragraphbulleted"/>
        <w:numPr>
          <w:ilvl w:val="0"/>
          <w:numId w:val="0"/>
        </w:numPr>
      </w:pPr>
    </w:p>
    <w:p w14:paraId="1DCC8354" w14:textId="38AF0FBA" w:rsidR="002941DA" w:rsidRDefault="00D816D9" w:rsidP="00003D7C">
      <w:pPr>
        <w:pStyle w:val="Paragraph"/>
      </w:pPr>
      <w:r w:rsidRPr="00D816D9">
        <w:t>Exposure to the phenomenon of work accidents strengthens the assumption that the urgency of introducing OHS needs to be carried out as a corrective and preventive solution in responding to the phenomenon of work accidents. The selection of effective and efficient media is an option to increase understanding and awareness of safe preventive measures in protecting student work safety while working in workshops. The application of Occupational Health and Safety is very important in vocational institutions that have a high accident risk [3].</w:t>
      </w:r>
    </w:p>
    <w:p w14:paraId="2EFB34BA" w14:textId="77777777" w:rsidR="00D816D9" w:rsidRDefault="00D816D9" w:rsidP="00003D7C">
      <w:pPr>
        <w:pStyle w:val="Paragraph"/>
      </w:pPr>
    </w:p>
    <w:p w14:paraId="3AA3B0FA" w14:textId="69BE0030" w:rsidR="00D816D9" w:rsidRDefault="00D816D9" w:rsidP="00D816D9">
      <w:pPr>
        <w:pStyle w:val="Paragraph"/>
      </w:pPr>
      <w:r>
        <w:t>The introduction of work safety with the one-way briefing method has not been able to optimize this role. The selection of posters based on infographics is believed to be an effective and efficient media choice in overcoming these problems. The combination of the two will be an effective and efficient medium that can always be re-read. The installation of media posters in the workshop environment can continue to remind students so that awareness arises about the importance of work</w:t>
      </w:r>
      <w:r w:rsidR="006B7C58">
        <w:t>place</w:t>
      </w:r>
      <w:r>
        <w:t xml:space="preserve"> safety. Therefore, this study aims to develop an infographic-based poster as a medium for induction of work safety in the Building Engineering Education workshop. [4] state that technological advances are a challenge for teachers in developing learning media in the classroom. The use of media is expected to increase students' understanding in receiving the material presented by the teacher [5].</w:t>
      </w:r>
    </w:p>
    <w:p w14:paraId="34C93486" w14:textId="77777777" w:rsidR="00D816D9" w:rsidRDefault="00D816D9" w:rsidP="00D816D9">
      <w:pPr>
        <w:pStyle w:val="Paragraph"/>
      </w:pPr>
    </w:p>
    <w:p w14:paraId="25F0BA05" w14:textId="77777777" w:rsidR="00D816D9" w:rsidRDefault="00D816D9" w:rsidP="00D816D9">
      <w:pPr>
        <w:pStyle w:val="Paragraph"/>
      </w:pPr>
      <w:r>
        <w:t>Media can be interpreted as an intermediary used to emphasize and clarify information or messages to be conveyed by the sender of the message. Media helps in constructing messages or information to be more concrete so that it is easily understood and captured by the recipient of the message (receiver). Added by [6], the media through the validity test is considered able to overcome the problems faced by students. In the context of learning, media is used as an intermediary in conveying learning messages. Media serves to clarify the messages conveyed through learning materials. [7] in their research argue that media that uses lots of pictures will be more attractive to students in the learning process.</w:t>
      </w:r>
    </w:p>
    <w:p w14:paraId="1F1D1448" w14:textId="77777777" w:rsidR="00D816D9" w:rsidRDefault="00D816D9" w:rsidP="00D816D9">
      <w:pPr>
        <w:pStyle w:val="Paragraph"/>
      </w:pPr>
    </w:p>
    <w:p w14:paraId="399FC60E" w14:textId="0AA24C87" w:rsidR="00D816D9" w:rsidRDefault="00D816D9" w:rsidP="00D816D9">
      <w:pPr>
        <w:pStyle w:val="Paragraph"/>
      </w:pPr>
      <w:r>
        <w:t xml:space="preserve">Through the use of media, the learning process will be easily conveyed if the media is made attractively [8]. In other words, learning can be achieved </w:t>
      </w:r>
      <w:r w:rsidR="006B7C58">
        <w:t>by</w:t>
      </w:r>
      <w:r>
        <w:t xml:space="preserve"> the objectives with minimal resources of time, effort</w:t>
      </w:r>
      <w:r w:rsidR="006B7C58">
        <w:t>,</w:t>
      </w:r>
      <w:r>
        <w:t xml:space="preserve"> and cost. For example, </w:t>
      </w:r>
      <w:r>
        <w:lastRenderedPageBreak/>
        <w:t xml:space="preserve">if learning without media takes 2 to 3 meetings for students to become familiar with the material. By using learning media, students only need one learning meeting to understand the messages conveyed in the learning materials [9]. One of the media that can be used in learning is poster media. </w:t>
      </w:r>
      <w:r w:rsidR="006B7C58">
        <w:t>The p</w:t>
      </w:r>
      <w:r>
        <w:t xml:space="preserve">oster is defined as a visual medium that displays a combination of images and text messages. The use of a combination of images, </w:t>
      </w:r>
      <w:r w:rsidR="006B7C58">
        <w:t>colors,</w:t>
      </w:r>
      <w:r>
        <w:t xml:space="preserve"> and text in conveying a message aims to attract the attention of the reader who sees and instils the idea that contains the message in the reader's mind for a long time. While infographics have the meaning of a combination of information and graphics in the form of data visualization images. Infographics aim to convey complex information by displaying images to make it easier to understand. Thus, infographic-based posters are static visual media that present information by using a combination of images, </w:t>
      </w:r>
      <w:r w:rsidR="006B7C58">
        <w:t>colors</w:t>
      </w:r>
      <w:r>
        <w:t xml:space="preserve"> and text to attract attention and </w:t>
      </w:r>
      <w:r w:rsidR="006B7C58">
        <w:t>instill</w:t>
      </w:r>
      <w:r>
        <w:t xml:space="preserve"> ideas into the reader's mind.</w:t>
      </w:r>
    </w:p>
    <w:p w14:paraId="417DCDE5" w14:textId="77777777" w:rsidR="00D816D9" w:rsidRDefault="00D816D9" w:rsidP="00D816D9">
      <w:pPr>
        <w:pStyle w:val="Paragraph"/>
      </w:pPr>
    </w:p>
    <w:p w14:paraId="28EF29C2" w14:textId="535F678F" w:rsidR="00D816D9" w:rsidRDefault="00D816D9" w:rsidP="00D816D9">
      <w:pPr>
        <w:pStyle w:val="Paragraph"/>
      </w:pPr>
      <w:r>
        <w:t xml:space="preserve">The use of infographic-based poster media in work safety induction is expected to be effective and efficient in conveying messages about the application of work safety. Consumption of messages continuously through media that contains a combination of images, </w:t>
      </w:r>
      <w:r w:rsidR="006B7C58">
        <w:t>colors</w:t>
      </w:r>
      <w:r>
        <w:t xml:space="preserve"> and text as well as data visualization will make it easier to </w:t>
      </w:r>
      <w:r w:rsidR="006B7C58">
        <w:t>instill</w:t>
      </w:r>
      <w:r>
        <w:t xml:space="preserve"> knowledge construction about correct practice regarding work safety Thus, the embedded ideas help students to perform and minimize harmful actions while working in the workshop.</w:t>
      </w:r>
    </w:p>
    <w:p w14:paraId="78DCEB11" w14:textId="77777777" w:rsidR="002F5078" w:rsidRDefault="002F5078" w:rsidP="00D816D9">
      <w:pPr>
        <w:pStyle w:val="Paragraph"/>
      </w:pPr>
    </w:p>
    <w:p w14:paraId="19496C26" w14:textId="2E416DC2" w:rsidR="00BA3B3D" w:rsidRPr="00075EA6" w:rsidRDefault="00BA3B3D" w:rsidP="00A646B3">
      <w:pPr>
        <w:pStyle w:val="Heading1"/>
        <w:rPr>
          <w:b w:val="0"/>
          <w:caps w:val="0"/>
          <w:sz w:val="20"/>
        </w:rPr>
      </w:pPr>
      <w:r w:rsidRPr="00075EA6">
        <w:t>m</w:t>
      </w:r>
      <w:r w:rsidR="00285D23">
        <w:t>ETHOD</w:t>
      </w:r>
    </w:p>
    <w:p w14:paraId="30C6BB5B" w14:textId="40562E7B" w:rsidR="00A646B3" w:rsidRDefault="00285D23" w:rsidP="00346A9D">
      <w:pPr>
        <w:pStyle w:val="Paragraph"/>
      </w:pPr>
      <w:r w:rsidRPr="00285D23">
        <w:t>This study aims to develop a learning media product in the form of infographic-based posters. The research approach used is</w:t>
      </w:r>
      <w:r w:rsidR="00391328">
        <w:t xml:space="preserve"> the</w:t>
      </w:r>
      <w:r w:rsidRPr="00285D23">
        <w:t xml:space="preserve"> research and development. </w:t>
      </w:r>
      <w:r w:rsidR="00391328">
        <w:t>This research</w:t>
      </w:r>
      <w:r w:rsidRPr="00285D23">
        <w:t xml:space="preserve"> is carried out with reference to development research from Borg &amp; Gall [10] where research and development procedures include: (1) research and data collection; (2) planning and developing products; (3) expert validation; (4) product revision; (5) limited trial; (6) product revision; (7) expanded trial; </w:t>
      </w:r>
      <w:r w:rsidR="00391328">
        <w:t xml:space="preserve">and </w:t>
      </w:r>
      <w:r w:rsidRPr="00285D23">
        <w:t>(8) final product revision. Data collection techniques in the development of media products use interviews, observations and literature studies. Meanwhile, the data collection of the feasibility test and product trials used a questionnaire. The research subjects are students of the building engineering education study program. The data analysis uses descriptive statistical analysis to describe the infographic-based poster media products that have been developed and their feasibility level to be implemented in practical learning. To measure the feasibility of poster media, the following formula is used.</w:t>
      </w:r>
    </w:p>
    <w:p w14:paraId="7996DB9A" w14:textId="77777777" w:rsidR="00922A4B" w:rsidRPr="002A7F5E" w:rsidRDefault="00922A4B" w:rsidP="00922A4B">
      <w:pPr>
        <w:pStyle w:val="ADGVIBODYTEXT"/>
        <w:jc w:val="center"/>
        <w:rPr>
          <w:lang w:val="en-US"/>
        </w:rPr>
      </w:pPr>
      <w:r>
        <w:rPr>
          <w:lang w:val="en-US"/>
        </w:rPr>
        <w:t xml:space="preserve">Percentage = </w:t>
      </w:r>
      <m:oMath>
        <m:f>
          <m:fPr>
            <m:ctrlPr>
              <w:rPr>
                <w:rFonts w:ascii="Cambria Math" w:hAnsi="Cambria Math"/>
                <w:i/>
                <w:lang w:val="en-US"/>
              </w:rPr>
            </m:ctrlPr>
          </m:fPr>
          <m:num>
            <m:r>
              <w:rPr>
                <w:rFonts w:ascii="Cambria Math" w:hAnsi="Cambria Math"/>
                <w:lang w:val="en-US"/>
              </w:rPr>
              <m:t>Result Score</m:t>
            </m:r>
          </m:num>
          <m:den>
            <m:r>
              <w:rPr>
                <w:rFonts w:ascii="Cambria Math" w:hAnsi="Cambria Math"/>
                <w:lang w:val="en-US"/>
              </w:rPr>
              <m:t>Expected Score</m:t>
            </m:r>
          </m:den>
        </m:f>
        <m:r>
          <w:rPr>
            <w:rFonts w:ascii="Cambria Math" w:hAnsi="Cambria Math"/>
            <w:lang w:val="en-US"/>
          </w:rPr>
          <m:t>x 100%</m:t>
        </m:r>
      </m:oMath>
    </w:p>
    <w:p w14:paraId="2B7396A3" w14:textId="77777777" w:rsidR="00922A4B" w:rsidRDefault="00922A4B" w:rsidP="00922A4B">
      <w:pPr>
        <w:spacing w:after="240"/>
        <w:jc w:val="both"/>
        <w:rPr>
          <w:color w:val="000000"/>
        </w:rPr>
      </w:pPr>
    </w:p>
    <w:p w14:paraId="0C66B014" w14:textId="77777777" w:rsidR="00922A4B" w:rsidRPr="00922A4B" w:rsidRDefault="00922A4B" w:rsidP="00922A4B">
      <w:pPr>
        <w:spacing w:after="240"/>
        <w:jc w:val="both"/>
        <w:rPr>
          <w:color w:val="000000"/>
          <w:sz w:val="20"/>
        </w:rPr>
      </w:pPr>
      <w:r w:rsidRPr="00922A4B">
        <w:rPr>
          <w:color w:val="000000"/>
          <w:sz w:val="20"/>
        </w:rPr>
        <w:t>The calculated score is then compared with the eligibility category, as shown in the following table.</w:t>
      </w:r>
    </w:p>
    <w:p w14:paraId="3F5D4E6F" w14:textId="77777777" w:rsidR="00922A4B" w:rsidRDefault="00922A4B" w:rsidP="00346A9D">
      <w:pPr>
        <w:pStyle w:val="Paragraph"/>
      </w:pPr>
    </w:p>
    <w:p w14:paraId="3672187E" w14:textId="2DB11E3A" w:rsidR="00922A4B" w:rsidRDefault="00922A4B" w:rsidP="00922A4B">
      <w:pPr>
        <w:spacing w:after="240"/>
        <w:jc w:val="center"/>
        <w:rPr>
          <w:b/>
          <w:bCs/>
          <w:color w:val="000000"/>
        </w:rPr>
      </w:pPr>
      <w:r w:rsidRPr="00300870">
        <w:rPr>
          <w:b/>
          <w:bCs/>
          <w:color w:val="000000"/>
          <w:sz w:val="20"/>
        </w:rPr>
        <w:t>TABLE 2.</w:t>
      </w:r>
      <w:r w:rsidRPr="00171C18">
        <w:rPr>
          <w:b/>
          <w:bCs/>
          <w:color w:val="000000"/>
        </w:rPr>
        <w:t xml:space="preserve"> </w:t>
      </w:r>
      <w:r w:rsidRPr="00300870">
        <w:rPr>
          <w:color w:val="000000"/>
          <w:sz w:val="18"/>
          <w:szCs w:val="18"/>
        </w:rPr>
        <w:t>Eligibility Categorization</w:t>
      </w:r>
    </w:p>
    <w:tbl>
      <w:tblPr>
        <w:tblStyle w:val="LightShading"/>
        <w:tblW w:w="0" w:type="auto"/>
        <w:jc w:val="center"/>
        <w:tblLook w:val="04A0" w:firstRow="1" w:lastRow="0" w:firstColumn="1" w:lastColumn="0" w:noHBand="0" w:noVBand="1"/>
      </w:tblPr>
      <w:tblGrid>
        <w:gridCol w:w="2234"/>
        <w:gridCol w:w="1770"/>
        <w:gridCol w:w="107"/>
      </w:tblGrid>
      <w:tr w:rsidR="00922A4B" w:rsidRPr="00CE2578" w14:paraId="0D473777" w14:textId="77777777" w:rsidTr="00E46F07">
        <w:trPr>
          <w:gridAfter w:val="1"/>
          <w:cnfStyle w:val="100000000000" w:firstRow="1" w:lastRow="0" w:firstColumn="0" w:lastColumn="0" w:oddVBand="0" w:evenVBand="0" w:oddHBand="0" w:evenHBand="0" w:firstRowFirstColumn="0" w:firstRowLastColumn="0" w:lastRowFirstColumn="0" w:lastRowLastColumn="0"/>
          <w:wAfter w:w="107" w:type="dxa"/>
          <w:jc w:val="center"/>
        </w:trPr>
        <w:tc>
          <w:tcPr>
            <w:cnfStyle w:val="001000000000" w:firstRow="0" w:lastRow="0" w:firstColumn="1" w:lastColumn="0" w:oddVBand="0" w:evenVBand="0" w:oddHBand="0" w:evenHBand="0" w:firstRowFirstColumn="0" w:firstRowLastColumn="0" w:lastRowFirstColumn="0" w:lastRowLastColumn="0"/>
            <w:tcW w:w="2234" w:type="dxa"/>
          </w:tcPr>
          <w:p w14:paraId="52227C4E" w14:textId="77777777" w:rsidR="00922A4B" w:rsidRPr="007C2FF1" w:rsidRDefault="00922A4B" w:rsidP="00E46F07">
            <w:pPr>
              <w:jc w:val="center"/>
              <w:rPr>
                <w:rFonts w:ascii="Times New Roman" w:hAnsi="Times New Roman"/>
                <w:b w:val="0"/>
                <w:sz w:val="22"/>
                <w:szCs w:val="22"/>
              </w:rPr>
            </w:pPr>
            <w:r>
              <w:rPr>
                <w:rFonts w:ascii="Times New Roman" w:hAnsi="Times New Roman"/>
                <w:b w:val="0"/>
                <w:sz w:val="22"/>
                <w:szCs w:val="22"/>
              </w:rPr>
              <w:t>Category</w:t>
            </w:r>
          </w:p>
        </w:tc>
        <w:tc>
          <w:tcPr>
            <w:tcW w:w="1770" w:type="dxa"/>
          </w:tcPr>
          <w:p w14:paraId="100790B5" w14:textId="77777777" w:rsidR="00922A4B" w:rsidRPr="007C2FF1" w:rsidRDefault="00922A4B"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CE2578">
              <w:rPr>
                <w:rFonts w:ascii="Times New Roman" w:hAnsi="Times New Roman"/>
                <w:b w:val="0"/>
                <w:sz w:val="22"/>
                <w:szCs w:val="22"/>
              </w:rPr>
              <w:t>Per</w:t>
            </w:r>
            <w:r>
              <w:rPr>
                <w:rFonts w:ascii="Times New Roman" w:hAnsi="Times New Roman"/>
                <w:b w:val="0"/>
                <w:sz w:val="22"/>
                <w:szCs w:val="22"/>
              </w:rPr>
              <w:t>centage</w:t>
            </w:r>
          </w:p>
        </w:tc>
      </w:tr>
      <w:tr w:rsidR="00922A4B" w:rsidRPr="00CE2578" w14:paraId="74349A7F" w14:textId="77777777" w:rsidTr="00E46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dxa"/>
            <w:shd w:val="clear" w:color="auto" w:fill="auto"/>
          </w:tcPr>
          <w:p w14:paraId="00277D31" w14:textId="77777777" w:rsidR="00922A4B" w:rsidRPr="009D53E4" w:rsidRDefault="00922A4B" w:rsidP="00E46F07">
            <w:pPr>
              <w:jc w:val="both"/>
              <w:rPr>
                <w:rFonts w:ascii="Times New Roman" w:hAnsi="Times New Roman"/>
                <w:b w:val="0"/>
                <w:sz w:val="22"/>
                <w:szCs w:val="22"/>
              </w:rPr>
            </w:pPr>
            <w:r>
              <w:rPr>
                <w:rFonts w:ascii="Times New Roman" w:hAnsi="Times New Roman"/>
                <w:b w:val="0"/>
                <w:sz w:val="22"/>
                <w:szCs w:val="22"/>
              </w:rPr>
              <w:t>Very Feasible</w:t>
            </w:r>
          </w:p>
        </w:tc>
        <w:tc>
          <w:tcPr>
            <w:tcW w:w="1877" w:type="dxa"/>
            <w:gridSpan w:val="2"/>
            <w:shd w:val="clear" w:color="auto" w:fill="auto"/>
          </w:tcPr>
          <w:p w14:paraId="05FA73AE" w14:textId="77777777" w:rsidR="00922A4B" w:rsidRPr="00CE2578" w:rsidRDefault="00922A4B"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E2578">
              <w:rPr>
                <w:rFonts w:ascii="Times New Roman" w:hAnsi="Times New Roman"/>
                <w:sz w:val="22"/>
                <w:szCs w:val="22"/>
              </w:rPr>
              <w:t>76% - 100%</w:t>
            </w:r>
          </w:p>
        </w:tc>
      </w:tr>
      <w:tr w:rsidR="00922A4B" w:rsidRPr="00CE2578" w14:paraId="06128BD0" w14:textId="77777777" w:rsidTr="00E46F07">
        <w:trPr>
          <w:jc w:val="center"/>
        </w:trPr>
        <w:tc>
          <w:tcPr>
            <w:cnfStyle w:val="001000000000" w:firstRow="0" w:lastRow="0" w:firstColumn="1" w:lastColumn="0" w:oddVBand="0" w:evenVBand="0" w:oddHBand="0" w:evenHBand="0" w:firstRowFirstColumn="0" w:firstRowLastColumn="0" w:lastRowFirstColumn="0" w:lastRowLastColumn="0"/>
            <w:tcW w:w="2234" w:type="dxa"/>
            <w:shd w:val="clear" w:color="auto" w:fill="auto"/>
          </w:tcPr>
          <w:p w14:paraId="211802DE" w14:textId="77777777" w:rsidR="00922A4B" w:rsidRPr="00CE2578" w:rsidRDefault="00922A4B" w:rsidP="00E46F07">
            <w:pPr>
              <w:jc w:val="both"/>
              <w:rPr>
                <w:rFonts w:ascii="Times New Roman" w:hAnsi="Times New Roman"/>
                <w:b w:val="0"/>
                <w:sz w:val="22"/>
                <w:szCs w:val="22"/>
              </w:rPr>
            </w:pPr>
            <w:r>
              <w:rPr>
                <w:rFonts w:ascii="Times New Roman" w:hAnsi="Times New Roman"/>
                <w:b w:val="0"/>
                <w:sz w:val="22"/>
                <w:szCs w:val="22"/>
              </w:rPr>
              <w:t>Feasible</w:t>
            </w:r>
          </w:p>
        </w:tc>
        <w:tc>
          <w:tcPr>
            <w:tcW w:w="1877" w:type="dxa"/>
            <w:gridSpan w:val="2"/>
            <w:shd w:val="clear" w:color="auto" w:fill="auto"/>
          </w:tcPr>
          <w:p w14:paraId="3132D498" w14:textId="77777777" w:rsidR="00922A4B" w:rsidRPr="00CE2578" w:rsidRDefault="00922A4B"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E2578">
              <w:rPr>
                <w:rFonts w:ascii="Times New Roman" w:hAnsi="Times New Roman"/>
                <w:sz w:val="22"/>
                <w:szCs w:val="22"/>
              </w:rPr>
              <w:t>56% - 75%</w:t>
            </w:r>
          </w:p>
        </w:tc>
      </w:tr>
      <w:tr w:rsidR="00922A4B" w:rsidRPr="00CE2578" w14:paraId="6D65988F" w14:textId="77777777" w:rsidTr="00E46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dxa"/>
            <w:shd w:val="clear" w:color="auto" w:fill="auto"/>
          </w:tcPr>
          <w:p w14:paraId="108A4DB5" w14:textId="77777777" w:rsidR="00922A4B" w:rsidRPr="009D53E4" w:rsidRDefault="00922A4B" w:rsidP="00E46F07">
            <w:pPr>
              <w:jc w:val="both"/>
              <w:rPr>
                <w:rFonts w:ascii="Times New Roman" w:hAnsi="Times New Roman"/>
                <w:b w:val="0"/>
                <w:sz w:val="22"/>
                <w:szCs w:val="22"/>
              </w:rPr>
            </w:pPr>
            <w:r>
              <w:rPr>
                <w:rFonts w:ascii="Times New Roman" w:hAnsi="Times New Roman"/>
                <w:b w:val="0"/>
                <w:sz w:val="22"/>
                <w:szCs w:val="22"/>
              </w:rPr>
              <w:t>Not Feasible</w:t>
            </w:r>
          </w:p>
        </w:tc>
        <w:tc>
          <w:tcPr>
            <w:tcW w:w="1877" w:type="dxa"/>
            <w:gridSpan w:val="2"/>
            <w:shd w:val="clear" w:color="auto" w:fill="auto"/>
          </w:tcPr>
          <w:p w14:paraId="24D3D380" w14:textId="77777777" w:rsidR="00922A4B" w:rsidRPr="00CE2578" w:rsidRDefault="00922A4B"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E2578">
              <w:rPr>
                <w:rFonts w:ascii="Times New Roman" w:hAnsi="Times New Roman"/>
                <w:sz w:val="22"/>
                <w:szCs w:val="22"/>
              </w:rPr>
              <w:t>40% - 55%</w:t>
            </w:r>
          </w:p>
        </w:tc>
      </w:tr>
      <w:tr w:rsidR="00922A4B" w:rsidRPr="00CE2578" w14:paraId="1841227A" w14:textId="77777777" w:rsidTr="00E46F07">
        <w:trPr>
          <w:jc w:val="center"/>
        </w:trPr>
        <w:tc>
          <w:tcPr>
            <w:cnfStyle w:val="001000000000" w:firstRow="0" w:lastRow="0" w:firstColumn="1" w:lastColumn="0" w:oddVBand="0" w:evenVBand="0" w:oddHBand="0" w:evenHBand="0" w:firstRowFirstColumn="0" w:firstRowLastColumn="0" w:lastRowFirstColumn="0" w:lastRowLastColumn="0"/>
            <w:tcW w:w="2234" w:type="dxa"/>
            <w:shd w:val="clear" w:color="auto" w:fill="auto"/>
          </w:tcPr>
          <w:p w14:paraId="6D9A9597" w14:textId="77777777" w:rsidR="00922A4B" w:rsidRPr="009D53E4" w:rsidRDefault="00922A4B" w:rsidP="00E46F07">
            <w:pPr>
              <w:jc w:val="both"/>
              <w:rPr>
                <w:rFonts w:ascii="Times New Roman" w:hAnsi="Times New Roman"/>
                <w:b w:val="0"/>
                <w:sz w:val="22"/>
                <w:szCs w:val="22"/>
              </w:rPr>
            </w:pPr>
            <w:r>
              <w:rPr>
                <w:rFonts w:ascii="Times New Roman" w:hAnsi="Times New Roman"/>
                <w:b w:val="0"/>
                <w:sz w:val="22"/>
                <w:szCs w:val="22"/>
              </w:rPr>
              <w:t>Very Not feasible</w:t>
            </w:r>
          </w:p>
        </w:tc>
        <w:tc>
          <w:tcPr>
            <w:tcW w:w="1877" w:type="dxa"/>
            <w:gridSpan w:val="2"/>
            <w:shd w:val="clear" w:color="auto" w:fill="auto"/>
          </w:tcPr>
          <w:p w14:paraId="5E69B492" w14:textId="77777777" w:rsidR="00922A4B" w:rsidRPr="00CE2578" w:rsidRDefault="00922A4B"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E2578">
              <w:rPr>
                <w:rFonts w:ascii="Times New Roman" w:hAnsi="Times New Roman"/>
                <w:sz w:val="22"/>
                <w:szCs w:val="22"/>
              </w:rPr>
              <w:t>0% - 39%</w:t>
            </w:r>
          </w:p>
        </w:tc>
      </w:tr>
    </w:tbl>
    <w:p w14:paraId="380840C8" w14:textId="4E32D280" w:rsidR="00922A4B" w:rsidRDefault="00922A4B" w:rsidP="00346A9D">
      <w:pPr>
        <w:pStyle w:val="Paragraph"/>
      </w:pPr>
    </w:p>
    <w:p w14:paraId="0EC264ED" w14:textId="7631FAD6" w:rsidR="002F5078" w:rsidRDefault="002F5078" w:rsidP="00346A9D">
      <w:pPr>
        <w:pStyle w:val="Paragraph"/>
      </w:pPr>
    </w:p>
    <w:p w14:paraId="7670C7C5" w14:textId="5FACBD49" w:rsidR="007C6AC9" w:rsidRDefault="007C6AC9" w:rsidP="00346A9D">
      <w:pPr>
        <w:pStyle w:val="Paragraph"/>
      </w:pPr>
    </w:p>
    <w:p w14:paraId="00E688F1" w14:textId="27203CDA" w:rsidR="007C6AC9" w:rsidRDefault="007C6AC9" w:rsidP="00346A9D">
      <w:pPr>
        <w:pStyle w:val="Paragraph"/>
      </w:pPr>
    </w:p>
    <w:p w14:paraId="1ACB2C9F" w14:textId="7F7BA24B" w:rsidR="007C6AC9" w:rsidRDefault="007C6AC9" w:rsidP="00346A9D">
      <w:pPr>
        <w:pStyle w:val="Paragraph"/>
      </w:pPr>
    </w:p>
    <w:p w14:paraId="450E073A" w14:textId="46381490" w:rsidR="007C6AC9" w:rsidRDefault="007C6AC9" w:rsidP="00346A9D">
      <w:pPr>
        <w:pStyle w:val="Paragraph"/>
      </w:pPr>
    </w:p>
    <w:p w14:paraId="70799FA4" w14:textId="04EE53CA" w:rsidR="007C6AC9" w:rsidRDefault="007C6AC9" w:rsidP="00346A9D">
      <w:pPr>
        <w:pStyle w:val="Paragraph"/>
      </w:pPr>
    </w:p>
    <w:p w14:paraId="46110D93" w14:textId="77777777" w:rsidR="007C6AC9" w:rsidRDefault="007C6AC9" w:rsidP="00346A9D">
      <w:pPr>
        <w:pStyle w:val="Paragraph"/>
      </w:pPr>
    </w:p>
    <w:p w14:paraId="26C5EFA7" w14:textId="5809CEE2" w:rsidR="00922A4B" w:rsidRPr="00075EA6" w:rsidRDefault="002F5078" w:rsidP="002F5078">
      <w:pPr>
        <w:pStyle w:val="Heading1"/>
      </w:pPr>
      <w:r>
        <w:lastRenderedPageBreak/>
        <w:t>RESULT AND DISCUSSION</w:t>
      </w:r>
    </w:p>
    <w:p w14:paraId="6B4B485B" w14:textId="214FDB8D" w:rsidR="00BA3B3D" w:rsidRDefault="002F5078" w:rsidP="00BA3B3D">
      <w:pPr>
        <w:pStyle w:val="Paragraph"/>
      </w:pPr>
      <w:r w:rsidRPr="002F5078">
        <w:t>This study begins with an analysis of the rate of work accidents in the implementation of practical learning which tends to increase from year to year as seen in the following data.</w:t>
      </w:r>
    </w:p>
    <w:p w14:paraId="0FA67D8D" w14:textId="77AC4710" w:rsidR="009B1263" w:rsidRDefault="009B1263" w:rsidP="009B1263">
      <w:pPr>
        <w:pStyle w:val="Paragraph"/>
        <w:jc w:val="center"/>
      </w:pPr>
      <w:r w:rsidRPr="002A513F">
        <w:rPr>
          <w:noProof/>
          <w:shd w:val="clear" w:color="auto" w:fill="FFFFFF" w:themeFill="background1"/>
        </w:rPr>
        <w:drawing>
          <wp:inline distT="0" distB="0" distL="0" distR="0" wp14:anchorId="7585AFB1" wp14:editId="24B21C0E">
            <wp:extent cx="2785110" cy="1048624"/>
            <wp:effectExtent l="0" t="0" r="889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2F31FE" w14:textId="77777777" w:rsidR="009B1263" w:rsidRPr="00075EA6" w:rsidRDefault="009B1263" w:rsidP="009B1263">
      <w:pPr>
        <w:pStyle w:val="Paragraph"/>
        <w:jc w:val="center"/>
      </w:pPr>
    </w:p>
    <w:p w14:paraId="4223A892" w14:textId="0DB4A48A" w:rsidR="00BA3B3D" w:rsidRDefault="009B1263" w:rsidP="009B1263">
      <w:pPr>
        <w:pStyle w:val="Paragraph"/>
        <w:jc w:val="center"/>
        <w:rPr>
          <w:bCs/>
          <w:sz w:val="18"/>
          <w:szCs w:val="18"/>
        </w:rPr>
      </w:pPr>
      <w:r>
        <w:rPr>
          <w:b/>
          <w:caps/>
        </w:rPr>
        <w:t>Figure 1.</w:t>
      </w:r>
      <w:r w:rsidRPr="009B1263">
        <w:t xml:space="preserve"> </w:t>
      </w:r>
      <w:r w:rsidRPr="009B1263">
        <w:rPr>
          <w:bCs/>
          <w:sz w:val="18"/>
          <w:szCs w:val="18"/>
        </w:rPr>
        <w:t xml:space="preserve">Work Accident Rate </w:t>
      </w:r>
      <w:r w:rsidR="00391328" w:rsidRPr="009B1263">
        <w:rPr>
          <w:bCs/>
          <w:sz w:val="18"/>
          <w:szCs w:val="18"/>
        </w:rPr>
        <w:t>in</w:t>
      </w:r>
      <w:r w:rsidRPr="009B1263">
        <w:rPr>
          <w:bCs/>
          <w:sz w:val="18"/>
          <w:szCs w:val="18"/>
        </w:rPr>
        <w:t xml:space="preserve"> The Building Engineering Education Study Program</w:t>
      </w:r>
    </w:p>
    <w:p w14:paraId="22AC94DA" w14:textId="77777777" w:rsidR="007C6AC9" w:rsidRPr="00075EA6" w:rsidRDefault="007C6AC9" w:rsidP="009B1263">
      <w:pPr>
        <w:pStyle w:val="Paragraph"/>
        <w:jc w:val="center"/>
      </w:pPr>
    </w:p>
    <w:p w14:paraId="5B55714B" w14:textId="51D7309B" w:rsidR="00BA3B3D" w:rsidRDefault="007C6AC9" w:rsidP="00075EA6">
      <w:pPr>
        <w:pStyle w:val="Paragraph"/>
      </w:pPr>
      <w:r w:rsidRPr="007C6AC9">
        <w:t>The data is reinforced by the average score of the knowledge test results on understanding the application of OHS to wood practice students in 2021, which is 64. As seen in the results of the following analysis.</w:t>
      </w:r>
    </w:p>
    <w:p w14:paraId="47709A1A" w14:textId="1742AC27" w:rsidR="007C6AC9" w:rsidRDefault="007C6AC9" w:rsidP="00075EA6">
      <w:pPr>
        <w:pStyle w:val="Paragraph"/>
      </w:pPr>
    </w:p>
    <w:p w14:paraId="02FE496D" w14:textId="051F5568" w:rsidR="007C6AC9" w:rsidRDefault="007C6AC9" w:rsidP="007C6AC9">
      <w:pPr>
        <w:spacing w:after="240"/>
        <w:jc w:val="center"/>
        <w:rPr>
          <w:b/>
          <w:bCs/>
          <w:color w:val="000000"/>
        </w:rPr>
      </w:pPr>
      <w:r w:rsidRPr="00300870">
        <w:rPr>
          <w:b/>
          <w:bCs/>
          <w:color w:val="000000"/>
          <w:sz w:val="20"/>
        </w:rPr>
        <w:t xml:space="preserve">TABLE </w:t>
      </w:r>
      <w:r>
        <w:rPr>
          <w:b/>
          <w:bCs/>
          <w:color w:val="000000"/>
          <w:sz w:val="20"/>
        </w:rPr>
        <w:t>3</w:t>
      </w:r>
      <w:r w:rsidRPr="00300870">
        <w:rPr>
          <w:b/>
          <w:bCs/>
          <w:color w:val="000000"/>
          <w:sz w:val="20"/>
        </w:rPr>
        <w:t>.</w:t>
      </w:r>
      <w:r w:rsidRPr="00171C18">
        <w:rPr>
          <w:b/>
          <w:bCs/>
          <w:color w:val="000000"/>
        </w:rPr>
        <w:t xml:space="preserve"> </w:t>
      </w:r>
      <w:r w:rsidRPr="007C6AC9">
        <w:rPr>
          <w:color w:val="000000"/>
          <w:sz w:val="18"/>
          <w:szCs w:val="18"/>
        </w:rPr>
        <w:t>OHS Knowledge Test Result</w:t>
      </w:r>
    </w:p>
    <w:tbl>
      <w:tblPr>
        <w:tblW w:w="73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030"/>
        <w:gridCol w:w="1448"/>
      </w:tblGrid>
      <w:tr w:rsidR="007C6AC9" w:rsidRPr="00910186" w14:paraId="73D1CF02" w14:textId="77777777" w:rsidTr="00E46F07">
        <w:trPr>
          <w:cantSplit/>
          <w:trHeight w:val="319"/>
          <w:jc w:val="center"/>
        </w:trPr>
        <w:tc>
          <w:tcPr>
            <w:tcW w:w="7396" w:type="dxa"/>
            <w:gridSpan w:val="6"/>
            <w:tcBorders>
              <w:top w:val="nil"/>
              <w:left w:val="nil"/>
              <w:bottom w:val="nil"/>
              <w:right w:val="nil"/>
            </w:tcBorders>
            <w:shd w:val="clear" w:color="auto" w:fill="FFFFFF"/>
            <w:vAlign w:val="center"/>
          </w:tcPr>
          <w:p w14:paraId="15F1AEF6"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b/>
                <w:bCs/>
                <w:color w:val="000000"/>
                <w:sz w:val="18"/>
                <w:szCs w:val="18"/>
              </w:rPr>
              <w:t>Descriptive Statistics</w:t>
            </w:r>
          </w:p>
        </w:tc>
      </w:tr>
      <w:tr w:rsidR="007C6AC9" w:rsidRPr="00910186" w14:paraId="589508B9" w14:textId="77777777" w:rsidTr="00E46F07">
        <w:trPr>
          <w:cantSplit/>
          <w:trHeight w:val="319"/>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2FF700B" w14:textId="77777777" w:rsidR="007C6AC9" w:rsidRPr="00910186" w:rsidRDefault="007C6AC9" w:rsidP="00E46F07">
            <w:pPr>
              <w:autoSpaceDE w:val="0"/>
              <w:autoSpaceDN w:val="0"/>
              <w:adjustRightInd w:val="0"/>
              <w:rPr>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14:paraId="2C7A3AA0"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14:paraId="6827E3CA"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14:paraId="5D5AAA27"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14:paraId="7A3E77FA"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498D9B8B" w14:textId="77777777" w:rsidR="007C6AC9" w:rsidRPr="00910186" w:rsidRDefault="007C6AC9" w:rsidP="00E46F07">
            <w:pPr>
              <w:autoSpaceDE w:val="0"/>
              <w:autoSpaceDN w:val="0"/>
              <w:adjustRightInd w:val="0"/>
              <w:spacing w:line="320" w:lineRule="atLeast"/>
              <w:ind w:left="60" w:right="60"/>
              <w:jc w:val="center"/>
              <w:rPr>
                <w:rFonts w:ascii="Arial" w:hAnsi="Arial" w:cs="Arial"/>
                <w:color w:val="000000"/>
                <w:sz w:val="18"/>
                <w:szCs w:val="18"/>
              </w:rPr>
            </w:pPr>
            <w:r w:rsidRPr="00910186">
              <w:rPr>
                <w:rFonts w:ascii="Arial" w:hAnsi="Arial" w:cs="Arial"/>
                <w:color w:val="000000"/>
                <w:sz w:val="18"/>
                <w:szCs w:val="18"/>
              </w:rPr>
              <w:t>Std. Deviation</w:t>
            </w:r>
          </w:p>
        </w:tc>
      </w:tr>
      <w:tr w:rsidR="007C6AC9" w:rsidRPr="00910186" w14:paraId="1AA52BC6" w14:textId="77777777" w:rsidTr="00E46F07">
        <w:trPr>
          <w:cantSplit/>
          <w:trHeight w:val="333"/>
          <w:jc w:val="center"/>
        </w:trPr>
        <w:tc>
          <w:tcPr>
            <w:tcW w:w="1706" w:type="dxa"/>
            <w:tcBorders>
              <w:top w:val="single" w:sz="16" w:space="0" w:color="000000"/>
              <w:left w:val="single" w:sz="16" w:space="0" w:color="000000"/>
              <w:bottom w:val="nil"/>
              <w:right w:val="single" w:sz="16" w:space="0" w:color="000000"/>
            </w:tcBorders>
            <w:shd w:val="clear" w:color="auto" w:fill="FFFFFF"/>
          </w:tcPr>
          <w:p w14:paraId="687C8A41" w14:textId="77777777" w:rsidR="007C6AC9" w:rsidRPr="00910186" w:rsidRDefault="007C6AC9" w:rsidP="00E46F07">
            <w:pPr>
              <w:autoSpaceDE w:val="0"/>
              <w:autoSpaceDN w:val="0"/>
              <w:adjustRightInd w:val="0"/>
              <w:spacing w:line="320" w:lineRule="atLeast"/>
              <w:ind w:left="60" w:right="60"/>
              <w:rPr>
                <w:rFonts w:ascii="Arial" w:hAnsi="Arial" w:cs="Arial"/>
                <w:color w:val="000000"/>
                <w:sz w:val="18"/>
                <w:szCs w:val="18"/>
              </w:rPr>
            </w:pPr>
            <w:proofErr w:type="spellStart"/>
            <w:r>
              <w:rPr>
                <w:rFonts w:ascii="Arial" w:hAnsi="Arial" w:cs="Arial"/>
                <w:color w:val="000000"/>
                <w:sz w:val="18"/>
                <w:szCs w:val="18"/>
              </w:rPr>
              <w:t>OHS_Test</w:t>
            </w:r>
            <w:r w:rsidRPr="00910186">
              <w:rPr>
                <w:rFonts w:ascii="Arial" w:hAnsi="Arial" w:cs="Arial"/>
                <w:color w:val="000000"/>
                <w:sz w:val="18"/>
                <w:szCs w:val="18"/>
              </w:rPr>
              <w:t>_</w:t>
            </w:r>
            <w:r>
              <w:rPr>
                <w:rFonts w:ascii="Arial" w:hAnsi="Arial" w:cs="Arial"/>
                <w:color w:val="000000"/>
                <w:sz w:val="18"/>
                <w:szCs w:val="18"/>
              </w:rPr>
              <w:t>Result</w:t>
            </w:r>
            <w:proofErr w:type="spellEnd"/>
          </w:p>
        </w:tc>
        <w:tc>
          <w:tcPr>
            <w:tcW w:w="1029" w:type="dxa"/>
            <w:tcBorders>
              <w:top w:val="single" w:sz="16" w:space="0" w:color="000000"/>
              <w:left w:val="single" w:sz="16" w:space="0" w:color="000000"/>
              <w:bottom w:val="nil"/>
            </w:tcBorders>
            <w:shd w:val="clear" w:color="auto" w:fill="FFFFFF"/>
            <w:vAlign w:val="center"/>
          </w:tcPr>
          <w:p w14:paraId="0CD0D2C8"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35</w:t>
            </w:r>
          </w:p>
        </w:tc>
        <w:tc>
          <w:tcPr>
            <w:tcW w:w="1076" w:type="dxa"/>
            <w:tcBorders>
              <w:top w:val="single" w:sz="16" w:space="0" w:color="000000"/>
              <w:bottom w:val="nil"/>
            </w:tcBorders>
            <w:shd w:val="clear" w:color="auto" w:fill="FFFFFF"/>
            <w:vAlign w:val="center"/>
          </w:tcPr>
          <w:p w14:paraId="4232FD1A"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32.00</w:t>
            </w:r>
          </w:p>
        </w:tc>
        <w:tc>
          <w:tcPr>
            <w:tcW w:w="1107" w:type="dxa"/>
            <w:tcBorders>
              <w:top w:val="single" w:sz="16" w:space="0" w:color="000000"/>
              <w:bottom w:val="nil"/>
            </w:tcBorders>
            <w:shd w:val="clear" w:color="auto" w:fill="FFFFFF"/>
            <w:vAlign w:val="center"/>
          </w:tcPr>
          <w:p w14:paraId="39249BFF"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84.00</w:t>
            </w:r>
          </w:p>
        </w:tc>
        <w:tc>
          <w:tcPr>
            <w:tcW w:w="1030" w:type="dxa"/>
            <w:tcBorders>
              <w:top w:val="single" w:sz="16" w:space="0" w:color="000000"/>
              <w:bottom w:val="nil"/>
            </w:tcBorders>
            <w:shd w:val="clear" w:color="auto" w:fill="FFFFFF"/>
            <w:vAlign w:val="center"/>
          </w:tcPr>
          <w:p w14:paraId="4C815F66"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64.0000</w:t>
            </w:r>
          </w:p>
        </w:tc>
        <w:tc>
          <w:tcPr>
            <w:tcW w:w="1445" w:type="dxa"/>
            <w:tcBorders>
              <w:top w:val="single" w:sz="16" w:space="0" w:color="000000"/>
              <w:bottom w:val="nil"/>
              <w:right w:val="single" w:sz="16" w:space="0" w:color="000000"/>
            </w:tcBorders>
            <w:shd w:val="clear" w:color="auto" w:fill="FFFFFF"/>
            <w:vAlign w:val="center"/>
          </w:tcPr>
          <w:p w14:paraId="1A35BD20"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12.11708</w:t>
            </w:r>
          </w:p>
        </w:tc>
      </w:tr>
      <w:tr w:rsidR="007C6AC9" w:rsidRPr="00910186" w14:paraId="15DC96C6" w14:textId="77777777" w:rsidTr="00E46F07">
        <w:trPr>
          <w:cantSplit/>
          <w:trHeight w:val="104"/>
          <w:jc w:val="center"/>
        </w:trPr>
        <w:tc>
          <w:tcPr>
            <w:tcW w:w="1706" w:type="dxa"/>
            <w:tcBorders>
              <w:top w:val="nil"/>
              <w:left w:val="single" w:sz="16" w:space="0" w:color="000000"/>
              <w:bottom w:val="single" w:sz="16" w:space="0" w:color="000000"/>
              <w:right w:val="single" w:sz="16" w:space="0" w:color="000000"/>
            </w:tcBorders>
            <w:shd w:val="clear" w:color="auto" w:fill="FFFFFF"/>
          </w:tcPr>
          <w:p w14:paraId="4D8D18C8" w14:textId="77777777" w:rsidR="007C6AC9" w:rsidRPr="00910186" w:rsidRDefault="007C6AC9" w:rsidP="00E46F07">
            <w:pPr>
              <w:autoSpaceDE w:val="0"/>
              <w:autoSpaceDN w:val="0"/>
              <w:adjustRightInd w:val="0"/>
              <w:spacing w:line="320" w:lineRule="atLeast"/>
              <w:ind w:left="60" w:right="60"/>
              <w:rPr>
                <w:rFonts w:ascii="Arial" w:hAnsi="Arial" w:cs="Arial"/>
                <w:color w:val="000000"/>
                <w:sz w:val="18"/>
                <w:szCs w:val="18"/>
              </w:rPr>
            </w:pPr>
            <w:r w:rsidRPr="00910186">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14:paraId="38FC7FEE" w14:textId="77777777" w:rsidR="007C6AC9" w:rsidRPr="00910186" w:rsidRDefault="007C6AC9" w:rsidP="00E46F07">
            <w:pPr>
              <w:autoSpaceDE w:val="0"/>
              <w:autoSpaceDN w:val="0"/>
              <w:adjustRightInd w:val="0"/>
              <w:spacing w:line="320" w:lineRule="atLeast"/>
              <w:ind w:left="60" w:right="60"/>
              <w:jc w:val="right"/>
              <w:rPr>
                <w:rFonts w:ascii="Arial" w:hAnsi="Arial" w:cs="Arial"/>
                <w:color w:val="000000"/>
                <w:sz w:val="18"/>
                <w:szCs w:val="18"/>
              </w:rPr>
            </w:pPr>
            <w:r w:rsidRPr="00910186">
              <w:rPr>
                <w:rFonts w:ascii="Arial" w:hAnsi="Arial" w:cs="Arial"/>
                <w:color w:val="000000"/>
                <w:sz w:val="18"/>
                <w:szCs w:val="18"/>
              </w:rPr>
              <w:t>35</w:t>
            </w:r>
          </w:p>
        </w:tc>
        <w:tc>
          <w:tcPr>
            <w:tcW w:w="1076" w:type="dxa"/>
            <w:tcBorders>
              <w:top w:val="nil"/>
              <w:bottom w:val="single" w:sz="16" w:space="0" w:color="000000"/>
            </w:tcBorders>
            <w:shd w:val="clear" w:color="auto" w:fill="FFFFFF"/>
            <w:vAlign w:val="center"/>
          </w:tcPr>
          <w:p w14:paraId="49C4AE0B" w14:textId="77777777" w:rsidR="007C6AC9" w:rsidRPr="00910186" w:rsidRDefault="007C6AC9" w:rsidP="00E46F07">
            <w:pPr>
              <w:autoSpaceDE w:val="0"/>
              <w:autoSpaceDN w:val="0"/>
              <w:adjustRightInd w:val="0"/>
              <w:rPr>
                <w:szCs w:val="24"/>
              </w:rPr>
            </w:pPr>
          </w:p>
        </w:tc>
        <w:tc>
          <w:tcPr>
            <w:tcW w:w="1107" w:type="dxa"/>
            <w:tcBorders>
              <w:top w:val="nil"/>
              <w:bottom w:val="single" w:sz="16" w:space="0" w:color="000000"/>
            </w:tcBorders>
            <w:shd w:val="clear" w:color="auto" w:fill="FFFFFF"/>
            <w:vAlign w:val="center"/>
          </w:tcPr>
          <w:p w14:paraId="1955BB02" w14:textId="77777777" w:rsidR="007C6AC9" w:rsidRPr="00910186" w:rsidRDefault="007C6AC9" w:rsidP="00E46F07">
            <w:pPr>
              <w:autoSpaceDE w:val="0"/>
              <w:autoSpaceDN w:val="0"/>
              <w:adjustRightInd w:val="0"/>
              <w:rPr>
                <w:szCs w:val="24"/>
              </w:rPr>
            </w:pPr>
          </w:p>
        </w:tc>
        <w:tc>
          <w:tcPr>
            <w:tcW w:w="1030" w:type="dxa"/>
            <w:tcBorders>
              <w:top w:val="nil"/>
              <w:bottom w:val="single" w:sz="16" w:space="0" w:color="000000"/>
            </w:tcBorders>
            <w:shd w:val="clear" w:color="auto" w:fill="FFFFFF"/>
            <w:vAlign w:val="center"/>
          </w:tcPr>
          <w:p w14:paraId="08F3FB7F" w14:textId="77777777" w:rsidR="007C6AC9" w:rsidRPr="00910186" w:rsidRDefault="007C6AC9" w:rsidP="00E46F07">
            <w:pPr>
              <w:autoSpaceDE w:val="0"/>
              <w:autoSpaceDN w:val="0"/>
              <w:adjustRightInd w:val="0"/>
              <w:rPr>
                <w:szCs w:val="24"/>
              </w:rPr>
            </w:pPr>
          </w:p>
        </w:tc>
        <w:tc>
          <w:tcPr>
            <w:tcW w:w="1445" w:type="dxa"/>
            <w:tcBorders>
              <w:top w:val="nil"/>
              <w:bottom w:val="single" w:sz="16" w:space="0" w:color="000000"/>
              <w:right w:val="single" w:sz="16" w:space="0" w:color="000000"/>
            </w:tcBorders>
            <w:shd w:val="clear" w:color="auto" w:fill="FFFFFF"/>
            <w:vAlign w:val="center"/>
          </w:tcPr>
          <w:p w14:paraId="1303DA5B" w14:textId="77777777" w:rsidR="007C6AC9" w:rsidRPr="00910186" w:rsidRDefault="007C6AC9" w:rsidP="00E46F07">
            <w:pPr>
              <w:autoSpaceDE w:val="0"/>
              <w:autoSpaceDN w:val="0"/>
              <w:adjustRightInd w:val="0"/>
              <w:rPr>
                <w:szCs w:val="24"/>
              </w:rPr>
            </w:pPr>
          </w:p>
        </w:tc>
      </w:tr>
    </w:tbl>
    <w:p w14:paraId="4D4EBDA7" w14:textId="77777777" w:rsidR="007C6AC9" w:rsidRDefault="007C6AC9" w:rsidP="009B7671">
      <w:pPr>
        <w:pStyle w:val="Paragraph"/>
      </w:pPr>
    </w:p>
    <w:p w14:paraId="5C35E6E1" w14:textId="3EFC2BB5" w:rsidR="007C6AC9" w:rsidRDefault="007C6AC9" w:rsidP="009B7671">
      <w:pPr>
        <w:pStyle w:val="Paragraph"/>
      </w:pPr>
      <w:r w:rsidRPr="007C6AC9">
        <w:t xml:space="preserve">The number shows that it is necessary to increase the understanding of OHS for students during work practices in workshops. The results of this learning problem analysis become the basis for the need for a media development that can help provide an understanding of the application of OHS visually. </w:t>
      </w:r>
      <w:r w:rsidR="00391328">
        <w:t xml:space="preserve">On </w:t>
      </w:r>
      <w:r w:rsidR="0006272A">
        <w:t>which</w:t>
      </w:r>
      <w:r w:rsidRPr="007C6AC9">
        <w:t xml:space="preserve"> practice</w:t>
      </w:r>
      <w:r w:rsidR="0006272A">
        <w:t>,</w:t>
      </w:r>
      <w:r w:rsidRPr="007C6AC9">
        <w:t xml:space="preserve"> students need concrete examples that provide visualization of the application of OHS. Thus, the results of the needs analysis underlie the development of infographic-based posters.</w:t>
      </w:r>
      <w:r w:rsidR="00740D06">
        <w:t xml:space="preserve"> </w:t>
      </w:r>
      <w:r w:rsidR="0006272A" w:rsidRPr="00214A38">
        <w:t>A</w:t>
      </w:r>
      <w:r w:rsidR="0006272A" w:rsidRPr="00214A38">
        <w:t xml:space="preserve">dded by [11] that there are many methods in identifying occupational safety and health. According to [12], the most appropriate point is classifying work hazards based on the hazard level caused. In line with the opinion above, according to [13], using two combined methods in identifying occupational accident hazards is powerful to conquer the number of work </w:t>
      </w:r>
      <w:r w:rsidR="0006272A" w:rsidRPr="00214A38">
        <w:t>accidents.</w:t>
      </w:r>
      <w:r w:rsidR="0006272A" w:rsidRPr="007C6AC9">
        <w:t xml:space="preserve"> The</w:t>
      </w:r>
      <w:r w:rsidRPr="007C6AC9">
        <w:t xml:space="preserve"> development of infographic-based posters serves as a medium for induction of work safety. Through posters installed in the workshop, messages and work safety instructions will be properly internalized</w:t>
      </w:r>
      <w:r w:rsidR="004470AC">
        <w:t xml:space="preserve"> b</w:t>
      </w:r>
      <w:r w:rsidRPr="007C6AC9">
        <w:t xml:space="preserve">ecause </w:t>
      </w:r>
      <w:r w:rsidR="004470AC">
        <w:t>they</w:t>
      </w:r>
      <w:r w:rsidRPr="007C6AC9">
        <w:t xml:space="preserve"> will be seen and read repeatedly when students practice in the workshop. The development of the substance of the poster material is based on the following competency requirements.</w:t>
      </w:r>
    </w:p>
    <w:p w14:paraId="52EFE19F" w14:textId="77777777" w:rsidR="00B81982" w:rsidRDefault="00B81982" w:rsidP="009B7671">
      <w:pPr>
        <w:pStyle w:val="Paragraph"/>
      </w:pPr>
    </w:p>
    <w:p w14:paraId="29C17B31" w14:textId="28CC6144" w:rsidR="00B81982" w:rsidRDefault="00B81982" w:rsidP="00B81982">
      <w:pPr>
        <w:spacing w:after="240"/>
        <w:jc w:val="center"/>
        <w:rPr>
          <w:b/>
          <w:bCs/>
          <w:color w:val="000000"/>
        </w:rPr>
      </w:pPr>
      <w:r w:rsidRPr="00B81982">
        <w:rPr>
          <w:b/>
          <w:bCs/>
          <w:color w:val="000000"/>
          <w:sz w:val="20"/>
        </w:rPr>
        <w:t>TABLE 4</w:t>
      </w:r>
      <w:r w:rsidRPr="00954315">
        <w:rPr>
          <w:b/>
          <w:bCs/>
          <w:color w:val="000000"/>
        </w:rPr>
        <w:t xml:space="preserve">. </w:t>
      </w:r>
      <w:r w:rsidRPr="00B81982">
        <w:rPr>
          <w:color w:val="000000"/>
          <w:sz w:val="18"/>
          <w:szCs w:val="18"/>
        </w:rPr>
        <w:t>Competency Mapping Results</w:t>
      </w:r>
    </w:p>
    <w:tbl>
      <w:tblPr>
        <w:tblStyle w:val="LightShading"/>
        <w:tblW w:w="9357" w:type="dxa"/>
        <w:tblInd w:w="107" w:type="dxa"/>
        <w:tblLayout w:type="fixed"/>
        <w:tblLook w:val="04A0" w:firstRow="1" w:lastRow="0" w:firstColumn="1" w:lastColumn="0" w:noHBand="0" w:noVBand="1"/>
      </w:tblPr>
      <w:tblGrid>
        <w:gridCol w:w="1453"/>
        <w:gridCol w:w="1701"/>
        <w:gridCol w:w="3354"/>
        <w:gridCol w:w="2849"/>
      </w:tblGrid>
      <w:tr w:rsidR="00B81982" w:rsidRPr="009044F1" w14:paraId="01F177B6" w14:textId="77777777" w:rsidTr="00E46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hideMark/>
          </w:tcPr>
          <w:p w14:paraId="7E9FDC37" w14:textId="77777777" w:rsidR="00B81982" w:rsidRPr="00025BA5" w:rsidRDefault="00B81982" w:rsidP="00E46F07">
            <w:pPr>
              <w:pStyle w:val="ListParagraph"/>
              <w:ind w:left="0"/>
              <w:rPr>
                <w:rFonts w:ascii="Times New Roman" w:hAnsi="Times New Roman"/>
                <w:b w:val="0"/>
                <w:sz w:val="18"/>
                <w:szCs w:val="18"/>
              </w:rPr>
            </w:pPr>
            <w:r w:rsidRPr="00025BA5">
              <w:rPr>
                <w:rFonts w:ascii="Times New Roman" w:hAnsi="Times New Roman"/>
                <w:b w:val="0"/>
                <w:sz w:val="18"/>
                <w:szCs w:val="18"/>
              </w:rPr>
              <w:t>Competency</w:t>
            </w:r>
          </w:p>
        </w:tc>
        <w:tc>
          <w:tcPr>
            <w:tcW w:w="1701" w:type="dxa"/>
            <w:hideMark/>
          </w:tcPr>
          <w:p w14:paraId="55D02CE1" w14:textId="77777777" w:rsidR="00B81982" w:rsidRPr="00025BA5" w:rsidRDefault="00B81982" w:rsidP="00E46F07">
            <w:pPr>
              <w:pStyle w:val="ListParagraph"/>
              <w:ind w:left="318" w:hanging="318"/>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Pr>
                <w:rFonts w:ascii="Times New Roman" w:hAnsi="Times New Roman"/>
                <w:b w:val="0"/>
                <w:sz w:val="18"/>
                <w:szCs w:val="18"/>
              </w:rPr>
              <w:t xml:space="preserve">     </w:t>
            </w:r>
            <w:r w:rsidRPr="00025BA5">
              <w:rPr>
                <w:rFonts w:ascii="Times New Roman" w:hAnsi="Times New Roman"/>
                <w:b w:val="0"/>
                <w:sz w:val="18"/>
                <w:szCs w:val="18"/>
              </w:rPr>
              <w:t>Sub Competency</w:t>
            </w:r>
          </w:p>
        </w:tc>
        <w:tc>
          <w:tcPr>
            <w:tcW w:w="3354" w:type="dxa"/>
            <w:hideMark/>
          </w:tcPr>
          <w:p w14:paraId="2E569A2B" w14:textId="77777777" w:rsidR="00B81982" w:rsidRPr="00025BA5" w:rsidRDefault="00B81982" w:rsidP="00E46F0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Pr>
                <w:rFonts w:ascii="Times New Roman" w:hAnsi="Times New Roman"/>
                <w:b w:val="0"/>
                <w:sz w:val="18"/>
                <w:szCs w:val="18"/>
              </w:rPr>
              <w:t xml:space="preserve">                   </w:t>
            </w:r>
            <w:r w:rsidRPr="00025BA5">
              <w:rPr>
                <w:rFonts w:ascii="Times New Roman" w:hAnsi="Times New Roman"/>
                <w:b w:val="0"/>
                <w:sz w:val="18"/>
                <w:szCs w:val="18"/>
              </w:rPr>
              <w:t>Indicator</w:t>
            </w:r>
          </w:p>
        </w:tc>
        <w:tc>
          <w:tcPr>
            <w:tcW w:w="2849" w:type="dxa"/>
            <w:hideMark/>
          </w:tcPr>
          <w:p w14:paraId="4B6522B6" w14:textId="77777777" w:rsidR="00B81982" w:rsidRPr="00025BA5" w:rsidRDefault="00B81982" w:rsidP="00E46F07">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Pr>
                <w:rFonts w:ascii="Times New Roman" w:hAnsi="Times New Roman"/>
                <w:b w:val="0"/>
                <w:sz w:val="18"/>
                <w:szCs w:val="18"/>
              </w:rPr>
              <w:t xml:space="preserve">          </w:t>
            </w:r>
            <w:r w:rsidRPr="00025BA5">
              <w:rPr>
                <w:rFonts w:ascii="Times New Roman" w:hAnsi="Times New Roman"/>
                <w:b w:val="0"/>
                <w:sz w:val="18"/>
                <w:szCs w:val="18"/>
              </w:rPr>
              <w:t>Learning Material</w:t>
            </w:r>
          </w:p>
        </w:tc>
      </w:tr>
      <w:tr w:rsidR="00B81982" w:rsidRPr="009044F1" w14:paraId="26A98C2D" w14:textId="77777777" w:rsidTr="00E46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shd w:val="clear" w:color="auto" w:fill="auto"/>
            <w:hideMark/>
          </w:tcPr>
          <w:p w14:paraId="278A418F" w14:textId="77777777" w:rsidR="00B81982" w:rsidRPr="00025BA5" w:rsidRDefault="00B81982" w:rsidP="00E46F07">
            <w:pPr>
              <w:pStyle w:val="ListParagraph"/>
              <w:ind w:left="0"/>
              <w:rPr>
                <w:rFonts w:ascii="Times New Roman" w:hAnsi="Times New Roman"/>
                <w:b w:val="0"/>
                <w:sz w:val="18"/>
                <w:szCs w:val="18"/>
              </w:rPr>
            </w:pPr>
            <w:r w:rsidRPr="00025BA5">
              <w:rPr>
                <w:rFonts w:ascii="Times New Roman" w:hAnsi="Times New Roman"/>
                <w:b w:val="0"/>
                <w:sz w:val="18"/>
                <w:szCs w:val="18"/>
              </w:rPr>
              <w:t>Implementing Occupational Health and Safety</w:t>
            </w:r>
          </w:p>
        </w:tc>
        <w:tc>
          <w:tcPr>
            <w:tcW w:w="1701" w:type="dxa"/>
            <w:shd w:val="clear" w:color="auto" w:fill="auto"/>
            <w:hideMark/>
          </w:tcPr>
          <w:p w14:paraId="7E01C684" w14:textId="77777777" w:rsidR="00B81982" w:rsidRPr="00025BA5" w:rsidRDefault="00B81982" w:rsidP="00B81982">
            <w:pPr>
              <w:pStyle w:val="ListParagraph"/>
              <w:numPr>
                <w:ilvl w:val="0"/>
                <w:numId w:val="46"/>
              </w:numPr>
              <w:ind w:left="317" w:hanging="317"/>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Implementing Environment Health and Safety principle on work situation</w:t>
            </w:r>
          </w:p>
        </w:tc>
        <w:tc>
          <w:tcPr>
            <w:tcW w:w="3354" w:type="dxa"/>
            <w:shd w:val="clear" w:color="auto" w:fill="auto"/>
            <w:hideMark/>
          </w:tcPr>
          <w:p w14:paraId="2529B64F"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Identify types and accidental work</w:t>
            </w:r>
          </w:p>
          <w:p w14:paraId="4C43AE05"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Identify the occupational safety implementation in work situation</w:t>
            </w:r>
          </w:p>
          <w:p w14:paraId="5B77CDEE"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Carry out occupational safety induction in work situation</w:t>
            </w:r>
          </w:p>
          <w:p w14:paraId="1E2414AE" w14:textId="1959738D" w:rsidR="00B81982" w:rsidRPr="00025BA5" w:rsidRDefault="004470AC"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Apply the</w:t>
            </w:r>
            <w:r w:rsidR="00B81982" w:rsidRPr="00025BA5">
              <w:rPr>
                <w:rFonts w:ascii="Times New Roman" w:hAnsi="Times New Roman"/>
                <w:sz w:val="18"/>
                <w:szCs w:val="18"/>
              </w:rPr>
              <w:t xml:space="preserve"> use of Personal Protective Equipment in work situation</w:t>
            </w:r>
          </w:p>
        </w:tc>
        <w:tc>
          <w:tcPr>
            <w:tcW w:w="2849" w:type="dxa"/>
            <w:shd w:val="clear" w:color="auto" w:fill="auto"/>
            <w:hideMark/>
          </w:tcPr>
          <w:p w14:paraId="693A1C4B"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Types of work accident</w:t>
            </w:r>
          </w:p>
          <w:p w14:paraId="755C5537"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Implementation of emergency response procedures</w:t>
            </w:r>
          </w:p>
          <w:p w14:paraId="723E155D"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Implementation of machine operation safety in the workshop</w:t>
            </w:r>
          </w:p>
          <w:p w14:paraId="52C690B0" w14:textId="77777777" w:rsidR="00B81982" w:rsidRPr="00025BA5" w:rsidRDefault="00B81982" w:rsidP="00B81982">
            <w:pPr>
              <w:pStyle w:val="ListParagraph"/>
              <w:numPr>
                <w:ilvl w:val="0"/>
                <w:numId w:val="46"/>
              </w:numPr>
              <w:ind w:left="354" w:hanging="35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025BA5">
              <w:rPr>
                <w:rFonts w:ascii="Times New Roman" w:hAnsi="Times New Roman"/>
                <w:sz w:val="18"/>
                <w:szCs w:val="18"/>
              </w:rPr>
              <w:t>Application of the use of Personal Protective Equipment</w:t>
            </w:r>
          </w:p>
        </w:tc>
      </w:tr>
    </w:tbl>
    <w:p w14:paraId="5E742BCF" w14:textId="77777777" w:rsidR="00B81982" w:rsidRPr="00075EA6" w:rsidRDefault="00B81982" w:rsidP="009B7671">
      <w:pPr>
        <w:pStyle w:val="Paragraph"/>
      </w:pPr>
    </w:p>
    <w:p w14:paraId="3C516210" w14:textId="459667AF" w:rsidR="001146DC" w:rsidRDefault="00D47F06" w:rsidP="00D47F06">
      <w:pPr>
        <w:pStyle w:val="Paragraph"/>
      </w:pPr>
      <w:r w:rsidRPr="00D47F06">
        <w:t xml:space="preserve">Poster media was developed by Canva and Adobe Illustrator applications. Poster media making was done by paying attention to aspects of size, </w:t>
      </w:r>
      <w:r w:rsidR="004470AC" w:rsidRPr="00D47F06">
        <w:t>color</w:t>
      </w:r>
      <w:r w:rsidRPr="00D47F06">
        <w:t xml:space="preserve"> contrast, images selection</w:t>
      </w:r>
      <w:r w:rsidR="004470AC">
        <w:t>,</w:t>
      </w:r>
      <w:r w:rsidRPr="00D47F06">
        <w:t xml:space="preserve"> and text types that are attractive and easy to read. The results of the infographic-based poster developed are as follows.</w:t>
      </w:r>
    </w:p>
    <w:p w14:paraId="2963D99F" w14:textId="76A0678C" w:rsidR="00D47F06" w:rsidRDefault="00D47F06" w:rsidP="00D47F06">
      <w:pPr>
        <w:pStyle w:val="Paragraph"/>
      </w:pPr>
    </w:p>
    <w:p w14:paraId="02B16E4F" w14:textId="6BE17755" w:rsidR="00D47F06" w:rsidRDefault="00D47F06" w:rsidP="00D47F06">
      <w:pPr>
        <w:pStyle w:val="Paragraph"/>
      </w:pPr>
    </w:p>
    <w:p w14:paraId="33A1B130" w14:textId="77777777" w:rsidR="00D47F06" w:rsidRDefault="00D47F06" w:rsidP="00D47F06">
      <w:pPr>
        <w:spacing w:after="240"/>
        <w:jc w:val="both"/>
        <w:rPr>
          <w:color w:val="000000"/>
        </w:rPr>
      </w:pPr>
    </w:p>
    <w:p w14:paraId="5D1744B8" w14:textId="77777777" w:rsidR="00D47F06" w:rsidRDefault="00D47F06" w:rsidP="00D47F06">
      <w:pPr>
        <w:spacing w:after="240"/>
        <w:jc w:val="both"/>
        <w:rPr>
          <w:color w:val="000000"/>
        </w:rPr>
      </w:pPr>
      <w:r>
        <w:rPr>
          <w:noProof/>
        </w:rPr>
        <w:drawing>
          <wp:anchor distT="0" distB="0" distL="114300" distR="114300" simplePos="0" relativeHeight="251659264" behindDoc="0" locked="0" layoutInCell="1" allowOverlap="1" wp14:anchorId="7B845227" wp14:editId="1E9CB1BE">
            <wp:simplePos x="0" y="0"/>
            <wp:positionH relativeFrom="column">
              <wp:posOffset>270510</wp:posOffset>
            </wp:positionH>
            <wp:positionV relativeFrom="paragraph">
              <wp:posOffset>17145</wp:posOffset>
            </wp:positionV>
            <wp:extent cx="2620645" cy="2994660"/>
            <wp:effectExtent l="0" t="0" r="0" b="2540"/>
            <wp:wrapSquare wrapText="bothSides"/>
            <wp:docPr id="8" name="Picture 8" descr="C:\Users\wahyu\Downloads\POSTER UAS TEK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yu\Downloads\POSTER UAS TEKP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645"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74C5E6F" wp14:editId="2A0CD131">
            <wp:extent cx="2642628" cy="30133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9841" cy="3089963"/>
                    </a:xfrm>
                    <a:prstGeom prst="rect">
                      <a:avLst/>
                    </a:prstGeom>
                  </pic:spPr>
                </pic:pic>
              </a:graphicData>
            </a:graphic>
          </wp:inline>
        </w:drawing>
      </w:r>
    </w:p>
    <w:p w14:paraId="60B42F38" w14:textId="36FF3B27" w:rsidR="00D47F06" w:rsidRPr="00D47F06" w:rsidRDefault="00D47F06" w:rsidP="00D47F06">
      <w:pPr>
        <w:jc w:val="center"/>
        <w:rPr>
          <w:b/>
          <w:sz w:val="20"/>
        </w:rPr>
      </w:pPr>
      <w:r w:rsidRPr="00D47F06">
        <w:rPr>
          <w:b/>
          <w:sz w:val="20"/>
        </w:rPr>
        <w:t>FIGURE 2</w:t>
      </w:r>
      <w:r>
        <w:rPr>
          <w:b/>
        </w:rPr>
        <w:t xml:space="preserve">. </w:t>
      </w:r>
      <w:r w:rsidRPr="00D47F06">
        <w:rPr>
          <w:bCs/>
          <w:sz w:val="18"/>
          <w:szCs w:val="18"/>
        </w:rPr>
        <w:t>Operator OHS Poster</w:t>
      </w:r>
    </w:p>
    <w:p w14:paraId="43ABDF48" w14:textId="77777777" w:rsidR="00D47F06" w:rsidRDefault="00D47F06" w:rsidP="00D47F06">
      <w:pPr>
        <w:pStyle w:val="Paragraph"/>
      </w:pPr>
    </w:p>
    <w:p w14:paraId="5BBA5E32" w14:textId="17BC8A72" w:rsidR="00D47F06" w:rsidRDefault="00D47F06" w:rsidP="00D47F06">
      <w:pPr>
        <w:pStyle w:val="Paragraph"/>
        <w:ind w:firstLine="0"/>
      </w:pPr>
    </w:p>
    <w:p w14:paraId="437A5FA2" w14:textId="7330EA82" w:rsidR="001146DC" w:rsidRDefault="00D0592E" w:rsidP="001146DC">
      <w:pPr>
        <w:pStyle w:val="Paragraph"/>
      </w:pPr>
      <w:r w:rsidRPr="00D0592E">
        <w:t>In an effort to test the feasibility of the poster media, a validation test was carried out using the Expert Judgment method with media experts and OHS materials. Validation done by</w:t>
      </w:r>
      <w:r w:rsidR="004470AC">
        <w:t xml:space="preserve"> the</w:t>
      </w:r>
      <w:r w:rsidRPr="00D0592E">
        <w:t xml:space="preserve"> academics who are certified in the OHS competency of General Operators. The results of material expert validation are described in the following tables and graphs.</w:t>
      </w:r>
    </w:p>
    <w:p w14:paraId="4DACF422" w14:textId="77777777" w:rsidR="00D0592E" w:rsidRPr="00075EA6" w:rsidRDefault="00D0592E" w:rsidP="001146DC">
      <w:pPr>
        <w:pStyle w:val="Paragraph"/>
      </w:pPr>
    </w:p>
    <w:p w14:paraId="506886B6" w14:textId="52812289" w:rsidR="00D0592E" w:rsidRDefault="00D0592E" w:rsidP="00D0592E">
      <w:pPr>
        <w:jc w:val="center"/>
        <w:rPr>
          <w:b/>
        </w:rPr>
      </w:pPr>
      <w:r w:rsidRPr="00D0592E">
        <w:rPr>
          <w:b/>
          <w:sz w:val="20"/>
        </w:rPr>
        <w:t>TABLE 5.</w:t>
      </w:r>
      <w:r w:rsidRPr="002D4321">
        <w:rPr>
          <w:b/>
        </w:rPr>
        <w:t xml:space="preserve"> </w:t>
      </w:r>
      <w:r w:rsidRPr="00D0592E">
        <w:rPr>
          <w:bCs/>
          <w:sz w:val="18"/>
          <w:szCs w:val="18"/>
        </w:rPr>
        <w:t>Experts Judgement Validation Result Data</w:t>
      </w:r>
    </w:p>
    <w:p w14:paraId="5504D30D" w14:textId="77777777" w:rsidR="00D0592E" w:rsidRDefault="00D0592E" w:rsidP="00D0592E">
      <w:pPr>
        <w:jc w:val="center"/>
        <w:rPr>
          <w:b/>
        </w:rPr>
      </w:pPr>
    </w:p>
    <w:tbl>
      <w:tblPr>
        <w:tblStyle w:val="LightShading"/>
        <w:tblW w:w="8539" w:type="dxa"/>
        <w:tblInd w:w="675" w:type="dxa"/>
        <w:tblLayout w:type="fixed"/>
        <w:tblLook w:val="04A0" w:firstRow="1" w:lastRow="0" w:firstColumn="1" w:lastColumn="0" w:noHBand="0" w:noVBand="1"/>
      </w:tblPr>
      <w:tblGrid>
        <w:gridCol w:w="993"/>
        <w:gridCol w:w="267"/>
        <w:gridCol w:w="268"/>
        <w:gridCol w:w="267"/>
        <w:gridCol w:w="627"/>
        <w:gridCol w:w="1523"/>
        <w:gridCol w:w="1699"/>
        <w:gridCol w:w="1276"/>
        <w:gridCol w:w="1619"/>
      </w:tblGrid>
      <w:tr w:rsidR="00D0592E" w:rsidRPr="00F45C5A" w14:paraId="76935C03" w14:textId="77777777" w:rsidTr="00E46F07">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993" w:type="dxa"/>
          </w:tcPr>
          <w:p w14:paraId="352178E2" w14:textId="77777777" w:rsidR="00D0592E" w:rsidRPr="00F45C5A" w:rsidRDefault="00D0592E" w:rsidP="00E46F07">
            <w:pPr>
              <w:jc w:val="center"/>
              <w:rPr>
                <w:rFonts w:ascii="Times New Roman" w:hAnsi="Times New Roman"/>
                <w:b w:val="0"/>
              </w:rPr>
            </w:pPr>
            <w:r w:rsidRPr="00F45C5A">
              <w:rPr>
                <w:rFonts w:ascii="Times New Roman" w:hAnsi="Times New Roman"/>
                <w:b w:val="0"/>
              </w:rPr>
              <w:t>Aspect</w:t>
            </w:r>
          </w:p>
        </w:tc>
        <w:tc>
          <w:tcPr>
            <w:tcW w:w="1429" w:type="dxa"/>
            <w:gridSpan w:val="4"/>
          </w:tcPr>
          <w:p w14:paraId="602743CD" w14:textId="77777777" w:rsidR="00D0592E" w:rsidRPr="00F45C5A" w:rsidRDefault="00D0592E"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Frequency</w:t>
            </w:r>
          </w:p>
        </w:tc>
        <w:tc>
          <w:tcPr>
            <w:tcW w:w="1523" w:type="dxa"/>
          </w:tcPr>
          <w:p w14:paraId="5D60F72C" w14:textId="77777777" w:rsidR="00D0592E" w:rsidRPr="00F45C5A" w:rsidRDefault="00D0592E"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 xml:space="preserve">Score Total </w:t>
            </w:r>
          </w:p>
        </w:tc>
        <w:tc>
          <w:tcPr>
            <w:tcW w:w="1699" w:type="dxa"/>
          </w:tcPr>
          <w:p w14:paraId="6BF73BCF" w14:textId="77777777" w:rsidR="00D0592E" w:rsidRPr="00F45C5A" w:rsidRDefault="00D0592E"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 xml:space="preserve">Point  </w:t>
            </w:r>
          </w:p>
        </w:tc>
        <w:tc>
          <w:tcPr>
            <w:tcW w:w="1276" w:type="dxa"/>
          </w:tcPr>
          <w:p w14:paraId="06BE5276" w14:textId="77777777" w:rsidR="00D0592E" w:rsidRPr="00F45C5A" w:rsidRDefault="00D0592E"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Max Score</w:t>
            </w:r>
          </w:p>
        </w:tc>
        <w:tc>
          <w:tcPr>
            <w:tcW w:w="1619" w:type="dxa"/>
          </w:tcPr>
          <w:p w14:paraId="4E6E3FD3" w14:textId="77777777" w:rsidR="00D0592E" w:rsidRPr="00F45C5A" w:rsidRDefault="00D0592E"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Percentage (%)</w:t>
            </w:r>
          </w:p>
        </w:tc>
      </w:tr>
      <w:tr w:rsidR="00D0592E" w:rsidRPr="00F45C5A" w14:paraId="6E80C05B" w14:textId="77777777" w:rsidTr="00E46F07">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E3DE18B" w14:textId="77777777" w:rsidR="00D0592E" w:rsidRPr="00F45C5A" w:rsidRDefault="00D0592E" w:rsidP="00E46F07">
            <w:pPr>
              <w:jc w:val="both"/>
              <w:rPr>
                <w:rFonts w:ascii="Times New Roman" w:hAnsi="Times New Roman"/>
                <w:b w:val="0"/>
              </w:rPr>
            </w:pPr>
          </w:p>
        </w:tc>
        <w:tc>
          <w:tcPr>
            <w:tcW w:w="267" w:type="dxa"/>
            <w:shd w:val="clear" w:color="auto" w:fill="auto"/>
          </w:tcPr>
          <w:p w14:paraId="77024E1C"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1</w:t>
            </w:r>
          </w:p>
        </w:tc>
        <w:tc>
          <w:tcPr>
            <w:tcW w:w="268" w:type="dxa"/>
            <w:shd w:val="clear" w:color="auto" w:fill="auto"/>
          </w:tcPr>
          <w:p w14:paraId="2E7B865A"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2</w:t>
            </w:r>
          </w:p>
        </w:tc>
        <w:tc>
          <w:tcPr>
            <w:tcW w:w="267" w:type="dxa"/>
            <w:shd w:val="clear" w:color="auto" w:fill="auto"/>
          </w:tcPr>
          <w:p w14:paraId="53DE000A"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3</w:t>
            </w:r>
          </w:p>
        </w:tc>
        <w:tc>
          <w:tcPr>
            <w:tcW w:w="627" w:type="dxa"/>
            <w:shd w:val="clear" w:color="auto" w:fill="auto"/>
          </w:tcPr>
          <w:p w14:paraId="06B45534"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4</w:t>
            </w:r>
          </w:p>
        </w:tc>
        <w:tc>
          <w:tcPr>
            <w:tcW w:w="1523" w:type="dxa"/>
            <w:shd w:val="clear" w:color="auto" w:fill="auto"/>
          </w:tcPr>
          <w:p w14:paraId="4F357000"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699" w:type="dxa"/>
            <w:shd w:val="clear" w:color="auto" w:fill="auto"/>
          </w:tcPr>
          <w:p w14:paraId="50168E1C"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76" w:type="dxa"/>
            <w:shd w:val="clear" w:color="auto" w:fill="auto"/>
          </w:tcPr>
          <w:p w14:paraId="0C56A769"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619" w:type="dxa"/>
            <w:shd w:val="clear" w:color="auto" w:fill="auto"/>
          </w:tcPr>
          <w:p w14:paraId="73611573"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0592E" w:rsidRPr="00F45C5A" w14:paraId="60E210B6" w14:textId="77777777" w:rsidTr="00E46F07">
        <w:trPr>
          <w:trHeight w:val="17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C604C55" w14:textId="77777777" w:rsidR="00D0592E" w:rsidRPr="00F45C5A" w:rsidRDefault="00D0592E" w:rsidP="00E46F07">
            <w:pPr>
              <w:ind w:left="-107"/>
              <w:jc w:val="both"/>
              <w:rPr>
                <w:rFonts w:ascii="Times New Roman" w:hAnsi="Times New Roman"/>
                <w:b w:val="0"/>
              </w:rPr>
            </w:pPr>
            <w:r w:rsidRPr="00F45C5A">
              <w:rPr>
                <w:rFonts w:ascii="Times New Roman" w:hAnsi="Times New Roman"/>
                <w:b w:val="0"/>
              </w:rPr>
              <w:t>Quality</w:t>
            </w:r>
          </w:p>
        </w:tc>
        <w:tc>
          <w:tcPr>
            <w:tcW w:w="267" w:type="dxa"/>
            <w:shd w:val="clear" w:color="auto" w:fill="auto"/>
          </w:tcPr>
          <w:p w14:paraId="755D3AA8" w14:textId="77777777" w:rsidR="00D0592E" w:rsidRPr="00F45C5A" w:rsidRDefault="00D0592E" w:rsidP="00E46F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68" w:type="dxa"/>
            <w:shd w:val="clear" w:color="auto" w:fill="auto"/>
          </w:tcPr>
          <w:p w14:paraId="14A040CF" w14:textId="77777777" w:rsidR="00D0592E" w:rsidRPr="00F45C5A" w:rsidRDefault="00D0592E" w:rsidP="00E46F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67" w:type="dxa"/>
            <w:shd w:val="clear" w:color="auto" w:fill="auto"/>
          </w:tcPr>
          <w:p w14:paraId="62E30FC0" w14:textId="77777777" w:rsidR="00D0592E" w:rsidRPr="00F45C5A" w:rsidRDefault="00D0592E" w:rsidP="00E46F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7</w:t>
            </w:r>
          </w:p>
        </w:tc>
        <w:tc>
          <w:tcPr>
            <w:tcW w:w="627" w:type="dxa"/>
            <w:shd w:val="clear" w:color="auto" w:fill="auto"/>
          </w:tcPr>
          <w:p w14:paraId="3BE02EB0" w14:textId="77777777" w:rsidR="00D0592E" w:rsidRPr="00F45C5A" w:rsidRDefault="00D0592E" w:rsidP="00E46F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5</w:t>
            </w:r>
          </w:p>
        </w:tc>
        <w:tc>
          <w:tcPr>
            <w:tcW w:w="1523" w:type="dxa"/>
            <w:shd w:val="clear" w:color="auto" w:fill="auto"/>
          </w:tcPr>
          <w:p w14:paraId="226BEC08"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41</w:t>
            </w:r>
          </w:p>
        </w:tc>
        <w:tc>
          <w:tcPr>
            <w:tcW w:w="1699" w:type="dxa"/>
            <w:shd w:val="clear" w:color="auto" w:fill="auto"/>
          </w:tcPr>
          <w:p w14:paraId="214ABD6F"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12</w:t>
            </w:r>
          </w:p>
        </w:tc>
        <w:tc>
          <w:tcPr>
            <w:tcW w:w="1276" w:type="dxa"/>
            <w:shd w:val="clear" w:color="auto" w:fill="auto"/>
          </w:tcPr>
          <w:p w14:paraId="4B520C96"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48</w:t>
            </w:r>
          </w:p>
        </w:tc>
        <w:tc>
          <w:tcPr>
            <w:tcW w:w="1619" w:type="dxa"/>
            <w:shd w:val="clear" w:color="auto" w:fill="auto"/>
          </w:tcPr>
          <w:p w14:paraId="25B9B85A"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85.4</w:t>
            </w:r>
          </w:p>
        </w:tc>
      </w:tr>
      <w:tr w:rsidR="00D0592E" w:rsidRPr="00F45C5A" w14:paraId="6A180B95" w14:textId="77777777" w:rsidTr="00E46F0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BA802E9" w14:textId="77777777" w:rsidR="00D0592E" w:rsidRPr="00F45C5A" w:rsidRDefault="00D0592E" w:rsidP="00E46F07">
            <w:pPr>
              <w:ind w:left="-107"/>
              <w:jc w:val="both"/>
              <w:rPr>
                <w:rFonts w:ascii="Times New Roman" w:hAnsi="Times New Roman"/>
                <w:b w:val="0"/>
              </w:rPr>
            </w:pPr>
            <w:r w:rsidRPr="00F45C5A">
              <w:rPr>
                <w:rFonts w:ascii="Times New Roman" w:hAnsi="Times New Roman"/>
                <w:b w:val="0"/>
              </w:rPr>
              <w:t xml:space="preserve">Benefit </w:t>
            </w:r>
          </w:p>
        </w:tc>
        <w:tc>
          <w:tcPr>
            <w:tcW w:w="267" w:type="dxa"/>
            <w:shd w:val="clear" w:color="auto" w:fill="auto"/>
          </w:tcPr>
          <w:p w14:paraId="57849AF5"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68" w:type="dxa"/>
            <w:shd w:val="clear" w:color="auto" w:fill="auto"/>
          </w:tcPr>
          <w:p w14:paraId="15397B94"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67" w:type="dxa"/>
            <w:shd w:val="clear" w:color="auto" w:fill="auto"/>
          </w:tcPr>
          <w:p w14:paraId="594696AF"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5</w:t>
            </w:r>
          </w:p>
        </w:tc>
        <w:tc>
          <w:tcPr>
            <w:tcW w:w="627" w:type="dxa"/>
            <w:shd w:val="clear" w:color="auto" w:fill="auto"/>
          </w:tcPr>
          <w:p w14:paraId="040FA114" w14:textId="77777777" w:rsidR="00D0592E" w:rsidRPr="00F45C5A" w:rsidRDefault="00D0592E"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3</w:t>
            </w:r>
          </w:p>
        </w:tc>
        <w:tc>
          <w:tcPr>
            <w:tcW w:w="1523" w:type="dxa"/>
            <w:shd w:val="clear" w:color="auto" w:fill="auto"/>
          </w:tcPr>
          <w:p w14:paraId="66A32626" w14:textId="77777777" w:rsidR="00D0592E" w:rsidRPr="00F45C5A" w:rsidRDefault="00D0592E"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27</w:t>
            </w:r>
          </w:p>
        </w:tc>
        <w:tc>
          <w:tcPr>
            <w:tcW w:w="1699" w:type="dxa"/>
            <w:shd w:val="clear" w:color="auto" w:fill="auto"/>
          </w:tcPr>
          <w:p w14:paraId="1BFB6E40" w14:textId="77777777" w:rsidR="00D0592E" w:rsidRPr="00F45C5A" w:rsidRDefault="00D0592E"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8</w:t>
            </w:r>
          </w:p>
        </w:tc>
        <w:tc>
          <w:tcPr>
            <w:tcW w:w="1276" w:type="dxa"/>
            <w:shd w:val="clear" w:color="auto" w:fill="auto"/>
          </w:tcPr>
          <w:p w14:paraId="17C15D0D" w14:textId="77777777" w:rsidR="00D0592E" w:rsidRPr="00F45C5A" w:rsidRDefault="00D0592E"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32</w:t>
            </w:r>
          </w:p>
        </w:tc>
        <w:tc>
          <w:tcPr>
            <w:tcW w:w="1619" w:type="dxa"/>
            <w:shd w:val="clear" w:color="auto" w:fill="auto"/>
          </w:tcPr>
          <w:p w14:paraId="701B805B" w14:textId="77777777" w:rsidR="00D0592E" w:rsidRPr="00F45C5A" w:rsidRDefault="00D0592E"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84.3</w:t>
            </w:r>
          </w:p>
        </w:tc>
      </w:tr>
      <w:tr w:rsidR="00D0592E" w:rsidRPr="00F45C5A" w14:paraId="34545BA2" w14:textId="77777777" w:rsidTr="00E46F07">
        <w:trPr>
          <w:trHeight w:val="191"/>
        </w:trPr>
        <w:tc>
          <w:tcPr>
            <w:cnfStyle w:val="001000000000" w:firstRow="0" w:lastRow="0" w:firstColumn="1" w:lastColumn="0" w:oddVBand="0" w:evenVBand="0" w:oddHBand="0" w:evenHBand="0" w:firstRowFirstColumn="0" w:firstRowLastColumn="0" w:lastRowFirstColumn="0" w:lastRowLastColumn="0"/>
            <w:tcW w:w="993" w:type="dxa"/>
          </w:tcPr>
          <w:p w14:paraId="37813BF4" w14:textId="77777777" w:rsidR="00D0592E" w:rsidRPr="00F45C5A" w:rsidRDefault="00D0592E" w:rsidP="00E46F07">
            <w:pPr>
              <w:ind w:left="-107"/>
              <w:jc w:val="both"/>
              <w:rPr>
                <w:rFonts w:ascii="Times New Roman" w:hAnsi="Times New Roman"/>
                <w:b w:val="0"/>
              </w:rPr>
            </w:pPr>
            <w:r w:rsidRPr="00F45C5A">
              <w:rPr>
                <w:rFonts w:ascii="Times New Roman" w:hAnsi="Times New Roman"/>
                <w:b w:val="0"/>
              </w:rPr>
              <w:t>Total</w:t>
            </w:r>
          </w:p>
        </w:tc>
        <w:tc>
          <w:tcPr>
            <w:tcW w:w="1429" w:type="dxa"/>
            <w:gridSpan w:val="4"/>
          </w:tcPr>
          <w:p w14:paraId="73E5DDE6" w14:textId="77777777" w:rsidR="00D0592E" w:rsidRPr="00F45C5A" w:rsidRDefault="00D0592E" w:rsidP="00E46F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23" w:type="dxa"/>
          </w:tcPr>
          <w:p w14:paraId="547EADB9"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68</w:t>
            </w:r>
          </w:p>
        </w:tc>
        <w:tc>
          <w:tcPr>
            <w:tcW w:w="1699" w:type="dxa"/>
          </w:tcPr>
          <w:p w14:paraId="1ADB8513"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20</w:t>
            </w:r>
          </w:p>
        </w:tc>
        <w:tc>
          <w:tcPr>
            <w:tcW w:w="1276" w:type="dxa"/>
          </w:tcPr>
          <w:p w14:paraId="728CEED5"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80</w:t>
            </w:r>
          </w:p>
        </w:tc>
        <w:tc>
          <w:tcPr>
            <w:tcW w:w="1619" w:type="dxa"/>
          </w:tcPr>
          <w:p w14:paraId="23B365C7" w14:textId="77777777" w:rsidR="00D0592E" w:rsidRPr="00F45C5A" w:rsidRDefault="00D0592E"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F45C5A">
              <w:rPr>
                <w:rFonts w:ascii="Times New Roman" w:hAnsi="Times New Roman"/>
                <w:b/>
              </w:rPr>
              <w:t>84.85</w:t>
            </w:r>
          </w:p>
        </w:tc>
      </w:tr>
    </w:tbl>
    <w:p w14:paraId="234C359D" w14:textId="3F16C01B" w:rsidR="00D0592E" w:rsidRDefault="00D0592E" w:rsidP="00D0592E">
      <w:pPr>
        <w:rPr>
          <w:b/>
        </w:rPr>
      </w:pPr>
    </w:p>
    <w:p w14:paraId="66D49995" w14:textId="77777777" w:rsidR="00D0592E" w:rsidRPr="002549F3" w:rsidRDefault="00D0592E" w:rsidP="00D0592E">
      <w:pPr>
        <w:rPr>
          <w:b/>
        </w:rPr>
      </w:pPr>
    </w:p>
    <w:p w14:paraId="3DB180C2" w14:textId="77777777" w:rsidR="00D0592E" w:rsidRDefault="00D0592E" w:rsidP="00D0592E">
      <w:pPr>
        <w:jc w:val="center"/>
        <w:rPr>
          <w:b/>
        </w:rPr>
      </w:pPr>
      <w:r>
        <w:rPr>
          <w:noProof/>
          <w:szCs w:val="24"/>
        </w:rPr>
        <w:lastRenderedPageBreak/>
        <w:drawing>
          <wp:inline distT="0" distB="0" distL="0" distR="0" wp14:anchorId="2B5C3214" wp14:editId="4787A277">
            <wp:extent cx="2799184" cy="1698171"/>
            <wp:effectExtent l="0" t="0" r="7620" b="1651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A55935" w14:textId="63FAA6AB" w:rsidR="00D0592E" w:rsidRPr="00025BA5" w:rsidRDefault="00D0592E" w:rsidP="00D0592E">
      <w:pPr>
        <w:jc w:val="center"/>
        <w:rPr>
          <w:b/>
        </w:rPr>
      </w:pPr>
      <w:r w:rsidRPr="00D0592E">
        <w:rPr>
          <w:b/>
          <w:sz w:val="20"/>
        </w:rPr>
        <w:t>FIGURE 3.</w:t>
      </w:r>
      <w:r w:rsidRPr="00025BA5">
        <w:rPr>
          <w:b/>
        </w:rPr>
        <w:t xml:space="preserve"> </w:t>
      </w:r>
      <w:r w:rsidRPr="00D0592E">
        <w:rPr>
          <w:bCs/>
          <w:sz w:val="18"/>
          <w:szCs w:val="18"/>
        </w:rPr>
        <w:t>Material Expert Validation Results</w:t>
      </w:r>
    </w:p>
    <w:p w14:paraId="40AC5E27" w14:textId="0237195A" w:rsidR="00EB02EC" w:rsidRPr="00EB02EC" w:rsidRDefault="007A233B" w:rsidP="00EB02EC">
      <w:pPr>
        <w:pStyle w:val="Equation"/>
      </w:pPr>
      <w:r>
        <w:tab/>
      </w:r>
      <w:r w:rsidR="00D0592E" w:rsidRPr="00075EA6">
        <w:t xml:space="preserve"> </w:t>
      </w:r>
    </w:p>
    <w:p w14:paraId="2FA4CCB2" w14:textId="0FF03514" w:rsidR="00BA3B3D" w:rsidRDefault="00EB02EC" w:rsidP="003F31C6">
      <w:pPr>
        <w:pStyle w:val="Paragraph"/>
      </w:pPr>
      <w:r w:rsidRPr="00EB02EC">
        <w:t>Based on the presentation of the data, it is illustrated that the poster media developed from the aspect of material quality obtains a percentage of 85.4%. Meanwhile, from the aspect of benefit, the percentage is 84.3%. The average percentage of material feasibility is 84.85%. Thus, from the material side of the poster media, it meets the feasibility of being implemented in learning activities.</w:t>
      </w:r>
      <w:r w:rsidR="00BA3B3D" w:rsidRPr="00075EA6">
        <w:t xml:space="preserve"> </w:t>
      </w:r>
    </w:p>
    <w:p w14:paraId="0D30EFB3" w14:textId="77777777" w:rsidR="00EB02EC" w:rsidRDefault="00EB02EC" w:rsidP="003F31C6">
      <w:pPr>
        <w:pStyle w:val="Paragraph"/>
      </w:pPr>
    </w:p>
    <w:p w14:paraId="72B738C1" w14:textId="3BABDE4C" w:rsidR="00EB02EC" w:rsidRDefault="00EB02EC" w:rsidP="00EB02EC">
      <w:pPr>
        <w:ind w:firstLine="567"/>
        <w:jc w:val="center"/>
        <w:rPr>
          <w:b/>
          <w:bCs/>
        </w:rPr>
      </w:pPr>
      <w:r w:rsidRPr="00EB02EC">
        <w:rPr>
          <w:b/>
          <w:bCs/>
          <w:sz w:val="20"/>
        </w:rPr>
        <w:t>TABLE 6</w:t>
      </w:r>
      <w:r w:rsidRPr="00A401FC">
        <w:rPr>
          <w:b/>
          <w:bCs/>
        </w:rPr>
        <w:t xml:space="preserve">. </w:t>
      </w:r>
      <w:r w:rsidRPr="00EB02EC">
        <w:rPr>
          <w:sz w:val="18"/>
          <w:szCs w:val="18"/>
        </w:rPr>
        <w:t>Expert Judgement Validation Results Data</w:t>
      </w:r>
    </w:p>
    <w:p w14:paraId="4B7BDA15" w14:textId="77777777" w:rsidR="00EB02EC" w:rsidRPr="00A401FC" w:rsidRDefault="00EB02EC" w:rsidP="00EB02EC">
      <w:pPr>
        <w:ind w:firstLine="567"/>
        <w:jc w:val="center"/>
        <w:rPr>
          <w:b/>
          <w:bCs/>
        </w:rPr>
      </w:pPr>
    </w:p>
    <w:tbl>
      <w:tblPr>
        <w:tblStyle w:val="LightShading"/>
        <w:tblW w:w="6751" w:type="dxa"/>
        <w:jc w:val="center"/>
        <w:tblLayout w:type="fixed"/>
        <w:tblLook w:val="04A0" w:firstRow="1" w:lastRow="0" w:firstColumn="1" w:lastColumn="0" w:noHBand="0" w:noVBand="1"/>
      </w:tblPr>
      <w:tblGrid>
        <w:gridCol w:w="1082"/>
        <w:gridCol w:w="284"/>
        <w:gridCol w:w="283"/>
        <w:gridCol w:w="284"/>
        <w:gridCol w:w="517"/>
        <w:gridCol w:w="992"/>
        <w:gridCol w:w="992"/>
        <w:gridCol w:w="1134"/>
        <w:gridCol w:w="1183"/>
      </w:tblGrid>
      <w:tr w:rsidR="00EB02EC" w:rsidRPr="00F07375" w14:paraId="64D711CB" w14:textId="77777777" w:rsidTr="00E46F07">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366" w:type="dxa"/>
            <w:gridSpan w:val="2"/>
          </w:tcPr>
          <w:p w14:paraId="7A093F98" w14:textId="77777777" w:rsidR="00EB02EC" w:rsidRPr="00F45C5A" w:rsidRDefault="00EB02EC" w:rsidP="00E46F07">
            <w:pPr>
              <w:jc w:val="both"/>
              <w:rPr>
                <w:rFonts w:ascii="Times New Roman" w:hAnsi="Times New Roman"/>
                <w:b w:val="0"/>
              </w:rPr>
            </w:pPr>
            <w:r w:rsidRPr="00F45C5A">
              <w:rPr>
                <w:rFonts w:ascii="Times New Roman" w:hAnsi="Times New Roman"/>
                <w:b w:val="0"/>
              </w:rPr>
              <w:t>Aspect</w:t>
            </w:r>
          </w:p>
        </w:tc>
        <w:tc>
          <w:tcPr>
            <w:tcW w:w="1084" w:type="dxa"/>
            <w:gridSpan w:val="3"/>
          </w:tcPr>
          <w:p w14:paraId="4FD9913F" w14:textId="77777777" w:rsidR="00EB02EC" w:rsidRPr="00F45C5A" w:rsidRDefault="00EB02EC"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Frequency</w:t>
            </w:r>
          </w:p>
        </w:tc>
        <w:tc>
          <w:tcPr>
            <w:tcW w:w="992" w:type="dxa"/>
          </w:tcPr>
          <w:p w14:paraId="68A5EE6F" w14:textId="77777777" w:rsidR="00EB02EC" w:rsidRPr="00F45C5A" w:rsidRDefault="00EB02EC"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Total Score</w:t>
            </w:r>
          </w:p>
        </w:tc>
        <w:tc>
          <w:tcPr>
            <w:tcW w:w="992" w:type="dxa"/>
          </w:tcPr>
          <w:p w14:paraId="40B8FC47" w14:textId="77777777" w:rsidR="00EB02EC" w:rsidRPr="00F45C5A" w:rsidRDefault="00EB02EC"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Total Point</w:t>
            </w:r>
          </w:p>
        </w:tc>
        <w:tc>
          <w:tcPr>
            <w:tcW w:w="1134" w:type="dxa"/>
          </w:tcPr>
          <w:p w14:paraId="13B31579" w14:textId="77777777" w:rsidR="00EB02EC" w:rsidRPr="00F45C5A" w:rsidRDefault="00EB02EC" w:rsidP="00E46F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Max Score</w:t>
            </w:r>
          </w:p>
        </w:tc>
        <w:tc>
          <w:tcPr>
            <w:tcW w:w="1183" w:type="dxa"/>
          </w:tcPr>
          <w:p w14:paraId="584B8917" w14:textId="77777777" w:rsidR="00EB02EC" w:rsidRPr="00F45C5A" w:rsidRDefault="00EB02EC" w:rsidP="00E46F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Percentage (%)</w:t>
            </w:r>
          </w:p>
        </w:tc>
      </w:tr>
      <w:tr w:rsidR="00EB02EC" w:rsidRPr="00F07375" w14:paraId="53DCD94D" w14:textId="77777777" w:rsidTr="00E46F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29D27BCE" w14:textId="77777777" w:rsidR="00EB02EC" w:rsidRPr="00F45C5A" w:rsidRDefault="00EB02EC" w:rsidP="00E46F07">
            <w:pPr>
              <w:jc w:val="both"/>
              <w:rPr>
                <w:rFonts w:ascii="Times New Roman" w:hAnsi="Times New Roman"/>
                <w:b w:val="0"/>
              </w:rPr>
            </w:pPr>
          </w:p>
        </w:tc>
        <w:tc>
          <w:tcPr>
            <w:tcW w:w="284" w:type="dxa"/>
            <w:shd w:val="clear" w:color="auto" w:fill="auto"/>
          </w:tcPr>
          <w:p w14:paraId="0AE44643"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1</w:t>
            </w:r>
          </w:p>
        </w:tc>
        <w:tc>
          <w:tcPr>
            <w:tcW w:w="283" w:type="dxa"/>
            <w:shd w:val="clear" w:color="auto" w:fill="auto"/>
          </w:tcPr>
          <w:p w14:paraId="72682332"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2</w:t>
            </w:r>
          </w:p>
        </w:tc>
        <w:tc>
          <w:tcPr>
            <w:tcW w:w="284" w:type="dxa"/>
            <w:shd w:val="clear" w:color="auto" w:fill="auto"/>
          </w:tcPr>
          <w:p w14:paraId="201B3179"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3</w:t>
            </w:r>
          </w:p>
        </w:tc>
        <w:tc>
          <w:tcPr>
            <w:tcW w:w="517" w:type="dxa"/>
            <w:shd w:val="clear" w:color="auto" w:fill="auto"/>
          </w:tcPr>
          <w:p w14:paraId="4E45AF9F"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4</w:t>
            </w:r>
          </w:p>
        </w:tc>
        <w:tc>
          <w:tcPr>
            <w:tcW w:w="992" w:type="dxa"/>
            <w:shd w:val="clear" w:color="auto" w:fill="auto"/>
          </w:tcPr>
          <w:p w14:paraId="626F373C" w14:textId="77777777" w:rsidR="00EB02EC" w:rsidRPr="00F45C5A" w:rsidRDefault="00EB02EC"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2" w:type="dxa"/>
            <w:shd w:val="clear" w:color="auto" w:fill="auto"/>
          </w:tcPr>
          <w:p w14:paraId="5FA6D5C8" w14:textId="77777777" w:rsidR="00EB02EC" w:rsidRPr="00F45C5A" w:rsidRDefault="00EB02EC"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34" w:type="dxa"/>
            <w:shd w:val="clear" w:color="auto" w:fill="auto"/>
          </w:tcPr>
          <w:p w14:paraId="1E644375" w14:textId="77777777" w:rsidR="00EB02EC" w:rsidRPr="00F45C5A" w:rsidRDefault="00EB02EC"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83" w:type="dxa"/>
            <w:shd w:val="clear" w:color="auto" w:fill="auto"/>
          </w:tcPr>
          <w:p w14:paraId="077CA544" w14:textId="77777777" w:rsidR="00EB02EC" w:rsidRPr="00F45C5A" w:rsidRDefault="00EB02EC"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B02EC" w:rsidRPr="00F07375" w14:paraId="41EF43C8" w14:textId="77777777" w:rsidTr="00E46F07">
        <w:trPr>
          <w:trHeight w:val="223"/>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5A893045" w14:textId="77777777" w:rsidR="00EB02EC" w:rsidRPr="00F45C5A" w:rsidRDefault="00EB02EC" w:rsidP="00E46F07">
            <w:pPr>
              <w:ind w:left="-108"/>
              <w:jc w:val="both"/>
              <w:rPr>
                <w:rFonts w:ascii="Times New Roman" w:hAnsi="Times New Roman"/>
                <w:b w:val="0"/>
              </w:rPr>
            </w:pPr>
            <w:r>
              <w:rPr>
                <w:rFonts w:ascii="Times New Roman" w:hAnsi="Times New Roman"/>
                <w:b w:val="0"/>
              </w:rPr>
              <w:t>Display</w:t>
            </w:r>
            <w:r w:rsidRPr="00F45C5A">
              <w:rPr>
                <w:rFonts w:ascii="Times New Roman" w:hAnsi="Times New Roman"/>
                <w:b w:val="0"/>
              </w:rPr>
              <w:t xml:space="preserve"> </w:t>
            </w:r>
          </w:p>
        </w:tc>
        <w:tc>
          <w:tcPr>
            <w:tcW w:w="284" w:type="dxa"/>
            <w:shd w:val="clear" w:color="auto" w:fill="auto"/>
          </w:tcPr>
          <w:p w14:paraId="5C0DA3FA"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125890A7"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6AB2208C"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3</w:t>
            </w:r>
          </w:p>
        </w:tc>
        <w:tc>
          <w:tcPr>
            <w:tcW w:w="517" w:type="dxa"/>
            <w:shd w:val="clear" w:color="auto" w:fill="auto"/>
          </w:tcPr>
          <w:p w14:paraId="4E977872"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3</w:t>
            </w:r>
          </w:p>
        </w:tc>
        <w:tc>
          <w:tcPr>
            <w:tcW w:w="992" w:type="dxa"/>
            <w:shd w:val="clear" w:color="auto" w:fill="auto"/>
          </w:tcPr>
          <w:p w14:paraId="23F4823C"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21</w:t>
            </w:r>
          </w:p>
        </w:tc>
        <w:tc>
          <w:tcPr>
            <w:tcW w:w="992" w:type="dxa"/>
            <w:shd w:val="clear" w:color="auto" w:fill="auto"/>
          </w:tcPr>
          <w:p w14:paraId="763502F2"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6</w:t>
            </w:r>
          </w:p>
        </w:tc>
        <w:tc>
          <w:tcPr>
            <w:tcW w:w="1134" w:type="dxa"/>
            <w:shd w:val="clear" w:color="auto" w:fill="auto"/>
          </w:tcPr>
          <w:p w14:paraId="6ABF053B"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24</w:t>
            </w:r>
          </w:p>
        </w:tc>
        <w:tc>
          <w:tcPr>
            <w:tcW w:w="1183" w:type="dxa"/>
            <w:shd w:val="clear" w:color="auto" w:fill="auto"/>
          </w:tcPr>
          <w:p w14:paraId="3D38AA6F"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87</w:t>
            </w:r>
            <w:r>
              <w:rPr>
                <w:rFonts w:ascii="Times New Roman" w:hAnsi="Times New Roman"/>
              </w:rPr>
              <w:t>.</w:t>
            </w:r>
            <w:r w:rsidRPr="00F45C5A">
              <w:rPr>
                <w:rFonts w:ascii="Times New Roman" w:hAnsi="Times New Roman"/>
              </w:rPr>
              <w:t>5</w:t>
            </w:r>
          </w:p>
        </w:tc>
      </w:tr>
      <w:tr w:rsidR="00EB02EC" w:rsidRPr="00F07375" w14:paraId="716192E4" w14:textId="77777777" w:rsidTr="00E46F0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1308393C" w14:textId="77777777" w:rsidR="00EB02EC" w:rsidRPr="00F45C5A" w:rsidRDefault="00EB02EC" w:rsidP="00E46F07">
            <w:pPr>
              <w:ind w:left="-108"/>
              <w:jc w:val="both"/>
              <w:rPr>
                <w:rFonts w:ascii="Times New Roman" w:hAnsi="Times New Roman"/>
                <w:b w:val="0"/>
              </w:rPr>
            </w:pPr>
            <w:r>
              <w:rPr>
                <w:rFonts w:ascii="Times New Roman" w:hAnsi="Times New Roman"/>
                <w:b w:val="0"/>
              </w:rPr>
              <w:t>Language</w:t>
            </w:r>
          </w:p>
        </w:tc>
        <w:tc>
          <w:tcPr>
            <w:tcW w:w="284" w:type="dxa"/>
            <w:shd w:val="clear" w:color="auto" w:fill="auto"/>
          </w:tcPr>
          <w:p w14:paraId="3D8863A7"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3463C1A1"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72080DA9"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2</w:t>
            </w:r>
          </w:p>
        </w:tc>
        <w:tc>
          <w:tcPr>
            <w:tcW w:w="517" w:type="dxa"/>
            <w:shd w:val="clear" w:color="auto" w:fill="auto"/>
          </w:tcPr>
          <w:p w14:paraId="3A00F3DF"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4</w:t>
            </w:r>
          </w:p>
        </w:tc>
        <w:tc>
          <w:tcPr>
            <w:tcW w:w="992" w:type="dxa"/>
            <w:shd w:val="clear" w:color="auto" w:fill="auto"/>
          </w:tcPr>
          <w:p w14:paraId="51988601"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22</w:t>
            </w:r>
          </w:p>
        </w:tc>
        <w:tc>
          <w:tcPr>
            <w:tcW w:w="992" w:type="dxa"/>
            <w:shd w:val="clear" w:color="auto" w:fill="auto"/>
          </w:tcPr>
          <w:p w14:paraId="6359C5F4"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6</w:t>
            </w:r>
          </w:p>
        </w:tc>
        <w:tc>
          <w:tcPr>
            <w:tcW w:w="1134" w:type="dxa"/>
            <w:shd w:val="clear" w:color="auto" w:fill="auto"/>
          </w:tcPr>
          <w:p w14:paraId="060C0992"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24</w:t>
            </w:r>
          </w:p>
        </w:tc>
        <w:tc>
          <w:tcPr>
            <w:tcW w:w="1183" w:type="dxa"/>
            <w:shd w:val="clear" w:color="auto" w:fill="auto"/>
          </w:tcPr>
          <w:p w14:paraId="16D7D70C"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91</w:t>
            </w:r>
            <w:r>
              <w:rPr>
                <w:rFonts w:ascii="Times New Roman" w:hAnsi="Times New Roman"/>
              </w:rPr>
              <w:t>.</w:t>
            </w:r>
            <w:r w:rsidRPr="00F45C5A">
              <w:rPr>
                <w:rFonts w:ascii="Times New Roman" w:hAnsi="Times New Roman"/>
              </w:rPr>
              <w:t>6</w:t>
            </w:r>
          </w:p>
        </w:tc>
      </w:tr>
      <w:tr w:rsidR="00EB02EC" w:rsidRPr="00F07375" w14:paraId="279B9445" w14:textId="77777777" w:rsidTr="00E46F07">
        <w:trPr>
          <w:trHeight w:val="227"/>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474D231F" w14:textId="77777777" w:rsidR="00EB02EC" w:rsidRPr="00F45C5A" w:rsidRDefault="00EB02EC" w:rsidP="00E46F07">
            <w:pPr>
              <w:ind w:left="-108"/>
              <w:jc w:val="both"/>
              <w:rPr>
                <w:rFonts w:ascii="Times New Roman" w:hAnsi="Times New Roman"/>
                <w:b w:val="0"/>
              </w:rPr>
            </w:pPr>
            <w:r>
              <w:rPr>
                <w:rFonts w:ascii="Times New Roman" w:hAnsi="Times New Roman"/>
                <w:b w:val="0"/>
              </w:rPr>
              <w:t>Layout</w:t>
            </w:r>
          </w:p>
        </w:tc>
        <w:tc>
          <w:tcPr>
            <w:tcW w:w="284" w:type="dxa"/>
            <w:shd w:val="clear" w:color="auto" w:fill="auto"/>
          </w:tcPr>
          <w:p w14:paraId="7549447C"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16D53C4A"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0D76A473"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1</w:t>
            </w:r>
          </w:p>
        </w:tc>
        <w:tc>
          <w:tcPr>
            <w:tcW w:w="517" w:type="dxa"/>
            <w:shd w:val="clear" w:color="auto" w:fill="auto"/>
          </w:tcPr>
          <w:p w14:paraId="1B8F80C8"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w:t>
            </w:r>
          </w:p>
        </w:tc>
        <w:tc>
          <w:tcPr>
            <w:tcW w:w="992" w:type="dxa"/>
            <w:shd w:val="clear" w:color="auto" w:fill="auto"/>
          </w:tcPr>
          <w:p w14:paraId="6B4C4A8D"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11</w:t>
            </w:r>
          </w:p>
        </w:tc>
        <w:tc>
          <w:tcPr>
            <w:tcW w:w="992" w:type="dxa"/>
            <w:shd w:val="clear" w:color="auto" w:fill="auto"/>
          </w:tcPr>
          <w:p w14:paraId="68D4F184"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3</w:t>
            </w:r>
          </w:p>
        </w:tc>
        <w:tc>
          <w:tcPr>
            <w:tcW w:w="1134" w:type="dxa"/>
            <w:shd w:val="clear" w:color="auto" w:fill="auto"/>
          </w:tcPr>
          <w:p w14:paraId="4C423D2E"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12</w:t>
            </w:r>
          </w:p>
        </w:tc>
        <w:tc>
          <w:tcPr>
            <w:tcW w:w="1183" w:type="dxa"/>
            <w:shd w:val="clear" w:color="auto" w:fill="auto"/>
          </w:tcPr>
          <w:p w14:paraId="2431DA97" w14:textId="77777777" w:rsidR="00EB02EC" w:rsidRPr="00F45C5A" w:rsidRDefault="00EB02EC"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91</w:t>
            </w:r>
            <w:r>
              <w:rPr>
                <w:rFonts w:ascii="Times New Roman" w:hAnsi="Times New Roman"/>
              </w:rPr>
              <w:t>.</w:t>
            </w:r>
            <w:r w:rsidRPr="00F45C5A">
              <w:rPr>
                <w:rFonts w:ascii="Times New Roman" w:hAnsi="Times New Roman"/>
              </w:rPr>
              <w:t>6</w:t>
            </w:r>
          </w:p>
        </w:tc>
      </w:tr>
      <w:tr w:rsidR="00EB02EC" w:rsidRPr="00F07375" w14:paraId="690A1113" w14:textId="77777777" w:rsidTr="00E46F07">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1693E480" w14:textId="77777777" w:rsidR="00EB02EC" w:rsidRPr="00F45C5A" w:rsidRDefault="00EB02EC" w:rsidP="00E46F07">
            <w:pPr>
              <w:ind w:left="-108"/>
              <w:jc w:val="both"/>
              <w:rPr>
                <w:rFonts w:ascii="Times New Roman" w:hAnsi="Times New Roman"/>
                <w:b w:val="0"/>
              </w:rPr>
            </w:pPr>
            <w:r>
              <w:rPr>
                <w:rFonts w:ascii="Times New Roman" w:hAnsi="Times New Roman"/>
                <w:b w:val="0"/>
              </w:rPr>
              <w:t>Total</w:t>
            </w:r>
          </w:p>
        </w:tc>
        <w:tc>
          <w:tcPr>
            <w:tcW w:w="1368" w:type="dxa"/>
            <w:gridSpan w:val="4"/>
            <w:shd w:val="clear" w:color="auto" w:fill="auto"/>
          </w:tcPr>
          <w:p w14:paraId="42B1B647" w14:textId="77777777" w:rsidR="00EB02EC" w:rsidRPr="00F45C5A" w:rsidRDefault="00EB02EC"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2" w:type="dxa"/>
            <w:shd w:val="clear" w:color="auto" w:fill="auto"/>
          </w:tcPr>
          <w:p w14:paraId="36AA88FA"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54</w:t>
            </w:r>
          </w:p>
        </w:tc>
        <w:tc>
          <w:tcPr>
            <w:tcW w:w="992" w:type="dxa"/>
            <w:shd w:val="clear" w:color="auto" w:fill="auto"/>
          </w:tcPr>
          <w:p w14:paraId="4755A7BA"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15</w:t>
            </w:r>
          </w:p>
        </w:tc>
        <w:tc>
          <w:tcPr>
            <w:tcW w:w="1134" w:type="dxa"/>
            <w:shd w:val="clear" w:color="auto" w:fill="auto"/>
          </w:tcPr>
          <w:p w14:paraId="3C105A4B"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60</w:t>
            </w:r>
          </w:p>
        </w:tc>
        <w:tc>
          <w:tcPr>
            <w:tcW w:w="1183" w:type="dxa"/>
            <w:shd w:val="clear" w:color="auto" w:fill="auto"/>
          </w:tcPr>
          <w:p w14:paraId="5A64D346" w14:textId="77777777" w:rsidR="00EB02EC" w:rsidRPr="00F45C5A" w:rsidRDefault="00EB02EC"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90</w:t>
            </w:r>
            <w:r>
              <w:rPr>
                <w:rFonts w:ascii="Times New Roman" w:hAnsi="Times New Roman"/>
                <w:b/>
              </w:rPr>
              <w:t>.</w:t>
            </w:r>
            <w:r w:rsidRPr="00F45C5A">
              <w:rPr>
                <w:rFonts w:ascii="Times New Roman" w:hAnsi="Times New Roman"/>
                <w:b/>
              </w:rPr>
              <w:t>2</w:t>
            </w:r>
          </w:p>
        </w:tc>
      </w:tr>
    </w:tbl>
    <w:p w14:paraId="423DEE47" w14:textId="77777777" w:rsidR="00EB02EC" w:rsidRDefault="00EB02EC" w:rsidP="00EB02EC">
      <w:pPr>
        <w:jc w:val="center"/>
        <w:rPr>
          <w:b/>
        </w:rPr>
      </w:pPr>
    </w:p>
    <w:p w14:paraId="5CEAF49B" w14:textId="696A349D" w:rsidR="00EB02EC" w:rsidRDefault="00EB02EC" w:rsidP="00EB02EC">
      <w:pPr>
        <w:jc w:val="center"/>
        <w:rPr>
          <w:b/>
        </w:rPr>
      </w:pPr>
      <w:r>
        <w:rPr>
          <w:noProof/>
          <w:szCs w:val="24"/>
        </w:rPr>
        <w:drawing>
          <wp:inline distT="0" distB="0" distL="0" distR="0" wp14:anchorId="499DD1A6" wp14:editId="132AE1EF">
            <wp:extent cx="2787132" cy="1781175"/>
            <wp:effectExtent l="0" t="0" r="698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7154D6" w14:textId="77777777" w:rsidR="00EB02EC" w:rsidRDefault="00EB02EC" w:rsidP="00EB02EC">
      <w:pPr>
        <w:jc w:val="center"/>
        <w:rPr>
          <w:b/>
        </w:rPr>
      </w:pPr>
    </w:p>
    <w:p w14:paraId="3CB6BDD8" w14:textId="049CEE75" w:rsidR="00EB02EC" w:rsidRPr="00025BA5" w:rsidRDefault="00EB02EC" w:rsidP="00EB02EC">
      <w:pPr>
        <w:jc w:val="center"/>
        <w:rPr>
          <w:b/>
        </w:rPr>
      </w:pPr>
      <w:r w:rsidRPr="00EB02EC">
        <w:rPr>
          <w:b/>
          <w:sz w:val="20"/>
        </w:rPr>
        <w:t>FIGURE 4</w:t>
      </w:r>
      <w:r w:rsidRPr="00025BA5">
        <w:rPr>
          <w:b/>
        </w:rPr>
        <w:t xml:space="preserve">. </w:t>
      </w:r>
      <w:r w:rsidRPr="00EB02EC">
        <w:rPr>
          <w:bCs/>
          <w:sz w:val="18"/>
          <w:szCs w:val="18"/>
        </w:rPr>
        <w:t>Media Eligibility Results</w:t>
      </w:r>
    </w:p>
    <w:p w14:paraId="691200D7" w14:textId="77777777" w:rsidR="00EB02EC" w:rsidRDefault="00EB02EC" w:rsidP="003F31C6">
      <w:pPr>
        <w:pStyle w:val="Paragraph"/>
      </w:pPr>
    </w:p>
    <w:p w14:paraId="676326AF" w14:textId="025A4AE7" w:rsidR="00EB02EC" w:rsidRDefault="00EB02EC" w:rsidP="00EB02EC">
      <w:pPr>
        <w:pStyle w:val="Paragraph"/>
        <w:ind w:firstLine="0"/>
      </w:pPr>
    </w:p>
    <w:p w14:paraId="4E18AB5B" w14:textId="5513DC00" w:rsidR="00D83072" w:rsidRPr="00D83072" w:rsidRDefault="00D83072" w:rsidP="00D83072">
      <w:pPr>
        <w:pStyle w:val="Paragraph"/>
        <w:rPr>
          <w:bCs/>
        </w:rPr>
      </w:pPr>
      <w:r w:rsidRPr="00D83072">
        <w:rPr>
          <w:bCs/>
        </w:rPr>
        <w:t>Based on the results of the media expert validation test, the percentage of the display aspect is 87.5%, the language is 91.6%, and the layout aspect is 91.6%. The average percentage of eligibility obtained is 90.2%. The average percentage shows that the poster media from the media side is included in the very feasible category to be implemented in learning.</w:t>
      </w:r>
    </w:p>
    <w:p w14:paraId="2372AE08" w14:textId="77777777" w:rsidR="00D83072" w:rsidRPr="00D83072" w:rsidRDefault="00D83072" w:rsidP="00D83072">
      <w:pPr>
        <w:pStyle w:val="Paragraph"/>
        <w:rPr>
          <w:bCs/>
        </w:rPr>
      </w:pPr>
    </w:p>
    <w:p w14:paraId="5CF83ABC" w14:textId="3CD4A96A" w:rsidR="00EB02EC" w:rsidRDefault="00D83072" w:rsidP="00D83072">
      <w:pPr>
        <w:pStyle w:val="Paragraph"/>
        <w:ind w:firstLine="0"/>
        <w:rPr>
          <w:bCs/>
        </w:rPr>
      </w:pPr>
      <w:r w:rsidRPr="00D83072">
        <w:rPr>
          <w:bCs/>
        </w:rPr>
        <w:lastRenderedPageBreak/>
        <w:t>To see the feasibility of the media from user perceptions, a small group trial was conducted. The limited trial activity was carried out with 3 students of the Building Engineering Education Study Program. The data on the results of user trials can be seen in the following table.</w:t>
      </w:r>
    </w:p>
    <w:p w14:paraId="45742611" w14:textId="77777777" w:rsidR="00D83072" w:rsidRDefault="00D83072" w:rsidP="00D83072">
      <w:pPr>
        <w:pStyle w:val="Paragraph"/>
        <w:ind w:firstLine="0"/>
        <w:rPr>
          <w:bCs/>
        </w:rPr>
      </w:pPr>
    </w:p>
    <w:p w14:paraId="4843ABA5" w14:textId="53D018E5" w:rsidR="00D83072" w:rsidRDefault="00D83072" w:rsidP="00D83072">
      <w:pPr>
        <w:ind w:left="-142"/>
        <w:jc w:val="center"/>
        <w:rPr>
          <w:b/>
          <w:bCs/>
        </w:rPr>
      </w:pPr>
      <w:r w:rsidRPr="00D83072">
        <w:rPr>
          <w:b/>
          <w:bCs/>
          <w:sz w:val="20"/>
        </w:rPr>
        <w:t>T</w:t>
      </w:r>
      <w:r>
        <w:rPr>
          <w:b/>
          <w:bCs/>
          <w:sz w:val="20"/>
        </w:rPr>
        <w:t>ABLE</w:t>
      </w:r>
      <w:r w:rsidRPr="00D83072">
        <w:rPr>
          <w:b/>
          <w:bCs/>
          <w:sz w:val="20"/>
        </w:rPr>
        <w:t xml:space="preserve"> 7.</w:t>
      </w:r>
      <w:r w:rsidRPr="00025BA5">
        <w:rPr>
          <w:b/>
          <w:bCs/>
        </w:rPr>
        <w:t xml:space="preserve"> </w:t>
      </w:r>
      <w:r w:rsidRPr="00D83072">
        <w:rPr>
          <w:sz w:val="18"/>
          <w:szCs w:val="18"/>
        </w:rPr>
        <w:t>Limited Trial Results Data</w:t>
      </w:r>
    </w:p>
    <w:p w14:paraId="5C5C7FDD" w14:textId="77777777" w:rsidR="00D83072" w:rsidRPr="00025BA5" w:rsidRDefault="00D83072" w:rsidP="00D83072">
      <w:pPr>
        <w:ind w:left="-142"/>
        <w:jc w:val="center"/>
        <w:rPr>
          <w:b/>
          <w:bCs/>
        </w:rPr>
      </w:pPr>
    </w:p>
    <w:tbl>
      <w:tblPr>
        <w:tblStyle w:val="LightShading"/>
        <w:tblW w:w="6751" w:type="dxa"/>
        <w:jc w:val="center"/>
        <w:tblLayout w:type="fixed"/>
        <w:tblLook w:val="04A0" w:firstRow="1" w:lastRow="0" w:firstColumn="1" w:lastColumn="0" w:noHBand="0" w:noVBand="1"/>
      </w:tblPr>
      <w:tblGrid>
        <w:gridCol w:w="1082"/>
        <w:gridCol w:w="284"/>
        <w:gridCol w:w="283"/>
        <w:gridCol w:w="284"/>
        <w:gridCol w:w="517"/>
        <w:gridCol w:w="992"/>
        <w:gridCol w:w="992"/>
        <w:gridCol w:w="1134"/>
        <w:gridCol w:w="1183"/>
      </w:tblGrid>
      <w:tr w:rsidR="00D83072" w:rsidRPr="00F07375" w14:paraId="1AAF3F7A" w14:textId="77777777" w:rsidTr="00E46F07">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366" w:type="dxa"/>
            <w:gridSpan w:val="2"/>
          </w:tcPr>
          <w:p w14:paraId="671CB39A" w14:textId="77777777" w:rsidR="00D83072" w:rsidRPr="00F45C5A" w:rsidRDefault="00D83072" w:rsidP="00E46F07">
            <w:pPr>
              <w:jc w:val="both"/>
              <w:rPr>
                <w:rFonts w:ascii="Times New Roman" w:hAnsi="Times New Roman"/>
                <w:b w:val="0"/>
              </w:rPr>
            </w:pPr>
            <w:r w:rsidRPr="00F45C5A">
              <w:rPr>
                <w:rFonts w:ascii="Times New Roman" w:hAnsi="Times New Roman"/>
                <w:b w:val="0"/>
              </w:rPr>
              <w:t>Aspect</w:t>
            </w:r>
          </w:p>
        </w:tc>
        <w:tc>
          <w:tcPr>
            <w:tcW w:w="1084" w:type="dxa"/>
            <w:gridSpan w:val="3"/>
          </w:tcPr>
          <w:p w14:paraId="532312E8" w14:textId="77777777" w:rsidR="00D83072" w:rsidRPr="00F45C5A" w:rsidRDefault="00D83072"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Frequency</w:t>
            </w:r>
          </w:p>
        </w:tc>
        <w:tc>
          <w:tcPr>
            <w:tcW w:w="992" w:type="dxa"/>
          </w:tcPr>
          <w:p w14:paraId="039920B5" w14:textId="77777777" w:rsidR="00D83072" w:rsidRPr="00F45C5A" w:rsidRDefault="00D83072"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Total Score</w:t>
            </w:r>
          </w:p>
        </w:tc>
        <w:tc>
          <w:tcPr>
            <w:tcW w:w="992" w:type="dxa"/>
          </w:tcPr>
          <w:p w14:paraId="24886BBD" w14:textId="77777777" w:rsidR="00D83072" w:rsidRPr="00F45C5A" w:rsidRDefault="00D83072" w:rsidP="00E46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Total Point</w:t>
            </w:r>
          </w:p>
        </w:tc>
        <w:tc>
          <w:tcPr>
            <w:tcW w:w="1134" w:type="dxa"/>
          </w:tcPr>
          <w:p w14:paraId="2099FD0A" w14:textId="77777777" w:rsidR="00D83072" w:rsidRPr="00F45C5A" w:rsidRDefault="00D83072" w:rsidP="00E46F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Max Score</w:t>
            </w:r>
          </w:p>
        </w:tc>
        <w:tc>
          <w:tcPr>
            <w:tcW w:w="1183" w:type="dxa"/>
          </w:tcPr>
          <w:p w14:paraId="4E8D3822" w14:textId="77777777" w:rsidR="00D83072" w:rsidRPr="00F45C5A" w:rsidRDefault="00D83072" w:rsidP="00E46F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45C5A">
              <w:rPr>
                <w:rFonts w:ascii="Times New Roman" w:hAnsi="Times New Roman"/>
                <w:b w:val="0"/>
              </w:rPr>
              <w:t>Percentage (%)</w:t>
            </w:r>
          </w:p>
        </w:tc>
      </w:tr>
      <w:tr w:rsidR="00D83072" w:rsidRPr="00F07375" w14:paraId="605E840E" w14:textId="77777777" w:rsidTr="00E46F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5022FDF7" w14:textId="77777777" w:rsidR="00D83072" w:rsidRPr="00F45C5A" w:rsidRDefault="00D83072" w:rsidP="00E46F07">
            <w:pPr>
              <w:jc w:val="both"/>
              <w:rPr>
                <w:rFonts w:ascii="Times New Roman" w:hAnsi="Times New Roman"/>
                <w:b w:val="0"/>
              </w:rPr>
            </w:pPr>
          </w:p>
        </w:tc>
        <w:tc>
          <w:tcPr>
            <w:tcW w:w="284" w:type="dxa"/>
            <w:shd w:val="clear" w:color="auto" w:fill="auto"/>
          </w:tcPr>
          <w:p w14:paraId="6975D3FB"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1</w:t>
            </w:r>
          </w:p>
        </w:tc>
        <w:tc>
          <w:tcPr>
            <w:tcW w:w="283" w:type="dxa"/>
            <w:shd w:val="clear" w:color="auto" w:fill="auto"/>
          </w:tcPr>
          <w:p w14:paraId="6852298F"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2</w:t>
            </w:r>
          </w:p>
        </w:tc>
        <w:tc>
          <w:tcPr>
            <w:tcW w:w="284" w:type="dxa"/>
            <w:shd w:val="clear" w:color="auto" w:fill="auto"/>
          </w:tcPr>
          <w:p w14:paraId="331149F0"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3</w:t>
            </w:r>
          </w:p>
        </w:tc>
        <w:tc>
          <w:tcPr>
            <w:tcW w:w="517" w:type="dxa"/>
            <w:shd w:val="clear" w:color="auto" w:fill="auto"/>
          </w:tcPr>
          <w:p w14:paraId="394E40BF"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45C5A">
              <w:rPr>
                <w:rFonts w:ascii="Times New Roman" w:hAnsi="Times New Roman"/>
                <w:b/>
              </w:rPr>
              <w:t>4</w:t>
            </w:r>
          </w:p>
        </w:tc>
        <w:tc>
          <w:tcPr>
            <w:tcW w:w="992" w:type="dxa"/>
            <w:shd w:val="clear" w:color="auto" w:fill="auto"/>
          </w:tcPr>
          <w:p w14:paraId="0A16C0F2" w14:textId="77777777" w:rsidR="00D83072" w:rsidRPr="00F45C5A" w:rsidRDefault="00D83072"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2" w:type="dxa"/>
            <w:shd w:val="clear" w:color="auto" w:fill="auto"/>
          </w:tcPr>
          <w:p w14:paraId="25F4CA6C" w14:textId="77777777" w:rsidR="00D83072" w:rsidRPr="00F45C5A" w:rsidRDefault="00D83072"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34" w:type="dxa"/>
            <w:shd w:val="clear" w:color="auto" w:fill="auto"/>
          </w:tcPr>
          <w:p w14:paraId="3B066827" w14:textId="77777777" w:rsidR="00D83072" w:rsidRPr="00F45C5A" w:rsidRDefault="00D83072"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83" w:type="dxa"/>
            <w:shd w:val="clear" w:color="auto" w:fill="auto"/>
          </w:tcPr>
          <w:p w14:paraId="7FD66E9D" w14:textId="77777777" w:rsidR="00D83072" w:rsidRPr="00F45C5A" w:rsidRDefault="00D83072"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83072" w:rsidRPr="00F07375" w14:paraId="4275CC71" w14:textId="77777777" w:rsidTr="00E46F07">
        <w:trPr>
          <w:trHeight w:val="223"/>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24FCF337" w14:textId="77777777" w:rsidR="00D83072" w:rsidRPr="00F45C5A" w:rsidRDefault="00D83072" w:rsidP="00E46F07">
            <w:pPr>
              <w:ind w:left="-108"/>
              <w:jc w:val="both"/>
              <w:rPr>
                <w:rFonts w:ascii="Times New Roman" w:hAnsi="Times New Roman"/>
                <w:b w:val="0"/>
              </w:rPr>
            </w:pPr>
            <w:r>
              <w:rPr>
                <w:rFonts w:ascii="Times New Roman" w:hAnsi="Times New Roman"/>
                <w:b w:val="0"/>
              </w:rPr>
              <w:t>Language</w:t>
            </w:r>
          </w:p>
        </w:tc>
        <w:tc>
          <w:tcPr>
            <w:tcW w:w="284" w:type="dxa"/>
            <w:shd w:val="clear" w:color="auto" w:fill="auto"/>
          </w:tcPr>
          <w:p w14:paraId="170B4E90"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27D1AC07"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31C1477C"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3</w:t>
            </w:r>
          </w:p>
        </w:tc>
        <w:tc>
          <w:tcPr>
            <w:tcW w:w="517" w:type="dxa"/>
            <w:shd w:val="clear" w:color="auto" w:fill="auto"/>
          </w:tcPr>
          <w:p w14:paraId="5EE029B3"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992" w:type="dxa"/>
            <w:shd w:val="clear" w:color="auto" w:fill="auto"/>
          </w:tcPr>
          <w:p w14:paraId="58ACA712"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w:t>
            </w:r>
            <w:r>
              <w:rPr>
                <w:rFonts w:ascii="Times New Roman" w:hAnsi="Times New Roman"/>
              </w:rPr>
              <w:t>5</w:t>
            </w:r>
          </w:p>
        </w:tc>
        <w:tc>
          <w:tcPr>
            <w:tcW w:w="992" w:type="dxa"/>
            <w:shd w:val="clear" w:color="auto" w:fill="auto"/>
          </w:tcPr>
          <w:p w14:paraId="72923EB8"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w:t>
            </w:r>
          </w:p>
        </w:tc>
        <w:tc>
          <w:tcPr>
            <w:tcW w:w="1134" w:type="dxa"/>
            <w:shd w:val="clear" w:color="auto" w:fill="auto"/>
          </w:tcPr>
          <w:p w14:paraId="6F7D093C"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2</w:t>
            </w:r>
            <w:r>
              <w:rPr>
                <w:rFonts w:ascii="Times New Roman" w:hAnsi="Times New Roman"/>
              </w:rPr>
              <w:t>8</w:t>
            </w:r>
          </w:p>
        </w:tc>
        <w:tc>
          <w:tcPr>
            <w:tcW w:w="1183" w:type="dxa"/>
            <w:shd w:val="clear" w:color="auto" w:fill="auto"/>
          </w:tcPr>
          <w:p w14:paraId="2AD82E52"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8</w:t>
            </w:r>
            <w:r>
              <w:rPr>
                <w:rFonts w:ascii="Times New Roman" w:hAnsi="Times New Roman"/>
              </w:rPr>
              <w:t>9.3</w:t>
            </w:r>
          </w:p>
        </w:tc>
      </w:tr>
      <w:tr w:rsidR="00D83072" w:rsidRPr="00F07375" w14:paraId="5B247FFE" w14:textId="77777777" w:rsidTr="00E46F0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3C30DDEC" w14:textId="77777777" w:rsidR="00D83072" w:rsidRPr="00F45C5A" w:rsidRDefault="00D83072" w:rsidP="00E46F07">
            <w:pPr>
              <w:ind w:left="-108"/>
              <w:jc w:val="both"/>
              <w:rPr>
                <w:rFonts w:ascii="Times New Roman" w:hAnsi="Times New Roman"/>
                <w:b w:val="0"/>
              </w:rPr>
            </w:pPr>
            <w:r>
              <w:rPr>
                <w:rFonts w:ascii="Times New Roman" w:hAnsi="Times New Roman"/>
                <w:b w:val="0"/>
              </w:rPr>
              <w:t>Display</w:t>
            </w:r>
          </w:p>
        </w:tc>
        <w:tc>
          <w:tcPr>
            <w:tcW w:w="284" w:type="dxa"/>
            <w:shd w:val="clear" w:color="auto" w:fill="auto"/>
          </w:tcPr>
          <w:p w14:paraId="39BE7C87"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5BBC200E"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5B26B132"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517" w:type="dxa"/>
            <w:shd w:val="clear" w:color="auto" w:fill="auto"/>
          </w:tcPr>
          <w:p w14:paraId="7668AB85"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w:t>
            </w:r>
          </w:p>
        </w:tc>
        <w:tc>
          <w:tcPr>
            <w:tcW w:w="992" w:type="dxa"/>
            <w:shd w:val="clear" w:color="auto" w:fill="auto"/>
          </w:tcPr>
          <w:p w14:paraId="2888FDC9"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45C5A">
              <w:rPr>
                <w:rFonts w:ascii="Times New Roman" w:hAnsi="Times New Roman"/>
              </w:rPr>
              <w:t>2</w:t>
            </w:r>
            <w:r>
              <w:rPr>
                <w:rFonts w:ascii="Times New Roman" w:hAnsi="Times New Roman"/>
              </w:rPr>
              <w:t>7</w:t>
            </w:r>
          </w:p>
        </w:tc>
        <w:tc>
          <w:tcPr>
            <w:tcW w:w="992" w:type="dxa"/>
            <w:shd w:val="clear" w:color="auto" w:fill="auto"/>
          </w:tcPr>
          <w:p w14:paraId="2A7CD439"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w:t>
            </w:r>
          </w:p>
        </w:tc>
        <w:tc>
          <w:tcPr>
            <w:tcW w:w="1134" w:type="dxa"/>
            <w:shd w:val="clear" w:color="auto" w:fill="auto"/>
          </w:tcPr>
          <w:p w14:paraId="11E65E22"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32</w:t>
            </w:r>
          </w:p>
        </w:tc>
        <w:tc>
          <w:tcPr>
            <w:tcW w:w="1183" w:type="dxa"/>
            <w:shd w:val="clear" w:color="auto" w:fill="auto"/>
          </w:tcPr>
          <w:p w14:paraId="4DB60682"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84.3</w:t>
            </w:r>
          </w:p>
        </w:tc>
      </w:tr>
      <w:tr w:rsidR="00D83072" w:rsidRPr="00F07375" w14:paraId="29B1745F" w14:textId="77777777" w:rsidTr="00E46F07">
        <w:trPr>
          <w:trHeight w:val="227"/>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224F1A27" w14:textId="77777777" w:rsidR="00D83072" w:rsidRPr="00F45C5A" w:rsidRDefault="00D83072" w:rsidP="00E46F07">
            <w:pPr>
              <w:ind w:left="-108"/>
              <w:jc w:val="both"/>
              <w:rPr>
                <w:rFonts w:ascii="Times New Roman" w:hAnsi="Times New Roman"/>
                <w:b w:val="0"/>
              </w:rPr>
            </w:pPr>
            <w:r>
              <w:rPr>
                <w:rFonts w:ascii="Times New Roman" w:hAnsi="Times New Roman"/>
                <w:b w:val="0"/>
              </w:rPr>
              <w:t>Benefit</w:t>
            </w:r>
          </w:p>
        </w:tc>
        <w:tc>
          <w:tcPr>
            <w:tcW w:w="284" w:type="dxa"/>
            <w:shd w:val="clear" w:color="auto" w:fill="auto"/>
          </w:tcPr>
          <w:p w14:paraId="4FAB0CB4"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3" w:type="dxa"/>
            <w:shd w:val="clear" w:color="auto" w:fill="auto"/>
          </w:tcPr>
          <w:p w14:paraId="70133A9E"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45C5A">
              <w:rPr>
                <w:rFonts w:ascii="Times New Roman" w:hAnsi="Times New Roman"/>
              </w:rPr>
              <w:t>0</w:t>
            </w:r>
          </w:p>
        </w:tc>
        <w:tc>
          <w:tcPr>
            <w:tcW w:w="284" w:type="dxa"/>
            <w:shd w:val="clear" w:color="auto" w:fill="auto"/>
          </w:tcPr>
          <w:p w14:paraId="2CBCA873"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517" w:type="dxa"/>
            <w:shd w:val="clear" w:color="auto" w:fill="auto"/>
          </w:tcPr>
          <w:p w14:paraId="5C9710BA"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992" w:type="dxa"/>
            <w:shd w:val="clear" w:color="auto" w:fill="auto"/>
          </w:tcPr>
          <w:p w14:paraId="2A699E51"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r w:rsidRPr="00F45C5A">
              <w:rPr>
                <w:rFonts w:ascii="Times New Roman" w:hAnsi="Times New Roman"/>
              </w:rPr>
              <w:t>1</w:t>
            </w:r>
          </w:p>
        </w:tc>
        <w:tc>
          <w:tcPr>
            <w:tcW w:w="992" w:type="dxa"/>
            <w:shd w:val="clear" w:color="auto" w:fill="auto"/>
          </w:tcPr>
          <w:p w14:paraId="30EB4EBC"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p>
        </w:tc>
        <w:tc>
          <w:tcPr>
            <w:tcW w:w="1134" w:type="dxa"/>
            <w:shd w:val="clear" w:color="auto" w:fill="auto"/>
          </w:tcPr>
          <w:p w14:paraId="4E385CCF"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24</w:t>
            </w:r>
          </w:p>
        </w:tc>
        <w:tc>
          <w:tcPr>
            <w:tcW w:w="1183" w:type="dxa"/>
            <w:shd w:val="clear" w:color="auto" w:fill="auto"/>
          </w:tcPr>
          <w:p w14:paraId="634D5B39" w14:textId="77777777" w:rsidR="00D83072" w:rsidRPr="00F45C5A" w:rsidRDefault="00D83072" w:rsidP="00E46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87.5</w:t>
            </w:r>
          </w:p>
        </w:tc>
      </w:tr>
      <w:tr w:rsidR="00D83072" w:rsidRPr="00F07375" w14:paraId="73D34A0B" w14:textId="77777777" w:rsidTr="00E46F07">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14:paraId="17CA321D" w14:textId="77777777" w:rsidR="00D83072" w:rsidRPr="00F45C5A" w:rsidRDefault="00D83072" w:rsidP="00E46F07">
            <w:pPr>
              <w:ind w:left="-108"/>
              <w:jc w:val="both"/>
              <w:rPr>
                <w:rFonts w:ascii="Times New Roman" w:hAnsi="Times New Roman"/>
                <w:b w:val="0"/>
              </w:rPr>
            </w:pPr>
            <w:r>
              <w:rPr>
                <w:rFonts w:ascii="Times New Roman" w:hAnsi="Times New Roman"/>
                <w:b w:val="0"/>
              </w:rPr>
              <w:t>Total</w:t>
            </w:r>
          </w:p>
        </w:tc>
        <w:tc>
          <w:tcPr>
            <w:tcW w:w="1368" w:type="dxa"/>
            <w:gridSpan w:val="4"/>
            <w:shd w:val="clear" w:color="auto" w:fill="auto"/>
          </w:tcPr>
          <w:p w14:paraId="42F12E98" w14:textId="77777777" w:rsidR="00D83072" w:rsidRPr="00F45C5A" w:rsidRDefault="00D83072" w:rsidP="00E46F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2" w:type="dxa"/>
            <w:shd w:val="clear" w:color="auto" w:fill="auto"/>
          </w:tcPr>
          <w:p w14:paraId="39954F91"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73</w:t>
            </w:r>
          </w:p>
        </w:tc>
        <w:tc>
          <w:tcPr>
            <w:tcW w:w="992" w:type="dxa"/>
            <w:shd w:val="clear" w:color="auto" w:fill="auto"/>
          </w:tcPr>
          <w:p w14:paraId="301A390E"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31</w:t>
            </w:r>
          </w:p>
        </w:tc>
        <w:tc>
          <w:tcPr>
            <w:tcW w:w="1134" w:type="dxa"/>
            <w:shd w:val="clear" w:color="auto" w:fill="auto"/>
          </w:tcPr>
          <w:p w14:paraId="790B9D95"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84</w:t>
            </w:r>
          </w:p>
        </w:tc>
        <w:tc>
          <w:tcPr>
            <w:tcW w:w="1183" w:type="dxa"/>
            <w:shd w:val="clear" w:color="auto" w:fill="auto"/>
          </w:tcPr>
          <w:p w14:paraId="4DA9529E" w14:textId="77777777" w:rsidR="00D83072" w:rsidRPr="00F45C5A" w:rsidRDefault="00D83072" w:rsidP="00E46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87.03</w:t>
            </w:r>
          </w:p>
        </w:tc>
      </w:tr>
    </w:tbl>
    <w:p w14:paraId="0BCC6F40" w14:textId="77777777" w:rsidR="00D83072" w:rsidRDefault="00D83072" w:rsidP="00D83072">
      <w:pPr>
        <w:rPr>
          <w:b/>
        </w:rPr>
      </w:pPr>
    </w:p>
    <w:p w14:paraId="716AC23B" w14:textId="2149C716" w:rsidR="00D83072" w:rsidRDefault="00D83072" w:rsidP="00D83072">
      <w:pPr>
        <w:pStyle w:val="Paragraph"/>
        <w:ind w:firstLine="0"/>
        <w:rPr>
          <w:bCs/>
        </w:rPr>
      </w:pPr>
    </w:p>
    <w:p w14:paraId="66135312" w14:textId="77777777" w:rsidR="00D83072" w:rsidRDefault="00D83072" w:rsidP="00D83072">
      <w:pPr>
        <w:jc w:val="center"/>
        <w:rPr>
          <w:b/>
        </w:rPr>
      </w:pPr>
      <w:r>
        <w:rPr>
          <w:noProof/>
          <w:szCs w:val="24"/>
        </w:rPr>
        <w:drawing>
          <wp:inline distT="0" distB="0" distL="0" distR="0" wp14:anchorId="1843BC26" wp14:editId="7995C91B">
            <wp:extent cx="2886075" cy="1952625"/>
            <wp:effectExtent l="0" t="0" r="9525" b="1587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66C943" w14:textId="51380147" w:rsidR="00D83072" w:rsidRPr="00D83072" w:rsidRDefault="00D83072" w:rsidP="00D83072">
      <w:pPr>
        <w:jc w:val="center"/>
        <w:rPr>
          <w:b/>
          <w:sz w:val="18"/>
          <w:szCs w:val="18"/>
        </w:rPr>
      </w:pPr>
      <w:r w:rsidRPr="00D83072">
        <w:rPr>
          <w:b/>
          <w:sz w:val="20"/>
        </w:rPr>
        <w:t>FIGURE 5.</w:t>
      </w:r>
      <w:r w:rsidRPr="00025BA5">
        <w:rPr>
          <w:b/>
        </w:rPr>
        <w:t xml:space="preserve"> </w:t>
      </w:r>
      <w:r w:rsidRPr="00D83072">
        <w:rPr>
          <w:b/>
          <w:sz w:val="18"/>
          <w:szCs w:val="18"/>
        </w:rPr>
        <w:t>Small Group Trial Results</w:t>
      </w:r>
    </w:p>
    <w:p w14:paraId="26675ACE" w14:textId="77777777" w:rsidR="00D83072" w:rsidRDefault="00D83072" w:rsidP="00D83072">
      <w:pPr>
        <w:pStyle w:val="Paragraph"/>
        <w:ind w:firstLine="0"/>
        <w:rPr>
          <w:bCs/>
        </w:rPr>
      </w:pPr>
    </w:p>
    <w:p w14:paraId="6E1550BD" w14:textId="77777777" w:rsidR="00EB02EC" w:rsidRPr="00075EA6" w:rsidRDefault="00EB02EC" w:rsidP="00EB02EC">
      <w:pPr>
        <w:pStyle w:val="Paragraph"/>
        <w:ind w:firstLine="0"/>
      </w:pPr>
    </w:p>
    <w:p w14:paraId="604D89ED" w14:textId="0F5A7AA3" w:rsidR="00BA3B3D" w:rsidRDefault="00D83072" w:rsidP="00D83072">
      <w:pPr>
        <w:pStyle w:val="Paragraphnumbered"/>
        <w:numPr>
          <w:ilvl w:val="0"/>
          <w:numId w:val="0"/>
        </w:numPr>
        <w:ind w:left="284" w:firstLine="360"/>
      </w:pPr>
      <w:r w:rsidRPr="00D83072">
        <w:t>Based on the results of small group trials, the percentage of the display aspect is 84.3%, the language is 89.3%, and the usability aspect is 87.5%. The average percentage of eligibility obtained is 87.04%. The average percentage of the small group trial shows that the poster media from the user's perception is categorized as very feasible to be implemented in learning.</w:t>
      </w:r>
    </w:p>
    <w:p w14:paraId="1D1F8786" w14:textId="077008C9" w:rsidR="00911DEC" w:rsidRDefault="00911DEC" w:rsidP="00911DEC">
      <w:pPr>
        <w:pStyle w:val="Paragraphnumbered"/>
        <w:numPr>
          <w:ilvl w:val="0"/>
          <w:numId w:val="0"/>
        </w:numPr>
        <w:ind w:left="644" w:hanging="360"/>
      </w:pPr>
    </w:p>
    <w:p w14:paraId="5B92B678" w14:textId="5B96A8E9" w:rsidR="00911DEC" w:rsidRPr="00075EA6" w:rsidRDefault="00911DEC" w:rsidP="00911DEC">
      <w:pPr>
        <w:pStyle w:val="Heading1"/>
      </w:pPr>
      <w:r>
        <w:t>CONCLUSION</w:t>
      </w:r>
    </w:p>
    <w:p w14:paraId="6401B72D" w14:textId="537454DA" w:rsidR="0039376F" w:rsidRDefault="00911DEC" w:rsidP="00911DEC">
      <w:pPr>
        <w:pStyle w:val="Paragraphnumbered"/>
        <w:numPr>
          <w:ilvl w:val="0"/>
          <w:numId w:val="0"/>
        </w:numPr>
        <w:ind w:firstLine="284"/>
      </w:pPr>
      <w:r w:rsidRPr="00911DEC">
        <w:t>The results showed that: (1) The validation of the material experts got a score of 84.85 which was included in the valid category; (2) Validation from media experts gets a score of 90.2 which is included in the Very Eligible category; (3) small group trials, the percentage of the aspect of the display is 84.3%, the language is 89.3%, and the usability aspect is 87.5%. The average percentage of eligibility obtained is 87.04%. The average percentage of the small group trial shows that the poster media from the user's perception is categorized as very feasible to be implemented in learning.</w:t>
      </w:r>
      <w:r w:rsidR="00CD10A6">
        <w:t xml:space="preserve"> </w:t>
      </w:r>
      <w:r w:rsidR="004470AC" w:rsidRPr="00214A38">
        <w:t>Further research on occupational safety and health posters using the Hazard, Identification, Risk, and Assessment (HIRA) method is also needed. It aims to deepen the results obtained in the prevention of work accidents in the Vocational Education laboratory.</w:t>
      </w:r>
    </w:p>
    <w:p w14:paraId="560F306D" w14:textId="6DCEEA74" w:rsidR="00911DEC" w:rsidRPr="00911DEC" w:rsidRDefault="00911DEC" w:rsidP="00911DEC">
      <w:pPr>
        <w:pStyle w:val="Heading1"/>
      </w:pPr>
      <w:r>
        <w:t>ACKNOWLEDGMENTS</w:t>
      </w:r>
    </w:p>
    <w:p w14:paraId="30DD149D" w14:textId="30E822D0" w:rsidR="0039376F" w:rsidRPr="00075EA6" w:rsidRDefault="00911DEC" w:rsidP="00A314BB">
      <w:pPr>
        <w:pStyle w:val="Paragraph"/>
        <w:rPr>
          <w:lang w:val="en-GB" w:eastAsia="en-GB"/>
        </w:rPr>
      </w:pPr>
      <w:r w:rsidRPr="00911DEC">
        <w:rPr>
          <w:lang w:val="en-GB" w:eastAsia="en-GB"/>
        </w:rPr>
        <w:t>Thank you to all the research team who helped with this research and the seminar committee who published the results of this research</w:t>
      </w:r>
      <w:r w:rsidR="004470AC">
        <w:rPr>
          <w:lang w:val="en-GB" w:eastAsia="en-GB"/>
        </w:rPr>
        <w:t>.</w:t>
      </w:r>
    </w:p>
    <w:p w14:paraId="74D4F45E" w14:textId="7EA26380" w:rsidR="00613B4D" w:rsidRPr="00911DEC" w:rsidRDefault="0016385D" w:rsidP="00911DEC">
      <w:pPr>
        <w:pStyle w:val="Heading1"/>
        <w:rPr>
          <w:rFonts w:asciiTheme="majorBidi" w:hAnsiTheme="majorBidi" w:cstheme="majorBidi"/>
        </w:rPr>
      </w:pPr>
      <w:r w:rsidRPr="00075EA6">
        <w:rPr>
          <w:rFonts w:asciiTheme="majorBidi" w:hAnsiTheme="majorBidi" w:cstheme="majorBidi"/>
        </w:rPr>
        <w:lastRenderedPageBreak/>
        <w:t>References</w:t>
      </w:r>
    </w:p>
    <w:p w14:paraId="333B186A" w14:textId="39767EBA" w:rsidR="00911DEC" w:rsidRDefault="00911DEC" w:rsidP="00911DEC">
      <w:pPr>
        <w:pStyle w:val="Reference"/>
      </w:pPr>
      <w:proofErr w:type="spellStart"/>
      <w:r w:rsidRPr="00025BA5">
        <w:t>Gusmida</w:t>
      </w:r>
      <w:proofErr w:type="spellEnd"/>
      <w:r w:rsidRPr="00025BA5">
        <w:t xml:space="preserve">, R &amp; </w:t>
      </w:r>
      <w:proofErr w:type="spellStart"/>
      <w:r w:rsidRPr="00025BA5">
        <w:t>Islami</w:t>
      </w:r>
      <w:proofErr w:type="spellEnd"/>
      <w:r w:rsidRPr="00025BA5">
        <w:t xml:space="preserve">, N. </w:t>
      </w:r>
      <w:r w:rsidRPr="00911DEC">
        <w:rPr>
          <w:i/>
          <w:iCs/>
        </w:rPr>
        <w:t>“The Development of Learning Media for the Kinetic Theory of Gases Using the ADDIE Model with Augmented Reality”</w:t>
      </w:r>
      <w:r w:rsidRPr="00025BA5">
        <w:t xml:space="preserve">, </w:t>
      </w:r>
      <w:r w:rsidRPr="00911DEC">
        <w:t>Journal of Educational Science</w:t>
      </w:r>
      <w:r w:rsidRPr="00025BA5">
        <w:t>, Vol. 1, No. 1, pp.1-10, 2017.</w:t>
      </w:r>
    </w:p>
    <w:p w14:paraId="7D247ACA" w14:textId="391308B5" w:rsidR="00911DEC" w:rsidRDefault="00911DEC" w:rsidP="00911DEC">
      <w:pPr>
        <w:pStyle w:val="Reference"/>
      </w:pPr>
      <w:r w:rsidRPr="00025BA5">
        <w:t xml:space="preserve">Efendi, A dan </w:t>
      </w:r>
      <w:proofErr w:type="spellStart"/>
      <w:r w:rsidRPr="00025BA5">
        <w:t>Komarudin</w:t>
      </w:r>
      <w:proofErr w:type="spellEnd"/>
      <w:r w:rsidRPr="00025BA5">
        <w:t xml:space="preserve">, D, </w:t>
      </w:r>
      <w:r w:rsidRPr="00911DEC">
        <w:rPr>
          <w:i/>
          <w:iCs/>
        </w:rPr>
        <w:t>“Evaluation of the Application of Occupational Safety and Health (OSH) at the Subang State Polytechnic Laboratory”,</w:t>
      </w:r>
      <w:r w:rsidRPr="00025BA5">
        <w:t xml:space="preserve"> </w:t>
      </w:r>
      <w:r w:rsidRPr="00911DEC">
        <w:t>Journal Automotive Experience</w:t>
      </w:r>
      <w:r w:rsidRPr="00025BA5">
        <w:rPr>
          <w:i/>
          <w:iCs/>
        </w:rPr>
        <w:t>,</w:t>
      </w:r>
      <w:r w:rsidRPr="00025BA5">
        <w:t xml:space="preserve"> Vol. 2 No. 1 pp. 9-14, 2019.</w:t>
      </w:r>
    </w:p>
    <w:p w14:paraId="7B878C61" w14:textId="53C3F62B" w:rsidR="00911DEC" w:rsidRPr="00025BA5" w:rsidRDefault="00911DEC" w:rsidP="00911DEC">
      <w:pPr>
        <w:pStyle w:val="Reference"/>
      </w:pPr>
      <w:r w:rsidRPr="00025BA5">
        <w:t xml:space="preserve">Efendi, A dan </w:t>
      </w:r>
      <w:proofErr w:type="spellStart"/>
      <w:r w:rsidRPr="00025BA5">
        <w:t>Sinung</w:t>
      </w:r>
      <w:proofErr w:type="spellEnd"/>
      <w:r w:rsidRPr="00025BA5">
        <w:t xml:space="preserve">, </w:t>
      </w:r>
      <w:proofErr w:type="gramStart"/>
      <w:r w:rsidRPr="00025BA5">
        <w:t>Y,N</w:t>
      </w:r>
      <w:proofErr w:type="gramEnd"/>
      <w:r w:rsidRPr="00025BA5">
        <w:t xml:space="preserve"> , </w:t>
      </w:r>
      <w:r w:rsidRPr="00911DEC">
        <w:rPr>
          <w:i/>
          <w:iCs/>
        </w:rPr>
        <w:t>“Has the Electrical Laboratory of Subang State Polytechnic Applied Occupational Safety and Health? Evaluation Report in 2019,</w:t>
      </w:r>
      <w:r w:rsidRPr="00025BA5">
        <w:t xml:space="preserve"> </w:t>
      </w:r>
      <w:r w:rsidRPr="00911DEC">
        <w:t>Journal Automotive Experience,</w:t>
      </w:r>
      <w:r w:rsidRPr="00025BA5">
        <w:t xml:space="preserve"> Vol. 2 No. 2 pp. 47-52, 2019.</w:t>
      </w:r>
    </w:p>
    <w:p w14:paraId="1A216A8A" w14:textId="4960F53A" w:rsidR="00911DEC" w:rsidRPr="00025BA5" w:rsidRDefault="00911DEC" w:rsidP="00911DEC">
      <w:pPr>
        <w:pStyle w:val="Reference"/>
      </w:pPr>
      <w:proofErr w:type="spellStart"/>
      <w:r w:rsidRPr="00025BA5">
        <w:t>Supandi</w:t>
      </w:r>
      <w:proofErr w:type="spellEnd"/>
      <w:r w:rsidRPr="00025BA5">
        <w:t xml:space="preserve">, M &amp; Senam, S, </w:t>
      </w:r>
      <w:r w:rsidRPr="00911DEC">
        <w:rPr>
          <w:i/>
          <w:iCs/>
        </w:rPr>
        <w:t xml:space="preserve">“Development of science learning media-based local wisdom </w:t>
      </w:r>
      <w:proofErr w:type="spellStart"/>
      <w:r w:rsidRPr="00911DEC">
        <w:rPr>
          <w:i/>
          <w:iCs/>
        </w:rPr>
        <w:t>Batui</w:t>
      </w:r>
      <w:proofErr w:type="spellEnd"/>
      <w:r w:rsidRPr="00911DEC">
        <w:rPr>
          <w:i/>
          <w:iCs/>
        </w:rPr>
        <w:t xml:space="preserve"> to improve critical thinking ability”</w:t>
      </w:r>
      <w:r w:rsidRPr="00025BA5">
        <w:t xml:space="preserve"> </w:t>
      </w:r>
      <w:proofErr w:type="spellStart"/>
      <w:r w:rsidRPr="00911DEC">
        <w:t>Jurnal</w:t>
      </w:r>
      <w:proofErr w:type="spellEnd"/>
      <w:r w:rsidRPr="00911DEC">
        <w:t xml:space="preserve"> Pendidikan dan </w:t>
      </w:r>
      <w:proofErr w:type="spellStart"/>
      <w:r w:rsidRPr="00911DEC">
        <w:t>Pengajaran</w:t>
      </w:r>
      <w:proofErr w:type="spellEnd"/>
      <w:r w:rsidRPr="00025BA5">
        <w:rPr>
          <w:i/>
          <w:iCs/>
        </w:rPr>
        <w:t>,</w:t>
      </w:r>
      <w:r w:rsidRPr="00025BA5">
        <w:t xml:space="preserve"> Vol. 52 No. 3, pp.163-171, 2020.</w:t>
      </w:r>
    </w:p>
    <w:p w14:paraId="0F00E902" w14:textId="7DE5943C" w:rsidR="00911DEC" w:rsidRPr="00025BA5" w:rsidRDefault="00911DEC" w:rsidP="00911DEC">
      <w:pPr>
        <w:pStyle w:val="Reference"/>
      </w:pPr>
      <w:proofErr w:type="spellStart"/>
      <w:r w:rsidRPr="00025BA5">
        <w:t>Pahmi</w:t>
      </w:r>
      <w:proofErr w:type="spellEnd"/>
      <w:r w:rsidRPr="00025BA5">
        <w:t xml:space="preserve"> &amp; </w:t>
      </w:r>
      <w:proofErr w:type="spellStart"/>
      <w:r w:rsidRPr="00025BA5">
        <w:t>Syahfutra</w:t>
      </w:r>
      <w:proofErr w:type="spellEnd"/>
      <w:r w:rsidRPr="00025BA5">
        <w:t xml:space="preserve">, W, </w:t>
      </w:r>
      <w:r w:rsidRPr="00911DEC">
        <w:rPr>
          <w:i/>
          <w:iCs/>
        </w:rPr>
        <w:t xml:space="preserve">“Development of Learning Media Using </w:t>
      </w:r>
      <w:proofErr w:type="spellStart"/>
      <w:r w:rsidRPr="00911DEC">
        <w:rPr>
          <w:i/>
          <w:iCs/>
        </w:rPr>
        <w:t>VideoScribe</w:t>
      </w:r>
      <w:proofErr w:type="spellEnd"/>
      <w:r w:rsidRPr="00911DEC">
        <w:rPr>
          <w:i/>
          <w:iCs/>
        </w:rPr>
        <w:t xml:space="preserve"> for the Subject of Present Continuous Tense”</w:t>
      </w:r>
      <w:r w:rsidRPr="00025BA5">
        <w:t xml:space="preserve"> </w:t>
      </w:r>
      <w:proofErr w:type="spellStart"/>
      <w:r w:rsidRPr="00911DEC">
        <w:t>Lectura</w:t>
      </w:r>
      <w:proofErr w:type="spellEnd"/>
      <w:r w:rsidRPr="00911DEC">
        <w:t xml:space="preserve">: </w:t>
      </w:r>
      <w:proofErr w:type="spellStart"/>
      <w:r w:rsidRPr="00911DEC">
        <w:t>Jurnal</w:t>
      </w:r>
      <w:proofErr w:type="spellEnd"/>
      <w:r w:rsidRPr="00911DEC">
        <w:t xml:space="preserve"> Pendidikan,</w:t>
      </w:r>
      <w:r w:rsidRPr="00025BA5">
        <w:rPr>
          <w:i/>
          <w:iCs/>
        </w:rPr>
        <w:t xml:space="preserve"> </w:t>
      </w:r>
      <w:r w:rsidRPr="00025BA5">
        <w:t>Vol.10 No. 2, pp.184-197, 2019.</w:t>
      </w:r>
    </w:p>
    <w:p w14:paraId="30F7A009" w14:textId="0C6C185D" w:rsidR="00911DEC" w:rsidRPr="00025BA5" w:rsidRDefault="00911DEC" w:rsidP="00911DEC">
      <w:pPr>
        <w:pStyle w:val="Reference"/>
      </w:pPr>
      <w:proofErr w:type="spellStart"/>
      <w:r w:rsidRPr="00025BA5">
        <w:t>Aryati</w:t>
      </w:r>
      <w:proofErr w:type="spellEnd"/>
      <w:r w:rsidRPr="00025BA5">
        <w:t xml:space="preserve">, </w:t>
      </w:r>
      <w:proofErr w:type="gramStart"/>
      <w:r w:rsidRPr="00025BA5">
        <w:t xml:space="preserve">L,  </w:t>
      </w:r>
      <w:proofErr w:type="spellStart"/>
      <w:r w:rsidRPr="00025BA5">
        <w:t>Pujiastuti</w:t>
      </w:r>
      <w:proofErr w:type="spellEnd"/>
      <w:proofErr w:type="gramEnd"/>
      <w:r w:rsidRPr="00025BA5">
        <w:t xml:space="preserve">, H &amp; </w:t>
      </w:r>
      <w:proofErr w:type="spellStart"/>
      <w:r w:rsidRPr="00025BA5">
        <w:t>Sudiana</w:t>
      </w:r>
      <w:proofErr w:type="spellEnd"/>
      <w:r w:rsidRPr="00025BA5">
        <w:t xml:space="preserve">, R, </w:t>
      </w:r>
      <w:r w:rsidRPr="00911DEC">
        <w:rPr>
          <w:i/>
          <w:iCs/>
        </w:rPr>
        <w:t>“Development of Learning Media with the STEM Approach on Materials of Sequences and Series”</w:t>
      </w:r>
      <w:r w:rsidRPr="00025BA5">
        <w:t xml:space="preserve">, </w:t>
      </w:r>
      <w:proofErr w:type="spellStart"/>
      <w:r w:rsidRPr="00911DEC">
        <w:t>Formatif</w:t>
      </w:r>
      <w:proofErr w:type="spellEnd"/>
      <w:r w:rsidRPr="00911DEC">
        <w:t xml:space="preserve">: </w:t>
      </w:r>
      <w:proofErr w:type="spellStart"/>
      <w:r w:rsidRPr="00911DEC">
        <w:t>Jurnal</w:t>
      </w:r>
      <w:proofErr w:type="spellEnd"/>
      <w:r w:rsidRPr="00911DEC">
        <w:t xml:space="preserve"> </w:t>
      </w:r>
      <w:proofErr w:type="spellStart"/>
      <w:r w:rsidRPr="00911DEC">
        <w:t>Ilmiah</w:t>
      </w:r>
      <w:proofErr w:type="spellEnd"/>
      <w:r w:rsidRPr="00911DEC">
        <w:t xml:space="preserve"> Pendidikan MIPA</w:t>
      </w:r>
      <w:r w:rsidRPr="00025BA5">
        <w:t>, Vol. 10 No.2, pp. 91-102, 2020.</w:t>
      </w:r>
    </w:p>
    <w:p w14:paraId="26C3367D" w14:textId="29EF4EE6" w:rsidR="00911DEC" w:rsidRPr="00025BA5" w:rsidRDefault="00911DEC" w:rsidP="00911DEC">
      <w:pPr>
        <w:pStyle w:val="Reference"/>
      </w:pPr>
      <w:proofErr w:type="spellStart"/>
      <w:r w:rsidRPr="00025BA5">
        <w:t>Swi</w:t>
      </w:r>
      <w:proofErr w:type="spellEnd"/>
      <w:r w:rsidRPr="00025BA5">
        <w:t xml:space="preserve"> E, D, &amp; </w:t>
      </w:r>
      <w:proofErr w:type="spellStart"/>
      <w:r w:rsidRPr="00025BA5">
        <w:t>Khairudin</w:t>
      </w:r>
      <w:proofErr w:type="spellEnd"/>
      <w:r w:rsidRPr="00025BA5">
        <w:t xml:space="preserve"> M, </w:t>
      </w:r>
      <w:r w:rsidRPr="00911DEC">
        <w:rPr>
          <w:i/>
          <w:iCs/>
        </w:rPr>
        <w:t>“Development of an Interactive Learning Media to Improve Competencies”,</w:t>
      </w:r>
      <w:r w:rsidRPr="00025BA5">
        <w:t xml:space="preserve"> </w:t>
      </w:r>
      <w:r w:rsidRPr="00911DEC">
        <w:t>International Conference on Technology and Vocational Teachers</w:t>
      </w:r>
      <w:r w:rsidRPr="00025BA5">
        <w:t xml:space="preserve"> (ICTVT 2017).</w:t>
      </w:r>
    </w:p>
    <w:p w14:paraId="2A0E1C3F" w14:textId="36AAF583" w:rsidR="00911DEC" w:rsidRPr="00025BA5" w:rsidRDefault="00911DEC" w:rsidP="00911DEC">
      <w:pPr>
        <w:pStyle w:val="Reference"/>
      </w:pPr>
      <w:r w:rsidRPr="00025BA5">
        <w:t xml:space="preserve">Hasan K, Zainal, Z &amp; </w:t>
      </w:r>
      <w:proofErr w:type="spellStart"/>
      <w:r w:rsidRPr="00025BA5">
        <w:t>Suhadjerah</w:t>
      </w:r>
      <w:proofErr w:type="spellEnd"/>
      <w:r w:rsidRPr="00025BA5">
        <w:t xml:space="preserve">, </w:t>
      </w:r>
      <w:r w:rsidRPr="00911DEC">
        <w:rPr>
          <w:i/>
          <w:iCs/>
        </w:rPr>
        <w:t xml:space="preserve">“The Development of Learning Media of </w:t>
      </w:r>
      <w:proofErr w:type="spellStart"/>
      <w:r w:rsidRPr="00911DEC">
        <w:rPr>
          <w:i/>
          <w:iCs/>
        </w:rPr>
        <w:t>Pakakala</w:t>
      </w:r>
      <w:proofErr w:type="spellEnd"/>
      <w:r w:rsidRPr="00911DEC">
        <w:rPr>
          <w:i/>
          <w:iCs/>
        </w:rPr>
        <w:t xml:space="preserve"> Boardgame”,</w:t>
      </w:r>
      <w:r w:rsidRPr="00025BA5">
        <w:t xml:space="preserve"> Journal of Educational Science and Technology, Vol. 6 No. 1, pp.48-55, 2020.</w:t>
      </w:r>
    </w:p>
    <w:p w14:paraId="7A5E779F" w14:textId="65FE94EB" w:rsidR="00911DEC" w:rsidRPr="00025BA5" w:rsidRDefault="00911DEC" w:rsidP="00911DEC">
      <w:pPr>
        <w:pStyle w:val="Reference"/>
      </w:pPr>
      <w:proofErr w:type="spellStart"/>
      <w:r w:rsidRPr="00025BA5">
        <w:t>Yushlihannisa</w:t>
      </w:r>
      <w:proofErr w:type="spellEnd"/>
      <w:r w:rsidRPr="00025BA5">
        <w:t xml:space="preserve">, A, A, </w:t>
      </w:r>
      <w:r w:rsidRPr="00911DEC">
        <w:rPr>
          <w:i/>
          <w:iCs/>
        </w:rPr>
        <w:t xml:space="preserve">“Developing Learning Media Mind-Mapping Accounting Based on Android for XI Ips </w:t>
      </w:r>
      <w:proofErr w:type="spellStart"/>
      <w:r w:rsidRPr="00911DEC">
        <w:rPr>
          <w:i/>
          <w:iCs/>
        </w:rPr>
        <w:t>Sma</w:t>
      </w:r>
      <w:proofErr w:type="spellEnd"/>
      <w:r w:rsidRPr="00911DEC">
        <w:rPr>
          <w:i/>
          <w:iCs/>
        </w:rPr>
        <w:t xml:space="preserve"> Students”, </w:t>
      </w:r>
      <w:r w:rsidRPr="00911DEC">
        <w:t>Yogyakarta State University,</w:t>
      </w:r>
      <w:r w:rsidRPr="00025BA5">
        <w:t xml:space="preserve"> Thesis, 2015.</w:t>
      </w:r>
    </w:p>
    <w:p w14:paraId="15200DB1" w14:textId="3C61FCCC" w:rsidR="00911DEC" w:rsidRDefault="00911DEC" w:rsidP="00911DEC">
      <w:pPr>
        <w:pStyle w:val="Reference"/>
      </w:pPr>
      <w:r w:rsidRPr="00025BA5">
        <w:t xml:space="preserve">Borg, W, R., Gall, M, D., &amp; Gall, J, P, </w:t>
      </w:r>
      <w:r w:rsidRPr="00911DEC">
        <w:rPr>
          <w:i/>
          <w:iCs/>
        </w:rPr>
        <w:t>“Educational Research”,</w:t>
      </w:r>
      <w:r w:rsidRPr="00025BA5">
        <w:t xml:space="preserve"> </w:t>
      </w:r>
      <w:r w:rsidRPr="00911DEC">
        <w:t>USA: Pearson Education Inc, 2003.</w:t>
      </w:r>
    </w:p>
    <w:p w14:paraId="162C0091" w14:textId="17225E84" w:rsidR="00740D06" w:rsidRDefault="00740D06" w:rsidP="00911DEC">
      <w:pPr>
        <w:pStyle w:val="Reference"/>
      </w:pPr>
      <w:r>
        <w:t>Isaac K</w:t>
      </w:r>
      <w:r w:rsidR="006D761A">
        <w:t xml:space="preserve">weku </w:t>
      </w:r>
      <w:proofErr w:type="spellStart"/>
      <w:r w:rsidR="006D761A">
        <w:t>Adu</w:t>
      </w:r>
      <w:proofErr w:type="spellEnd"/>
      <w:r w:rsidR="006D761A">
        <w:t xml:space="preserve">, </w:t>
      </w:r>
      <w:proofErr w:type="spellStart"/>
      <w:r w:rsidR="006D761A">
        <w:t>Hirpkazu</w:t>
      </w:r>
      <w:proofErr w:type="spellEnd"/>
      <w:r w:rsidR="006D761A">
        <w:t xml:space="preserve"> Sugiyama, &amp; Ulrich Fischer. </w:t>
      </w:r>
      <w:r w:rsidR="006D761A" w:rsidRPr="006D761A">
        <w:rPr>
          <w:i/>
          <w:iCs/>
        </w:rPr>
        <w:t>“Comparison of Methods for Assessing Environmental, Health, and Safety (EHS) Hazard in Early Phases of Chemical Process Design”</w:t>
      </w:r>
      <w:r w:rsidR="006D761A">
        <w:rPr>
          <w:i/>
          <w:iCs/>
        </w:rPr>
        <w:t xml:space="preserve">. </w:t>
      </w:r>
      <w:r w:rsidR="006D761A">
        <w:t xml:space="preserve">Journal Process Safety and </w:t>
      </w:r>
      <w:proofErr w:type="spellStart"/>
      <w:r w:rsidR="006D761A">
        <w:t>Enviromental</w:t>
      </w:r>
      <w:proofErr w:type="spellEnd"/>
      <w:r w:rsidR="006D761A">
        <w:t xml:space="preserve"> Protection. Volume 86. Issue 2. 2008.</w:t>
      </w:r>
    </w:p>
    <w:p w14:paraId="1C90B6A3" w14:textId="143159E6" w:rsidR="00485C6D" w:rsidRPr="00485C6D" w:rsidRDefault="00485C6D" w:rsidP="00911DEC">
      <w:pPr>
        <w:pStyle w:val="Reference"/>
        <w:rPr>
          <w:i/>
          <w:iCs/>
        </w:rPr>
      </w:pPr>
      <w:proofErr w:type="spellStart"/>
      <w:r>
        <w:t>Sunaryo</w:t>
      </w:r>
      <w:proofErr w:type="spellEnd"/>
      <w:r>
        <w:t xml:space="preserve"> &amp; </w:t>
      </w:r>
      <w:proofErr w:type="spellStart"/>
      <w:r>
        <w:t>Mochamad</w:t>
      </w:r>
      <w:proofErr w:type="spellEnd"/>
      <w:r>
        <w:t xml:space="preserve"> Aditya </w:t>
      </w:r>
      <w:proofErr w:type="spellStart"/>
      <w:r>
        <w:t>Hamka</w:t>
      </w:r>
      <w:proofErr w:type="spellEnd"/>
      <w:r>
        <w:t xml:space="preserve">. </w:t>
      </w:r>
      <w:r w:rsidRPr="00485C6D">
        <w:rPr>
          <w:i/>
          <w:iCs/>
        </w:rPr>
        <w:t xml:space="preserve">“Safety Risks </w:t>
      </w:r>
      <w:proofErr w:type="spellStart"/>
      <w:r w:rsidRPr="00485C6D">
        <w:rPr>
          <w:i/>
          <w:iCs/>
        </w:rPr>
        <w:t>Assesment</w:t>
      </w:r>
      <w:proofErr w:type="spellEnd"/>
      <w:r w:rsidRPr="00485C6D">
        <w:rPr>
          <w:i/>
          <w:iCs/>
        </w:rPr>
        <w:t xml:space="preserve"> on Container Terminal Using Hazard Identification and Risk </w:t>
      </w:r>
      <w:proofErr w:type="spellStart"/>
      <w:r w:rsidRPr="00485C6D">
        <w:rPr>
          <w:i/>
          <w:iCs/>
        </w:rPr>
        <w:t>Asssesment</w:t>
      </w:r>
      <w:proofErr w:type="spellEnd"/>
      <w:r w:rsidRPr="00485C6D">
        <w:rPr>
          <w:i/>
          <w:iCs/>
        </w:rPr>
        <w:t xml:space="preserve"> and Fault Tree Analysis Methods”</w:t>
      </w:r>
      <w:r>
        <w:rPr>
          <w:i/>
          <w:iCs/>
        </w:rPr>
        <w:t xml:space="preserve">. </w:t>
      </w:r>
      <w:r>
        <w:t>Procedia Engineering. Volume 194. 2017.</w:t>
      </w:r>
    </w:p>
    <w:p w14:paraId="316D44E0" w14:textId="437D4B50" w:rsidR="00485C6D" w:rsidRPr="00485C6D" w:rsidRDefault="005C3509" w:rsidP="00911DEC">
      <w:pPr>
        <w:pStyle w:val="Reference"/>
        <w:rPr>
          <w:i/>
          <w:iCs/>
        </w:rPr>
      </w:pPr>
      <w:r>
        <w:t xml:space="preserve">Bambang </w:t>
      </w:r>
      <w:proofErr w:type="spellStart"/>
      <w:r>
        <w:t>Suhardi</w:t>
      </w:r>
      <w:proofErr w:type="spellEnd"/>
      <w:r>
        <w:t xml:space="preserve"> et al. </w:t>
      </w:r>
      <w:proofErr w:type="gramStart"/>
      <w:r w:rsidRPr="00195E89">
        <w:rPr>
          <w:i/>
          <w:iCs/>
        </w:rPr>
        <w:t>“ Analysis</w:t>
      </w:r>
      <w:proofErr w:type="gramEnd"/>
      <w:r w:rsidRPr="00195E89">
        <w:rPr>
          <w:i/>
          <w:iCs/>
        </w:rPr>
        <w:t xml:space="preserve"> of the Potential Hazard Identification and Risk </w:t>
      </w:r>
      <w:proofErr w:type="spellStart"/>
      <w:r w:rsidRPr="00195E89">
        <w:rPr>
          <w:i/>
          <w:iCs/>
        </w:rPr>
        <w:t>Assesment</w:t>
      </w:r>
      <w:proofErr w:type="spellEnd"/>
      <w:r w:rsidRPr="00195E89">
        <w:rPr>
          <w:i/>
          <w:iCs/>
        </w:rPr>
        <w:t xml:space="preserve"> (HIRA) and Hazard Operability Study (</w:t>
      </w:r>
      <w:proofErr w:type="spellStart"/>
      <w:r w:rsidRPr="00195E89">
        <w:rPr>
          <w:i/>
          <w:iCs/>
        </w:rPr>
        <w:t>Hazop</w:t>
      </w:r>
      <w:proofErr w:type="spellEnd"/>
      <w:r w:rsidRPr="00195E89">
        <w:rPr>
          <w:i/>
          <w:iCs/>
        </w:rPr>
        <w:t>): Case Study.</w:t>
      </w:r>
      <w:r>
        <w:t xml:space="preserve"> </w:t>
      </w:r>
      <w:r w:rsidR="00195E89">
        <w:t xml:space="preserve">International Journal if Engineering and </w:t>
      </w:r>
      <w:proofErr w:type="spellStart"/>
      <w:r w:rsidR="00195E89">
        <w:t>Tehcnology</w:t>
      </w:r>
      <w:proofErr w:type="spellEnd"/>
      <w:r w:rsidR="00195E89">
        <w:t>. Volume 7. Pp 1-7. 2018.</w:t>
      </w:r>
    </w:p>
    <w:p w14:paraId="4DE91CCB" w14:textId="2A871A98" w:rsidR="00326AE0" w:rsidRPr="00214A38" w:rsidRDefault="00326AE0" w:rsidP="00214A38">
      <w:pPr>
        <w:pStyle w:val="Reference"/>
        <w:numPr>
          <w:ilvl w:val="0"/>
          <w:numId w:val="0"/>
        </w:numPr>
        <w:rPr>
          <w:i/>
          <w:iCs/>
        </w:rPr>
      </w:pPr>
    </w:p>
    <w:sectPr w:rsidR="00326AE0" w:rsidRPr="00214A38"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637F1D"/>
    <w:multiLevelType w:val="hybridMultilevel"/>
    <w:tmpl w:val="AD948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26C6EB08"/>
    <w:lvl w:ilvl="0" w:tplc="19901416">
      <w:start w:val="1"/>
      <w:numFmt w:val="decimal"/>
      <w:pStyle w:val="Reference"/>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4"/>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08B7"/>
    <w:rsid w:val="00014140"/>
    <w:rsid w:val="00027428"/>
    <w:rsid w:val="00031EC9"/>
    <w:rsid w:val="0006272A"/>
    <w:rsid w:val="0006460A"/>
    <w:rsid w:val="00066FED"/>
    <w:rsid w:val="00075EA6"/>
    <w:rsid w:val="0007709F"/>
    <w:rsid w:val="000849A7"/>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5E89"/>
    <w:rsid w:val="001964E5"/>
    <w:rsid w:val="001B263B"/>
    <w:rsid w:val="001B476A"/>
    <w:rsid w:val="001C764F"/>
    <w:rsid w:val="001C7BB3"/>
    <w:rsid w:val="001D469C"/>
    <w:rsid w:val="00214A38"/>
    <w:rsid w:val="0021619E"/>
    <w:rsid w:val="0023171B"/>
    <w:rsid w:val="00236BFC"/>
    <w:rsid w:val="00237437"/>
    <w:rsid w:val="002502FD"/>
    <w:rsid w:val="00274622"/>
    <w:rsid w:val="00285D23"/>
    <w:rsid w:val="00285D24"/>
    <w:rsid w:val="00286B3E"/>
    <w:rsid w:val="00290390"/>
    <w:rsid w:val="002915D3"/>
    <w:rsid w:val="002924DB"/>
    <w:rsid w:val="002941DA"/>
    <w:rsid w:val="002B5648"/>
    <w:rsid w:val="002E3C35"/>
    <w:rsid w:val="002F5078"/>
    <w:rsid w:val="002F5298"/>
    <w:rsid w:val="00300870"/>
    <w:rsid w:val="003078E2"/>
    <w:rsid w:val="00326AE0"/>
    <w:rsid w:val="00337E4F"/>
    <w:rsid w:val="00340C36"/>
    <w:rsid w:val="00346A9D"/>
    <w:rsid w:val="0035698D"/>
    <w:rsid w:val="00391328"/>
    <w:rsid w:val="0039376F"/>
    <w:rsid w:val="003A287B"/>
    <w:rsid w:val="003A5C85"/>
    <w:rsid w:val="003A61B1"/>
    <w:rsid w:val="003B0050"/>
    <w:rsid w:val="003D6312"/>
    <w:rsid w:val="003E7C74"/>
    <w:rsid w:val="003F31C6"/>
    <w:rsid w:val="0040225B"/>
    <w:rsid w:val="00402DA2"/>
    <w:rsid w:val="004162A2"/>
    <w:rsid w:val="00425AC2"/>
    <w:rsid w:val="00440388"/>
    <w:rsid w:val="004470AC"/>
    <w:rsid w:val="0044771F"/>
    <w:rsid w:val="00475896"/>
    <w:rsid w:val="00485C6D"/>
    <w:rsid w:val="004A21AE"/>
    <w:rsid w:val="004B151D"/>
    <w:rsid w:val="004C7243"/>
    <w:rsid w:val="004E21DE"/>
    <w:rsid w:val="004E3C57"/>
    <w:rsid w:val="004E3CB2"/>
    <w:rsid w:val="00525813"/>
    <w:rsid w:val="0053513F"/>
    <w:rsid w:val="00574405"/>
    <w:rsid w:val="005854B0"/>
    <w:rsid w:val="005A0E21"/>
    <w:rsid w:val="005B3A34"/>
    <w:rsid w:val="005B6EF2"/>
    <w:rsid w:val="005C3509"/>
    <w:rsid w:val="005D49AF"/>
    <w:rsid w:val="005E415C"/>
    <w:rsid w:val="005E71ED"/>
    <w:rsid w:val="005E7946"/>
    <w:rsid w:val="005F7475"/>
    <w:rsid w:val="00611299"/>
    <w:rsid w:val="00613B4D"/>
    <w:rsid w:val="00616365"/>
    <w:rsid w:val="00616F3B"/>
    <w:rsid w:val="006249A7"/>
    <w:rsid w:val="0064225B"/>
    <w:rsid w:val="006763F9"/>
    <w:rsid w:val="006949BC"/>
    <w:rsid w:val="006B7C58"/>
    <w:rsid w:val="006D1229"/>
    <w:rsid w:val="006D372F"/>
    <w:rsid w:val="006D761A"/>
    <w:rsid w:val="006D7A18"/>
    <w:rsid w:val="006E4474"/>
    <w:rsid w:val="00701388"/>
    <w:rsid w:val="00723B7F"/>
    <w:rsid w:val="00725861"/>
    <w:rsid w:val="0073393A"/>
    <w:rsid w:val="0073539D"/>
    <w:rsid w:val="00740D06"/>
    <w:rsid w:val="00767B8A"/>
    <w:rsid w:val="00775481"/>
    <w:rsid w:val="007A233B"/>
    <w:rsid w:val="007B4863"/>
    <w:rsid w:val="007C65E6"/>
    <w:rsid w:val="007C6AC9"/>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11DEC"/>
    <w:rsid w:val="00922A4B"/>
    <w:rsid w:val="00922E5A"/>
    <w:rsid w:val="00943315"/>
    <w:rsid w:val="00946C27"/>
    <w:rsid w:val="009A4F3D"/>
    <w:rsid w:val="009B1263"/>
    <w:rsid w:val="009B696B"/>
    <w:rsid w:val="009B7671"/>
    <w:rsid w:val="009D107B"/>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81982"/>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CD10A6"/>
    <w:rsid w:val="00CD7502"/>
    <w:rsid w:val="00CF7394"/>
    <w:rsid w:val="00D04468"/>
    <w:rsid w:val="00D0592E"/>
    <w:rsid w:val="00D36257"/>
    <w:rsid w:val="00D4687E"/>
    <w:rsid w:val="00D47F06"/>
    <w:rsid w:val="00D53A12"/>
    <w:rsid w:val="00D72B5E"/>
    <w:rsid w:val="00D816D9"/>
    <w:rsid w:val="00D83072"/>
    <w:rsid w:val="00D87E2A"/>
    <w:rsid w:val="00DB0C43"/>
    <w:rsid w:val="00DE3354"/>
    <w:rsid w:val="00DF7DCD"/>
    <w:rsid w:val="00E42C20"/>
    <w:rsid w:val="00E50B7D"/>
    <w:rsid w:val="00E904A1"/>
    <w:rsid w:val="00EB02EC"/>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aliases w:val="picture,Body of text"/>
    <w:basedOn w:val="Normal"/>
    <w:link w:val="ListParagraphChar"/>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styleId="FollowedHyperlink">
    <w:name w:val="FollowedHyperlink"/>
    <w:basedOn w:val="DefaultParagraphFont"/>
    <w:semiHidden/>
    <w:unhideWhenUsed/>
    <w:rsid w:val="00CD7502"/>
    <w:rPr>
      <w:color w:val="800080" w:themeColor="followedHyperlink"/>
      <w:u w:val="single"/>
    </w:rPr>
  </w:style>
  <w:style w:type="paragraph" w:customStyle="1" w:styleId="ADGVIBODYTEXT">
    <w:name w:val="ADGVI_BODYTEXT"/>
    <w:basedOn w:val="Normal"/>
    <w:qFormat/>
    <w:rsid w:val="00922A4B"/>
    <w:pPr>
      <w:ind w:firstLine="567"/>
      <w:jc w:val="both"/>
    </w:pPr>
    <w:rPr>
      <w:rFonts w:eastAsia="Calibri"/>
      <w:sz w:val="22"/>
      <w:szCs w:val="22"/>
      <w:lang w:val="id-ID"/>
    </w:rPr>
  </w:style>
  <w:style w:type="table" w:styleId="LightShading">
    <w:name w:val="Light Shading"/>
    <w:basedOn w:val="TableNormal"/>
    <w:uiPriority w:val="60"/>
    <w:rsid w:val="00922A4B"/>
    <w:rPr>
      <w:rFonts w:ascii="Calibri" w:eastAsia="Calibri" w:hAnsi="Calibri"/>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picture Char,Body of text Char"/>
    <w:link w:val="ListParagraph"/>
    <w:uiPriority w:val="34"/>
    <w:rsid w:val="00B8198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19381610">
      <w:bodyDiv w:val="1"/>
      <w:marLeft w:val="0"/>
      <w:marRight w:val="0"/>
      <w:marTop w:val="0"/>
      <w:marBottom w:val="0"/>
      <w:divBdr>
        <w:top w:val="none" w:sz="0" w:space="0" w:color="auto"/>
        <w:left w:val="none" w:sz="0" w:space="0" w:color="auto"/>
        <w:bottom w:val="none" w:sz="0" w:space="0" w:color="auto"/>
        <w:right w:val="none" w:sz="0" w:space="0" w:color="auto"/>
      </w:divBdr>
      <w:divsChild>
        <w:div w:id="527371267">
          <w:marLeft w:val="0"/>
          <w:marRight w:val="0"/>
          <w:marTop w:val="0"/>
          <w:marBottom w:val="0"/>
          <w:divBdr>
            <w:top w:val="none" w:sz="0" w:space="0" w:color="auto"/>
            <w:left w:val="none" w:sz="0" w:space="0" w:color="auto"/>
            <w:bottom w:val="none" w:sz="0" w:space="0" w:color="auto"/>
            <w:right w:val="none" w:sz="0" w:space="0" w:color="auto"/>
          </w:divBdr>
          <w:divsChild>
            <w:div w:id="618535131">
              <w:marLeft w:val="0"/>
              <w:marRight w:val="0"/>
              <w:marTop w:val="0"/>
              <w:marBottom w:val="0"/>
              <w:divBdr>
                <w:top w:val="none" w:sz="0" w:space="0" w:color="auto"/>
                <w:left w:val="none" w:sz="0" w:space="0" w:color="auto"/>
                <w:bottom w:val="none" w:sz="0" w:space="0" w:color="auto"/>
                <w:right w:val="none" w:sz="0" w:space="0" w:color="auto"/>
              </w:divBdr>
              <w:divsChild>
                <w:div w:id="4233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3501">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hyperlink" Target="mailto:kundariwahmawati@staff.uns.ac.id" TargetMode="Externa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Work</a:t>
            </a:r>
            <a:r>
              <a:rPr lang="en-US" sz="1400" baseline="0"/>
              <a:t> Accident Rate</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Work Accident Rate</c:v>
                </c:pt>
              </c:strCache>
            </c:strRef>
          </c:tx>
          <c:spPr>
            <a:ln w="28575" cap="rnd" cmpd="sng" algn="ctr">
              <a:solidFill>
                <a:schemeClr val="accent1">
                  <a:shade val="95000"/>
                  <a:satMod val="105000"/>
                </a:schemeClr>
              </a:solidFill>
              <a:prstDash val="solid"/>
              <a:round/>
            </a:ln>
            <a:effectLst/>
          </c:spPr>
          <c:marker>
            <c:spPr>
              <a:solidFill>
                <a:schemeClr val="accent1"/>
              </a:solidFill>
              <a:ln w="9525" cap="flat" cmpd="sng" algn="ctr">
                <a:solidFill>
                  <a:schemeClr val="accent1">
                    <a:shade val="95000"/>
                    <a:satMod val="105000"/>
                  </a:schemeClr>
                </a:solidFill>
                <a:prstDash val="solid"/>
                <a:round/>
              </a:ln>
              <a:effectLst/>
            </c:spPr>
          </c:marker>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1</c:v>
                </c:pt>
                <c:pt idx="1">
                  <c:v>5</c:v>
                </c:pt>
                <c:pt idx="2">
                  <c:v>4</c:v>
                </c:pt>
                <c:pt idx="3">
                  <c:v>17</c:v>
                </c:pt>
              </c:numCache>
            </c:numRef>
          </c:val>
          <c:smooth val="0"/>
          <c:extLst>
            <c:ext xmlns:c16="http://schemas.microsoft.com/office/drawing/2014/chart" uri="{C3380CC4-5D6E-409C-BE32-E72D297353CC}">
              <c16:uniqueId val="{00000000-840A-C841-93BE-3FBB1677A167}"/>
            </c:ext>
          </c:extLst>
        </c:ser>
        <c:ser>
          <c:idx val="1"/>
          <c:order val="1"/>
          <c:tx>
            <c:strRef>
              <c:f>Sheet1!$C$1</c:f>
              <c:strCache>
                <c:ptCount val="1"/>
                <c:pt idx="0">
                  <c:v>Column1</c:v>
                </c:pt>
              </c:strCache>
            </c:strRef>
          </c:tx>
          <c:spPr>
            <a:ln w="28575" cap="rnd" cmpd="sng" algn="ctr">
              <a:solidFill>
                <a:schemeClr val="accent2">
                  <a:shade val="95000"/>
                  <a:satMod val="105000"/>
                </a:schemeClr>
              </a:solidFill>
              <a:prstDash val="solid"/>
              <a:round/>
            </a:ln>
            <a:effectLst/>
          </c:spPr>
          <c:marker>
            <c:spPr>
              <a:solidFill>
                <a:schemeClr val="accent2"/>
              </a:solidFill>
              <a:ln w="9525" cap="flat" cmpd="sng" algn="ctr">
                <a:solidFill>
                  <a:schemeClr val="accent2">
                    <a:shade val="95000"/>
                    <a:satMod val="105000"/>
                  </a:schemeClr>
                </a:solidFill>
                <a:prstDash val="solid"/>
                <a:round/>
              </a:ln>
              <a:effectLst/>
            </c:spPr>
          </c:marker>
          <c:cat>
            <c:numRef>
              <c:f>Sheet1!$A$2:$A$5</c:f>
              <c:numCache>
                <c:formatCode>General</c:formatCode>
                <c:ptCount val="4"/>
                <c:pt idx="0">
                  <c:v>2016</c:v>
                </c:pt>
                <c:pt idx="1">
                  <c:v>2017</c:v>
                </c:pt>
                <c:pt idx="2">
                  <c:v>2018</c:v>
                </c:pt>
                <c:pt idx="3">
                  <c:v>2019</c:v>
                </c:pt>
              </c:numCache>
            </c:numRef>
          </c:cat>
          <c:val>
            <c:numRef>
              <c:f>Sheet1!$C$2:$C$5</c:f>
              <c:numCache>
                <c:formatCode>General</c:formatCode>
                <c:ptCount val="4"/>
              </c:numCache>
            </c:numRef>
          </c:val>
          <c:smooth val="0"/>
          <c:extLst>
            <c:ext xmlns:c16="http://schemas.microsoft.com/office/drawing/2014/chart" uri="{C3380CC4-5D6E-409C-BE32-E72D297353CC}">
              <c16:uniqueId val="{00000001-840A-C841-93BE-3FBB1677A167}"/>
            </c:ext>
          </c:extLst>
        </c:ser>
        <c:ser>
          <c:idx val="2"/>
          <c:order val="2"/>
          <c:tx>
            <c:strRef>
              <c:f>Sheet1!$D$1</c:f>
              <c:strCache>
                <c:ptCount val="1"/>
                <c:pt idx="0">
                  <c:v>Column2</c:v>
                </c:pt>
              </c:strCache>
            </c:strRef>
          </c:tx>
          <c:spPr>
            <a:ln w="28575" cap="rnd" cmpd="sng" algn="ctr">
              <a:solidFill>
                <a:schemeClr val="accent3">
                  <a:shade val="95000"/>
                  <a:satMod val="105000"/>
                </a:schemeClr>
              </a:solidFill>
              <a:prstDash val="solid"/>
              <a:round/>
            </a:ln>
            <a:effectLst/>
          </c:spPr>
          <c:marker>
            <c:spPr>
              <a:solidFill>
                <a:schemeClr val="accent3"/>
              </a:solidFill>
              <a:ln w="9525" cap="flat" cmpd="sng" algn="ctr">
                <a:solidFill>
                  <a:schemeClr val="accent3">
                    <a:shade val="95000"/>
                    <a:satMod val="105000"/>
                  </a:schemeClr>
                </a:solidFill>
                <a:prstDash val="solid"/>
                <a:round/>
              </a:ln>
              <a:effectLst/>
            </c:spPr>
          </c:marker>
          <c:cat>
            <c:numRef>
              <c:f>Sheet1!$A$2:$A$5</c:f>
              <c:numCache>
                <c:formatCode>General</c:formatCode>
                <c:ptCount val="4"/>
                <c:pt idx="0">
                  <c:v>2016</c:v>
                </c:pt>
                <c:pt idx="1">
                  <c:v>2017</c:v>
                </c:pt>
                <c:pt idx="2">
                  <c:v>2018</c:v>
                </c:pt>
                <c:pt idx="3">
                  <c:v>2019</c:v>
                </c:pt>
              </c:numCache>
            </c:numRef>
          </c:cat>
          <c:val>
            <c:numRef>
              <c:f>Sheet1!$D$2:$D$5</c:f>
              <c:numCache>
                <c:formatCode>General</c:formatCode>
                <c:ptCount val="4"/>
              </c:numCache>
            </c:numRef>
          </c:val>
          <c:smooth val="0"/>
          <c:extLst>
            <c:ext xmlns:c16="http://schemas.microsoft.com/office/drawing/2014/chart" uri="{C3380CC4-5D6E-409C-BE32-E72D297353CC}">
              <c16:uniqueId val="{00000002-840A-C841-93BE-3FBB1677A167}"/>
            </c:ext>
          </c:extLst>
        </c:ser>
        <c:dLbls>
          <c:showLegendKey val="0"/>
          <c:showVal val="0"/>
          <c:showCatName val="0"/>
          <c:showSerName val="0"/>
          <c:showPercent val="0"/>
          <c:showBubbleSize val="0"/>
        </c:dLbls>
        <c:marker val="1"/>
        <c:smooth val="0"/>
        <c:axId val="174605056"/>
        <c:axId val="174606976"/>
      </c:lineChart>
      <c:catAx>
        <c:axId val="1746050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74606976"/>
        <c:crosses val="autoZero"/>
        <c:auto val="1"/>
        <c:lblAlgn val="ctr"/>
        <c:lblOffset val="100"/>
        <c:noMultiLvlLbl val="0"/>
      </c:catAx>
      <c:valAx>
        <c:axId val="17460697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74605056"/>
        <c:crosses val="autoZero"/>
        <c:crossBetween val="between"/>
      </c:valAx>
      <c:spPr>
        <a:solidFill>
          <a:schemeClr val="bg1"/>
        </a:solid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Times New Roman" pitchFamily="18" charset="0"/>
                <a:cs typeface="Times New Roman" pitchFamily="18" charset="0"/>
              </a:rPr>
              <a:t>Material Feasible</a:t>
            </a:r>
            <a:r>
              <a:rPr lang="en-US" sz="1050" baseline="0">
                <a:latin typeface="Times New Roman" pitchFamily="18" charset="0"/>
                <a:cs typeface="Times New Roman" pitchFamily="18" charset="0"/>
              </a:rPr>
              <a:t> Percentage</a:t>
            </a:r>
            <a:endParaRPr lang="en-US"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Material Quality</c:v>
                </c:pt>
              </c:strCache>
            </c:strRef>
          </c:tx>
          <c:spPr>
            <a:solidFill>
              <a:schemeClr val="accent2"/>
            </a:solidFill>
          </c:spPr>
          <c:invertIfNegative val="0"/>
          <c:dPt>
            <c:idx val="0"/>
            <c:invertIfNegative val="0"/>
            <c:bubble3D val="0"/>
            <c:extLst>
              <c:ext xmlns:c16="http://schemas.microsoft.com/office/drawing/2014/chart" uri="{C3380CC4-5D6E-409C-BE32-E72D297353CC}">
                <c16:uniqueId val="{00000000-CE01-E04A-9057-F9207F58C6D5}"/>
              </c:ext>
            </c:extLst>
          </c:dPt>
          <c:dPt>
            <c:idx val="1"/>
            <c:invertIfNegative val="0"/>
            <c:bubble3D val="0"/>
            <c:spPr>
              <a:solidFill>
                <a:schemeClr val="tx2"/>
              </a:solidFill>
            </c:spPr>
            <c:extLst>
              <c:ext xmlns:c16="http://schemas.microsoft.com/office/drawing/2014/chart" uri="{C3380CC4-5D6E-409C-BE32-E72D297353CC}">
                <c16:uniqueId val="{00000002-CE01-E04A-9057-F9207F58C6D5}"/>
              </c:ext>
            </c:extLst>
          </c:dPt>
          <c:dPt>
            <c:idx val="2"/>
            <c:invertIfNegative val="0"/>
            <c:bubble3D val="0"/>
            <c:extLst>
              <c:ext xmlns:c16="http://schemas.microsoft.com/office/drawing/2014/chart" uri="{C3380CC4-5D6E-409C-BE32-E72D297353CC}">
                <c16:uniqueId val="{00000003-CE01-E04A-9057-F9207F58C6D5}"/>
              </c:ext>
            </c:extLst>
          </c:dPt>
          <c:cat>
            <c:strRef>
              <c:f>Sheet1!$A$2:$A$5</c:f>
              <c:strCache>
                <c:ptCount val="2"/>
                <c:pt idx="0">
                  <c:v>Kualitas Materi</c:v>
                </c:pt>
                <c:pt idx="1">
                  <c:v>kemanfaatan materi</c:v>
                </c:pt>
              </c:strCache>
            </c:strRef>
          </c:cat>
          <c:val>
            <c:numRef>
              <c:f>Sheet1!$B$2:$B$5</c:f>
              <c:numCache>
                <c:formatCode>General</c:formatCode>
                <c:ptCount val="4"/>
                <c:pt idx="0">
                  <c:v>85.4</c:v>
                </c:pt>
                <c:pt idx="1">
                  <c:v>84.3</c:v>
                </c:pt>
              </c:numCache>
            </c:numRef>
          </c:val>
          <c:extLst>
            <c:ext xmlns:c16="http://schemas.microsoft.com/office/drawing/2014/chart" uri="{C3380CC4-5D6E-409C-BE32-E72D297353CC}">
              <c16:uniqueId val="{00000004-CE01-E04A-9057-F9207F58C6D5}"/>
            </c:ext>
          </c:extLst>
        </c:ser>
        <c:ser>
          <c:idx val="1"/>
          <c:order val="1"/>
          <c:tx>
            <c:strRef>
              <c:f>Sheet1!$C$1</c:f>
              <c:strCache>
                <c:ptCount val="1"/>
                <c:pt idx="0">
                  <c:v>Material Benefit</c:v>
                </c:pt>
              </c:strCache>
            </c:strRef>
          </c:tx>
          <c:spPr>
            <a:solidFill>
              <a:schemeClr val="bg2">
                <a:lumMod val="25000"/>
              </a:schemeClr>
            </a:solidFill>
          </c:spPr>
          <c:invertIfNegative val="0"/>
          <c:cat>
            <c:strRef>
              <c:f>Sheet1!$A$2:$A$5</c:f>
              <c:strCache>
                <c:ptCount val="2"/>
                <c:pt idx="0">
                  <c:v>Kualitas Materi</c:v>
                </c:pt>
                <c:pt idx="1">
                  <c:v>kemanfaatan materi</c:v>
                </c:pt>
              </c:strCache>
            </c:strRef>
          </c:cat>
          <c:val>
            <c:numRef>
              <c:f>Sheet1!$C$2:$C$5</c:f>
              <c:numCache>
                <c:formatCode>General</c:formatCode>
                <c:ptCount val="4"/>
              </c:numCache>
            </c:numRef>
          </c:val>
          <c:extLst>
            <c:ext xmlns:c16="http://schemas.microsoft.com/office/drawing/2014/chart" uri="{C3380CC4-5D6E-409C-BE32-E72D297353CC}">
              <c16:uniqueId val="{00000005-CE01-E04A-9057-F9207F58C6D5}"/>
            </c:ext>
          </c:extLst>
        </c:ser>
        <c:ser>
          <c:idx val="2"/>
          <c:order val="2"/>
          <c:tx>
            <c:strRef>
              <c:f>Sheet1!$D$1</c:f>
              <c:strCache>
                <c:ptCount val="1"/>
                <c:pt idx="0">
                  <c:v>Column1</c:v>
                </c:pt>
              </c:strCache>
            </c:strRef>
          </c:tx>
          <c:spPr>
            <a:solidFill>
              <a:schemeClr val="accent2">
                <a:lumMod val="75000"/>
              </a:schemeClr>
            </a:solidFill>
          </c:spPr>
          <c:invertIfNegative val="0"/>
          <c:cat>
            <c:strRef>
              <c:f>Sheet1!$A$2:$A$5</c:f>
              <c:strCache>
                <c:ptCount val="2"/>
                <c:pt idx="0">
                  <c:v>Kualitas Materi</c:v>
                </c:pt>
                <c:pt idx="1">
                  <c:v>kemanfaatan materi</c:v>
                </c:pt>
              </c:strCache>
            </c:strRef>
          </c:cat>
          <c:val>
            <c:numRef>
              <c:f>Sheet1!$D$2:$D$5</c:f>
              <c:numCache>
                <c:formatCode>General</c:formatCode>
                <c:ptCount val="4"/>
              </c:numCache>
            </c:numRef>
          </c:val>
          <c:extLst>
            <c:ext xmlns:c16="http://schemas.microsoft.com/office/drawing/2014/chart" uri="{C3380CC4-5D6E-409C-BE32-E72D297353CC}">
              <c16:uniqueId val="{00000006-CE01-E04A-9057-F9207F58C6D5}"/>
            </c:ext>
          </c:extLst>
        </c:ser>
        <c:dLbls>
          <c:showLegendKey val="0"/>
          <c:showVal val="0"/>
          <c:showCatName val="0"/>
          <c:showSerName val="0"/>
          <c:showPercent val="0"/>
          <c:showBubbleSize val="0"/>
        </c:dLbls>
        <c:gapWidth val="55"/>
        <c:gapDepth val="55"/>
        <c:shape val="cylinder"/>
        <c:axId val="193956480"/>
        <c:axId val="193971712"/>
        <c:axId val="0"/>
      </c:bar3DChart>
      <c:catAx>
        <c:axId val="193956480"/>
        <c:scaling>
          <c:orientation val="minMax"/>
        </c:scaling>
        <c:delete val="1"/>
        <c:axPos val="b"/>
        <c:numFmt formatCode="General" sourceLinked="0"/>
        <c:majorTickMark val="none"/>
        <c:minorTickMark val="none"/>
        <c:tickLblPos val="nextTo"/>
        <c:crossAx val="193971712"/>
        <c:crosses val="autoZero"/>
        <c:auto val="1"/>
        <c:lblAlgn val="ctr"/>
        <c:lblOffset val="100"/>
        <c:noMultiLvlLbl val="0"/>
      </c:catAx>
      <c:valAx>
        <c:axId val="193971712"/>
        <c:scaling>
          <c:orientation val="minMax"/>
          <c:max val="100"/>
          <c:min val="0"/>
        </c:scaling>
        <c:delete val="0"/>
        <c:axPos val="l"/>
        <c:majorGridlines/>
        <c:numFmt formatCode="General" sourceLinked="1"/>
        <c:majorTickMark val="none"/>
        <c:minorTickMark val="none"/>
        <c:tickLblPos val="nextTo"/>
        <c:crossAx val="19395648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Media Eligibility Percentage</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Display</c:v>
                </c:pt>
              </c:strCache>
            </c:strRef>
          </c:tx>
          <c:invertIfNegative val="0"/>
          <c:dPt>
            <c:idx val="0"/>
            <c:invertIfNegative val="0"/>
            <c:bubble3D val="0"/>
            <c:spPr>
              <a:solidFill>
                <a:schemeClr val="accent1"/>
              </a:solidFill>
            </c:spPr>
            <c:extLst>
              <c:ext xmlns:c16="http://schemas.microsoft.com/office/drawing/2014/chart" uri="{C3380CC4-5D6E-409C-BE32-E72D297353CC}">
                <c16:uniqueId val="{00000001-8483-EC4B-BF47-BB288BECA84C}"/>
              </c:ext>
            </c:extLst>
          </c:dPt>
          <c:dPt>
            <c:idx val="1"/>
            <c:invertIfNegative val="0"/>
            <c:bubble3D val="0"/>
            <c:spPr>
              <a:solidFill>
                <a:schemeClr val="bg2">
                  <a:lumMod val="25000"/>
                </a:schemeClr>
              </a:solidFill>
            </c:spPr>
            <c:extLst>
              <c:ext xmlns:c16="http://schemas.microsoft.com/office/drawing/2014/chart" uri="{C3380CC4-5D6E-409C-BE32-E72D297353CC}">
                <c16:uniqueId val="{00000003-8483-EC4B-BF47-BB288BECA84C}"/>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5-8483-EC4B-BF47-BB288BECA84C}"/>
              </c:ext>
            </c:extLst>
          </c:dPt>
          <c:cat>
            <c:strRef>
              <c:f>Sheet1!$A$2:$A$5</c:f>
              <c:strCache>
                <c:ptCount val="3"/>
                <c:pt idx="0">
                  <c:v>Tampilan</c:v>
                </c:pt>
                <c:pt idx="1">
                  <c:v>Bahasa</c:v>
                </c:pt>
                <c:pt idx="2">
                  <c:v>tata letak</c:v>
                </c:pt>
              </c:strCache>
            </c:strRef>
          </c:cat>
          <c:val>
            <c:numRef>
              <c:f>Sheet1!$B$2:$B$5</c:f>
              <c:numCache>
                <c:formatCode>General</c:formatCode>
                <c:ptCount val="4"/>
                <c:pt idx="0">
                  <c:v>87.5</c:v>
                </c:pt>
                <c:pt idx="1">
                  <c:v>91.6</c:v>
                </c:pt>
                <c:pt idx="2">
                  <c:v>91.6</c:v>
                </c:pt>
              </c:numCache>
            </c:numRef>
          </c:val>
          <c:extLst>
            <c:ext xmlns:c16="http://schemas.microsoft.com/office/drawing/2014/chart" uri="{C3380CC4-5D6E-409C-BE32-E72D297353CC}">
              <c16:uniqueId val="{00000006-8483-EC4B-BF47-BB288BECA84C}"/>
            </c:ext>
          </c:extLst>
        </c:ser>
        <c:ser>
          <c:idx val="1"/>
          <c:order val="1"/>
          <c:tx>
            <c:strRef>
              <c:f>Sheet1!$C$1</c:f>
              <c:strCache>
                <c:ptCount val="1"/>
                <c:pt idx="0">
                  <c:v>Language</c:v>
                </c:pt>
              </c:strCache>
            </c:strRef>
          </c:tx>
          <c:spPr>
            <a:solidFill>
              <a:schemeClr val="bg2">
                <a:lumMod val="25000"/>
              </a:schemeClr>
            </a:solidFill>
          </c:spPr>
          <c:invertIfNegative val="0"/>
          <c:cat>
            <c:strRef>
              <c:f>Sheet1!$A$2:$A$5</c:f>
              <c:strCache>
                <c:ptCount val="3"/>
                <c:pt idx="0">
                  <c:v>Tampilan</c:v>
                </c:pt>
                <c:pt idx="1">
                  <c:v>Bahasa</c:v>
                </c:pt>
                <c:pt idx="2">
                  <c:v>tata letak</c:v>
                </c:pt>
              </c:strCache>
            </c:strRef>
          </c:cat>
          <c:val>
            <c:numRef>
              <c:f>Sheet1!$C$2:$C$5</c:f>
              <c:numCache>
                <c:formatCode>General</c:formatCode>
                <c:ptCount val="4"/>
              </c:numCache>
            </c:numRef>
          </c:val>
          <c:extLst>
            <c:ext xmlns:c16="http://schemas.microsoft.com/office/drawing/2014/chart" uri="{C3380CC4-5D6E-409C-BE32-E72D297353CC}">
              <c16:uniqueId val="{00000007-8483-EC4B-BF47-BB288BECA84C}"/>
            </c:ext>
          </c:extLst>
        </c:ser>
        <c:ser>
          <c:idx val="2"/>
          <c:order val="2"/>
          <c:tx>
            <c:strRef>
              <c:f>Sheet1!$D$1</c:f>
              <c:strCache>
                <c:ptCount val="1"/>
                <c:pt idx="0">
                  <c:v>Layout</c:v>
                </c:pt>
              </c:strCache>
            </c:strRef>
          </c:tx>
          <c:spPr>
            <a:solidFill>
              <a:schemeClr val="accent2">
                <a:lumMod val="75000"/>
              </a:schemeClr>
            </a:solidFill>
          </c:spPr>
          <c:invertIfNegative val="0"/>
          <c:cat>
            <c:strRef>
              <c:f>Sheet1!$A$2:$A$5</c:f>
              <c:strCache>
                <c:ptCount val="3"/>
                <c:pt idx="0">
                  <c:v>Tampilan</c:v>
                </c:pt>
                <c:pt idx="1">
                  <c:v>Bahasa</c:v>
                </c:pt>
                <c:pt idx="2">
                  <c:v>tata letak</c:v>
                </c:pt>
              </c:strCache>
            </c:strRef>
          </c:cat>
          <c:val>
            <c:numRef>
              <c:f>Sheet1!$D$2:$D$5</c:f>
              <c:numCache>
                <c:formatCode>General</c:formatCode>
                <c:ptCount val="4"/>
              </c:numCache>
            </c:numRef>
          </c:val>
          <c:extLst>
            <c:ext xmlns:c16="http://schemas.microsoft.com/office/drawing/2014/chart" uri="{C3380CC4-5D6E-409C-BE32-E72D297353CC}">
              <c16:uniqueId val="{00000008-8483-EC4B-BF47-BB288BECA84C}"/>
            </c:ext>
          </c:extLst>
        </c:ser>
        <c:dLbls>
          <c:showLegendKey val="0"/>
          <c:showVal val="0"/>
          <c:showCatName val="0"/>
          <c:showSerName val="0"/>
          <c:showPercent val="0"/>
          <c:showBubbleSize val="0"/>
        </c:dLbls>
        <c:gapWidth val="55"/>
        <c:gapDepth val="55"/>
        <c:shape val="cylinder"/>
        <c:axId val="168358656"/>
        <c:axId val="168360192"/>
        <c:axId val="0"/>
      </c:bar3DChart>
      <c:catAx>
        <c:axId val="168358656"/>
        <c:scaling>
          <c:orientation val="minMax"/>
        </c:scaling>
        <c:delete val="1"/>
        <c:axPos val="b"/>
        <c:numFmt formatCode="General" sourceLinked="0"/>
        <c:majorTickMark val="none"/>
        <c:minorTickMark val="none"/>
        <c:tickLblPos val="nextTo"/>
        <c:crossAx val="168360192"/>
        <c:crosses val="autoZero"/>
        <c:auto val="1"/>
        <c:lblAlgn val="ctr"/>
        <c:lblOffset val="100"/>
        <c:noMultiLvlLbl val="0"/>
      </c:catAx>
      <c:valAx>
        <c:axId val="168360192"/>
        <c:scaling>
          <c:orientation val="minMax"/>
          <c:max val="100"/>
          <c:min val="0"/>
        </c:scaling>
        <c:delete val="0"/>
        <c:axPos val="l"/>
        <c:majorGridlines/>
        <c:numFmt formatCode="General" sourceLinked="1"/>
        <c:majorTickMark val="none"/>
        <c:minorTickMark val="none"/>
        <c:tickLblPos val="nextTo"/>
        <c:crossAx val="1683586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Times New Roman" pitchFamily="18" charset="0"/>
                <a:cs typeface="Times New Roman" pitchFamily="18" charset="0"/>
              </a:rPr>
              <a:t>Small Group</a:t>
            </a:r>
            <a:r>
              <a:rPr lang="en-US" sz="1050" baseline="0">
                <a:latin typeface="Times New Roman" pitchFamily="18" charset="0"/>
                <a:cs typeface="Times New Roman" pitchFamily="18" charset="0"/>
              </a:rPr>
              <a:t> Trial Result Percentage</a:t>
            </a:r>
            <a:endParaRPr lang="en-US"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Display</c:v>
                </c:pt>
              </c:strCache>
            </c:strRef>
          </c:tx>
          <c:invertIfNegative val="0"/>
          <c:dPt>
            <c:idx val="0"/>
            <c:invertIfNegative val="0"/>
            <c:bubble3D val="0"/>
            <c:spPr>
              <a:solidFill>
                <a:schemeClr val="accent1"/>
              </a:solidFill>
            </c:spPr>
            <c:extLst>
              <c:ext xmlns:c16="http://schemas.microsoft.com/office/drawing/2014/chart" uri="{C3380CC4-5D6E-409C-BE32-E72D297353CC}">
                <c16:uniqueId val="{00000001-F32B-1B4A-AC2D-681A49AD924C}"/>
              </c:ext>
            </c:extLst>
          </c:dPt>
          <c:dPt>
            <c:idx val="1"/>
            <c:invertIfNegative val="0"/>
            <c:bubble3D val="0"/>
            <c:spPr>
              <a:solidFill>
                <a:schemeClr val="bg2">
                  <a:lumMod val="25000"/>
                </a:schemeClr>
              </a:solidFill>
            </c:spPr>
            <c:extLst>
              <c:ext xmlns:c16="http://schemas.microsoft.com/office/drawing/2014/chart" uri="{C3380CC4-5D6E-409C-BE32-E72D297353CC}">
                <c16:uniqueId val="{00000003-F32B-1B4A-AC2D-681A49AD924C}"/>
              </c:ext>
            </c:extLst>
          </c:dPt>
          <c:dPt>
            <c:idx val="2"/>
            <c:invertIfNegative val="0"/>
            <c:bubble3D val="0"/>
            <c:spPr>
              <a:solidFill>
                <a:schemeClr val="accent2">
                  <a:lumMod val="75000"/>
                </a:schemeClr>
              </a:solidFill>
            </c:spPr>
            <c:extLst>
              <c:ext xmlns:c16="http://schemas.microsoft.com/office/drawing/2014/chart" uri="{C3380CC4-5D6E-409C-BE32-E72D297353CC}">
                <c16:uniqueId val="{00000005-F32B-1B4A-AC2D-681A49AD924C}"/>
              </c:ext>
            </c:extLst>
          </c:dPt>
          <c:cat>
            <c:strRef>
              <c:f>Sheet1!$A$2:$A$5</c:f>
              <c:strCache>
                <c:ptCount val="3"/>
                <c:pt idx="0">
                  <c:v>Tampilan</c:v>
                </c:pt>
                <c:pt idx="1">
                  <c:v>Bahasa</c:v>
                </c:pt>
                <c:pt idx="2">
                  <c:v>Kemanfaatan</c:v>
                </c:pt>
              </c:strCache>
            </c:strRef>
          </c:cat>
          <c:val>
            <c:numRef>
              <c:f>Sheet1!$B$2:$B$5</c:f>
              <c:numCache>
                <c:formatCode>General</c:formatCode>
                <c:ptCount val="4"/>
                <c:pt idx="0">
                  <c:v>84.3</c:v>
                </c:pt>
                <c:pt idx="1">
                  <c:v>89.3</c:v>
                </c:pt>
                <c:pt idx="2">
                  <c:v>87.5</c:v>
                </c:pt>
              </c:numCache>
            </c:numRef>
          </c:val>
          <c:extLst>
            <c:ext xmlns:c16="http://schemas.microsoft.com/office/drawing/2014/chart" uri="{C3380CC4-5D6E-409C-BE32-E72D297353CC}">
              <c16:uniqueId val="{00000006-F32B-1B4A-AC2D-681A49AD924C}"/>
            </c:ext>
          </c:extLst>
        </c:ser>
        <c:ser>
          <c:idx val="1"/>
          <c:order val="1"/>
          <c:tx>
            <c:strRef>
              <c:f>Sheet1!$C$1</c:f>
              <c:strCache>
                <c:ptCount val="1"/>
                <c:pt idx="0">
                  <c:v>Language</c:v>
                </c:pt>
              </c:strCache>
            </c:strRef>
          </c:tx>
          <c:spPr>
            <a:solidFill>
              <a:schemeClr val="bg2">
                <a:lumMod val="25000"/>
              </a:schemeClr>
            </a:solidFill>
          </c:spPr>
          <c:invertIfNegative val="0"/>
          <c:cat>
            <c:strRef>
              <c:f>Sheet1!$A$2:$A$5</c:f>
              <c:strCache>
                <c:ptCount val="3"/>
                <c:pt idx="0">
                  <c:v>Tampilan</c:v>
                </c:pt>
                <c:pt idx="1">
                  <c:v>Bahasa</c:v>
                </c:pt>
                <c:pt idx="2">
                  <c:v>Kemanfaatan</c:v>
                </c:pt>
              </c:strCache>
            </c:strRef>
          </c:cat>
          <c:val>
            <c:numRef>
              <c:f>Sheet1!$C$2:$C$5</c:f>
              <c:numCache>
                <c:formatCode>General</c:formatCode>
                <c:ptCount val="4"/>
              </c:numCache>
            </c:numRef>
          </c:val>
          <c:extLst>
            <c:ext xmlns:c16="http://schemas.microsoft.com/office/drawing/2014/chart" uri="{C3380CC4-5D6E-409C-BE32-E72D297353CC}">
              <c16:uniqueId val="{00000007-F32B-1B4A-AC2D-681A49AD924C}"/>
            </c:ext>
          </c:extLst>
        </c:ser>
        <c:ser>
          <c:idx val="2"/>
          <c:order val="2"/>
          <c:tx>
            <c:strRef>
              <c:f>Sheet1!$D$1</c:f>
              <c:strCache>
                <c:ptCount val="1"/>
                <c:pt idx="0">
                  <c:v>Benefit</c:v>
                </c:pt>
              </c:strCache>
            </c:strRef>
          </c:tx>
          <c:spPr>
            <a:solidFill>
              <a:schemeClr val="accent2">
                <a:lumMod val="75000"/>
              </a:schemeClr>
            </a:solidFill>
          </c:spPr>
          <c:invertIfNegative val="0"/>
          <c:cat>
            <c:strRef>
              <c:f>Sheet1!$A$2:$A$5</c:f>
              <c:strCache>
                <c:ptCount val="3"/>
                <c:pt idx="0">
                  <c:v>Tampilan</c:v>
                </c:pt>
                <c:pt idx="1">
                  <c:v>Bahasa</c:v>
                </c:pt>
                <c:pt idx="2">
                  <c:v>Kemanfaatan</c:v>
                </c:pt>
              </c:strCache>
            </c:strRef>
          </c:cat>
          <c:val>
            <c:numRef>
              <c:f>Sheet1!$D$2:$D$5</c:f>
              <c:numCache>
                <c:formatCode>General</c:formatCode>
                <c:ptCount val="4"/>
              </c:numCache>
            </c:numRef>
          </c:val>
          <c:extLst>
            <c:ext xmlns:c16="http://schemas.microsoft.com/office/drawing/2014/chart" uri="{C3380CC4-5D6E-409C-BE32-E72D297353CC}">
              <c16:uniqueId val="{00000008-F32B-1B4A-AC2D-681A49AD924C}"/>
            </c:ext>
          </c:extLst>
        </c:ser>
        <c:dLbls>
          <c:showLegendKey val="0"/>
          <c:showVal val="0"/>
          <c:showCatName val="0"/>
          <c:showSerName val="0"/>
          <c:showPercent val="0"/>
          <c:showBubbleSize val="0"/>
        </c:dLbls>
        <c:gapWidth val="55"/>
        <c:gapDepth val="55"/>
        <c:shape val="cylinder"/>
        <c:axId val="170288640"/>
        <c:axId val="170290176"/>
        <c:axId val="0"/>
      </c:bar3DChart>
      <c:catAx>
        <c:axId val="170288640"/>
        <c:scaling>
          <c:orientation val="minMax"/>
        </c:scaling>
        <c:delete val="1"/>
        <c:axPos val="b"/>
        <c:numFmt formatCode="General" sourceLinked="0"/>
        <c:majorTickMark val="none"/>
        <c:minorTickMark val="none"/>
        <c:tickLblPos val="nextTo"/>
        <c:crossAx val="170290176"/>
        <c:crosses val="autoZero"/>
        <c:auto val="1"/>
        <c:lblAlgn val="ctr"/>
        <c:lblOffset val="100"/>
        <c:noMultiLvlLbl val="0"/>
      </c:catAx>
      <c:valAx>
        <c:axId val="170290176"/>
        <c:scaling>
          <c:orientation val="minMax"/>
          <c:max val="100"/>
          <c:min val="0"/>
        </c:scaling>
        <c:delete val="0"/>
        <c:axPos val="l"/>
        <c:majorGridlines/>
        <c:numFmt formatCode="General" sourceLinked="1"/>
        <c:majorTickMark val="none"/>
        <c:minorTickMark val="none"/>
        <c:tickLblPos val="nextTo"/>
        <c:crossAx val="170288640"/>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C:\Users\rlevins\Desktop\8x11WordTemplates\article_templates\single_column\8_point5_x11_single_column_template.dotx</Template>
  <TotalTime>106</TotalTime>
  <Pages>8</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adhan efendi</cp:lastModifiedBy>
  <cp:revision>35</cp:revision>
  <cp:lastPrinted>2011-03-03T08:29:00Z</cp:lastPrinted>
  <dcterms:created xsi:type="dcterms:W3CDTF">2021-04-30T03:14:00Z</dcterms:created>
  <dcterms:modified xsi:type="dcterms:W3CDTF">2021-09-14T14:15:00Z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