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0D79D46C" w:rsidR="0016385D" w:rsidRPr="00E02B64" w:rsidRDefault="000B3A2D" w:rsidP="00090674">
      <w:pPr>
        <w:pStyle w:val="PaperTitle"/>
        <w:rPr>
          <w:b w:val="0"/>
          <w:bCs/>
          <w:color w:val="000000" w:themeColor="text1"/>
          <w:sz w:val="24"/>
          <w:szCs w:val="24"/>
        </w:rPr>
      </w:pPr>
      <w:r w:rsidRPr="00E02B64">
        <w:rPr>
          <w:color w:val="000000" w:themeColor="text1"/>
        </w:rPr>
        <w:t xml:space="preserve">The </w:t>
      </w:r>
      <w:r w:rsidR="00EA647B" w:rsidRPr="00E02B64">
        <w:rPr>
          <w:color w:val="000000" w:themeColor="text1"/>
        </w:rPr>
        <w:t>Innovation of TVET Based E-Training to</w:t>
      </w:r>
      <w:r w:rsidR="0016385D" w:rsidRPr="00E02B64">
        <w:rPr>
          <w:color w:val="000000" w:themeColor="text1"/>
        </w:rPr>
        <w:t xml:space="preserve"> </w:t>
      </w:r>
      <w:r w:rsidR="00EA647B" w:rsidRPr="00E02B64">
        <w:rPr>
          <w:color w:val="000000" w:themeColor="text1"/>
        </w:rPr>
        <w:t xml:space="preserve">Increase </w:t>
      </w:r>
      <w:proofErr w:type="gramStart"/>
      <w:r w:rsidR="00EA647B" w:rsidRPr="00E02B64">
        <w:rPr>
          <w:color w:val="000000" w:themeColor="text1"/>
        </w:rPr>
        <w:t>The</w:t>
      </w:r>
      <w:proofErr w:type="gramEnd"/>
      <w:r w:rsidR="00EA647B" w:rsidRPr="00E02B64">
        <w:rPr>
          <w:color w:val="000000" w:themeColor="text1"/>
        </w:rPr>
        <w:t xml:space="preserve"> Human Resources Level for Vocational Educators in The Era of Society 5.0</w:t>
      </w:r>
      <w:r w:rsidR="00BE5FD1" w:rsidRPr="00E02B64">
        <w:rPr>
          <w:color w:val="000000" w:themeColor="text1"/>
        </w:rPr>
        <w:t xml:space="preserve"> </w:t>
      </w:r>
      <w:r w:rsidR="00A90413" w:rsidRPr="00E02B64">
        <w:rPr>
          <w:color w:val="000000" w:themeColor="text1"/>
        </w:rPr>
        <w:br/>
      </w:r>
    </w:p>
    <w:p w14:paraId="7A390057" w14:textId="77777777" w:rsidR="00B3570F" w:rsidRPr="00C241AA" w:rsidRDefault="00B3570F" w:rsidP="00B3570F">
      <w:pPr>
        <w:pBdr>
          <w:top w:val="nil"/>
          <w:left w:val="nil"/>
          <w:bottom w:val="nil"/>
          <w:right w:val="nil"/>
          <w:between w:val="nil"/>
        </w:pBdr>
        <w:spacing w:before="360" w:after="360"/>
        <w:jc w:val="center"/>
        <w:rPr>
          <w:color w:val="000000"/>
          <w:sz w:val="20"/>
        </w:rPr>
      </w:pPr>
      <w:r w:rsidRPr="00C241AA">
        <w:rPr>
          <w:color w:val="000000"/>
          <w:sz w:val="28"/>
          <w:szCs w:val="28"/>
        </w:rPr>
        <w:t xml:space="preserve">Andika </w:t>
      </w:r>
      <w:proofErr w:type="spellStart"/>
      <w:r w:rsidRPr="00C241AA">
        <w:rPr>
          <w:color w:val="000000"/>
          <w:sz w:val="28"/>
          <w:szCs w:val="28"/>
        </w:rPr>
        <w:t>Bagus</w:t>
      </w:r>
      <w:proofErr w:type="spellEnd"/>
      <w:r w:rsidRPr="00C241AA">
        <w:rPr>
          <w:color w:val="000000"/>
          <w:sz w:val="28"/>
          <w:szCs w:val="28"/>
        </w:rPr>
        <w:t xml:space="preserve"> Nur </w:t>
      </w:r>
      <w:proofErr w:type="spellStart"/>
      <w:r w:rsidRPr="00C241AA">
        <w:rPr>
          <w:color w:val="000000"/>
          <w:sz w:val="28"/>
          <w:szCs w:val="28"/>
        </w:rPr>
        <w:t>Rahma</w:t>
      </w:r>
      <w:proofErr w:type="spellEnd"/>
      <w:r w:rsidRPr="00C241AA">
        <w:rPr>
          <w:color w:val="000000"/>
          <w:sz w:val="28"/>
          <w:szCs w:val="28"/>
        </w:rPr>
        <w:t xml:space="preserve"> Putra</w:t>
      </w:r>
      <w:r w:rsidRPr="00C241AA">
        <w:rPr>
          <w:color w:val="000000"/>
          <w:sz w:val="28"/>
          <w:szCs w:val="28"/>
          <w:vertAlign w:val="superscript"/>
        </w:rPr>
        <w:t>1, a)</w:t>
      </w:r>
      <w:r w:rsidRPr="00C241AA">
        <w:rPr>
          <w:color w:val="000000"/>
          <w:sz w:val="28"/>
          <w:szCs w:val="28"/>
        </w:rPr>
        <w:t xml:space="preserve">, </w:t>
      </w:r>
      <w:proofErr w:type="spellStart"/>
      <w:r w:rsidRPr="00C241AA">
        <w:rPr>
          <w:color w:val="000000"/>
          <w:sz w:val="28"/>
          <w:szCs w:val="28"/>
        </w:rPr>
        <w:t>Mahfudi</w:t>
      </w:r>
      <w:proofErr w:type="spellEnd"/>
      <w:r w:rsidRPr="00C241AA">
        <w:rPr>
          <w:color w:val="000000"/>
          <w:sz w:val="28"/>
          <w:szCs w:val="28"/>
        </w:rPr>
        <w:t xml:space="preserve"> </w:t>
      </w:r>
      <w:proofErr w:type="spellStart"/>
      <w:r w:rsidRPr="00C241AA">
        <w:rPr>
          <w:color w:val="000000"/>
          <w:sz w:val="28"/>
          <w:szCs w:val="28"/>
        </w:rPr>
        <w:t>Sahly</w:t>
      </w:r>
      <w:proofErr w:type="spellEnd"/>
      <w:r w:rsidRPr="00C241AA">
        <w:rPr>
          <w:color w:val="000000"/>
          <w:sz w:val="28"/>
          <w:szCs w:val="28"/>
        </w:rPr>
        <w:t xml:space="preserve"> Subandi</w:t>
      </w:r>
      <w:proofErr w:type="gramStart"/>
      <w:r w:rsidRPr="00C241AA">
        <w:rPr>
          <w:color w:val="000000"/>
          <w:sz w:val="28"/>
          <w:szCs w:val="28"/>
          <w:vertAlign w:val="superscript"/>
        </w:rPr>
        <w:t>2,b</w:t>
      </w:r>
      <w:proofErr w:type="gramEnd"/>
      <w:r w:rsidRPr="00C241AA">
        <w:rPr>
          <w:color w:val="000000"/>
          <w:sz w:val="28"/>
          <w:szCs w:val="28"/>
          <w:vertAlign w:val="superscript"/>
        </w:rPr>
        <w:t>)</w:t>
      </w:r>
      <w:r w:rsidRPr="00C241AA">
        <w:rPr>
          <w:color w:val="000000"/>
          <w:sz w:val="28"/>
          <w:szCs w:val="28"/>
        </w:rPr>
        <w:t xml:space="preserve">, Tee </w:t>
      </w:r>
      <w:proofErr w:type="spellStart"/>
      <w:r w:rsidRPr="00C241AA">
        <w:rPr>
          <w:color w:val="000000"/>
          <w:sz w:val="28"/>
          <w:szCs w:val="28"/>
        </w:rPr>
        <w:t>Tze</w:t>
      </w:r>
      <w:proofErr w:type="spellEnd"/>
      <w:r w:rsidRPr="00C241AA">
        <w:rPr>
          <w:color w:val="000000"/>
          <w:sz w:val="28"/>
          <w:szCs w:val="28"/>
        </w:rPr>
        <w:t xml:space="preserve"> </w:t>
      </w:r>
      <w:proofErr w:type="spellStart"/>
      <w:r w:rsidRPr="00C241AA">
        <w:rPr>
          <w:color w:val="000000"/>
          <w:sz w:val="28"/>
          <w:szCs w:val="28"/>
        </w:rPr>
        <w:t>Kiong</w:t>
      </w:r>
      <w:proofErr w:type="spellEnd"/>
      <w:r w:rsidRPr="00C241AA">
        <w:rPr>
          <w:color w:val="000000"/>
          <w:sz w:val="28"/>
          <w:szCs w:val="28"/>
        </w:rPr>
        <w:t xml:space="preserve"> </w:t>
      </w:r>
      <w:r w:rsidRPr="00C241AA">
        <w:rPr>
          <w:color w:val="000000"/>
          <w:sz w:val="28"/>
          <w:szCs w:val="28"/>
          <w:vertAlign w:val="superscript"/>
        </w:rPr>
        <w:t>3, c)</w:t>
      </w:r>
      <w:r w:rsidRPr="00C241AA">
        <w:rPr>
          <w:color w:val="000000"/>
          <w:sz w:val="28"/>
          <w:szCs w:val="28"/>
        </w:rPr>
        <w:t xml:space="preserve">, </w:t>
      </w:r>
      <w:proofErr w:type="spellStart"/>
      <w:r w:rsidRPr="00C241AA">
        <w:rPr>
          <w:color w:val="000000"/>
          <w:sz w:val="28"/>
          <w:szCs w:val="28"/>
        </w:rPr>
        <w:t>Azhar</w:t>
      </w:r>
      <w:proofErr w:type="spellEnd"/>
      <w:r w:rsidRPr="00C241AA">
        <w:rPr>
          <w:color w:val="000000"/>
          <w:sz w:val="28"/>
          <w:szCs w:val="28"/>
        </w:rPr>
        <w:t xml:space="preserve"> Ahmad Smaragdina</w:t>
      </w:r>
      <w:r w:rsidRPr="00C241AA">
        <w:rPr>
          <w:color w:val="000000"/>
          <w:sz w:val="28"/>
          <w:szCs w:val="28"/>
          <w:vertAlign w:val="superscript"/>
        </w:rPr>
        <w:t>4, d)</w:t>
      </w:r>
      <w:r w:rsidRPr="00C241AA">
        <w:rPr>
          <w:color w:val="000000"/>
          <w:sz w:val="28"/>
          <w:szCs w:val="28"/>
        </w:rPr>
        <w:t xml:space="preserve">, Ahmad </w:t>
      </w:r>
      <w:proofErr w:type="spellStart"/>
      <w:r w:rsidRPr="00C241AA">
        <w:rPr>
          <w:color w:val="000000"/>
          <w:sz w:val="28"/>
          <w:szCs w:val="28"/>
        </w:rPr>
        <w:t>Mursyidun</w:t>
      </w:r>
      <w:proofErr w:type="spellEnd"/>
      <w:r w:rsidRPr="00C241AA">
        <w:rPr>
          <w:color w:val="000000"/>
          <w:sz w:val="28"/>
          <w:szCs w:val="28"/>
        </w:rPr>
        <w:t xml:space="preserve"> Nidhom</w:t>
      </w:r>
      <w:r w:rsidRPr="00C241AA">
        <w:rPr>
          <w:color w:val="000000"/>
          <w:sz w:val="28"/>
          <w:szCs w:val="28"/>
          <w:vertAlign w:val="superscript"/>
        </w:rPr>
        <w:t>5, e)</w:t>
      </w:r>
    </w:p>
    <w:p w14:paraId="77CF084E" w14:textId="77777777" w:rsidR="00B3570F" w:rsidRPr="00131397" w:rsidRDefault="00B3570F" w:rsidP="00B3570F">
      <w:pPr>
        <w:pBdr>
          <w:top w:val="nil"/>
          <w:left w:val="nil"/>
          <w:bottom w:val="nil"/>
          <w:right w:val="nil"/>
          <w:between w:val="nil"/>
        </w:pBdr>
        <w:jc w:val="center"/>
        <w:rPr>
          <w:color w:val="000000"/>
          <w:sz w:val="20"/>
        </w:rPr>
      </w:pPr>
      <w:r w:rsidRPr="00131397">
        <w:rPr>
          <w:color w:val="000000"/>
          <w:sz w:val="20"/>
        </w:rPr>
        <w:t xml:space="preserve">Author Affiliations </w:t>
      </w:r>
    </w:p>
    <w:p w14:paraId="5C7E9E88" w14:textId="77777777" w:rsidR="00B3570F" w:rsidRDefault="00B3570F" w:rsidP="00B3570F">
      <w:pPr>
        <w:pBdr>
          <w:top w:val="nil"/>
          <w:left w:val="nil"/>
          <w:bottom w:val="nil"/>
          <w:right w:val="nil"/>
          <w:between w:val="nil"/>
        </w:pBdr>
        <w:jc w:val="center"/>
        <w:rPr>
          <w:color w:val="000000"/>
          <w:sz w:val="20"/>
        </w:rPr>
      </w:pPr>
      <w:r w:rsidRPr="00131397">
        <w:rPr>
          <w:color w:val="000000"/>
          <w:sz w:val="20"/>
          <w:vertAlign w:val="superscript"/>
        </w:rPr>
        <w:t>1,2,4,5</w:t>
      </w:r>
      <w:r>
        <w:rPr>
          <w:color w:val="000000"/>
          <w:sz w:val="20"/>
        </w:rPr>
        <w:t xml:space="preserve"> Universitas Negeri Malang, Malang, Indonesia</w:t>
      </w:r>
    </w:p>
    <w:p w14:paraId="0094AD8A" w14:textId="77777777" w:rsidR="00B3570F" w:rsidRDefault="00B3570F" w:rsidP="00B3570F">
      <w:pPr>
        <w:pBdr>
          <w:top w:val="nil"/>
          <w:left w:val="nil"/>
          <w:bottom w:val="nil"/>
          <w:right w:val="nil"/>
          <w:between w:val="nil"/>
        </w:pBdr>
        <w:jc w:val="center"/>
        <w:rPr>
          <w:color w:val="000000"/>
          <w:sz w:val="20"/>
        </w:rPr>
      </w:pPr>
      <w:r w:rsidRPr="00131397">
        <w:rPr>
          <w:color w:val="000000"/>
          <w:sz w:val="20"/>
          <w:vertAlign w:val="superscript"/>
        </w:rPr>
        <w:t>3</w:t>
      </w:r>
      <w:r w:rsidRPr="00131397">
        <w:rPr>
          <w:color w:val="000000"/>
          <w:sz w:val="20"/>
        </w:rPr>
        <w:t>Universiti Tun Hussein Onn Malaysia</w:t>
      </w:r>
      <w:r>
        <w:rPr>
          <w:color w:val="000000"/>
          <w:sz w:val="20"/>
        </w:rPr>
        <w:t>, Johor, Malaysia</w:t>
      </w:r>
    </w:p>
    <w:p w14:paraId="62D22A59" w14:textId="77777777" w:rsidR="00B3570F" w:rsidRPr="00131397" w:rsidRDefault="00B3570F" w:rsidP="00B3570F">
      <w:pPr>
        <w:pBdr>
          <w:top w:val="nil"/>
          <w:left w:val="nil"/>
          <w:bottom w:val="nil"/>
          <w:right w:val="nil"/>
          <w:between w:val="nil"/>
        </w:pBdr>
        <w:jc w:val="center"/>
        <w:rPr>
          <w:i/>
          <w:color w:val="000000"/>
          <w:sz w:val="22"/>
          <w:szCs w:val="22"/>
        </w:rPr>
      </w:pPr>
    </w:p>
    <w:p w14:paraId="33AF8069" w14:textId="77777777" w:rsidR="00B3570F" w:rsidRPr="00131397" w:rsidRDefault="00B3570F" w:rsidP="00B3570F">
      <w:pPr>
        <w:pBdr>
          <w:top w:val="nil"/>
          <w:left w:val="nil"/>
          <w:bottom w:val="nil"/>
          <w:right w:val="nil"/>
          <w:between w:val="nil"/>
        </w:pBdr>
        <w:jc w:val="center"/>
        <w:rPr>
          <w:i/>
          <w:color w:val="000000"/>
          <w:sz w:val="22"/>
          <w:szCs w:val="22"/>
        </w:rPr>
      </w:pPr>
      <w:r w:rsidRPr="00131397">
        <w:rPr>
          <w:i/>
          <w:color w:val="000000"/>
          <w:sz w:val="22"/>
          <w:szCs w:val="22"/>
        </w:rPr>
        <w:t>Author Emails</w:t>
      </w:r>
    </w:p>
    <w:p w14:paraId="6EDE068C" w14:textId="77777777" w:rsidR="00B3570F" w:rsidRDefault="00B3570F" w:rsidP="00B3570F">
      <w:pPr>
        <w:pBdr>
          <w:top w:val="nil"/>
          <w:left w:val="nil"/>
          <w:bottom w:val="nil"/>
          <w:right w:val="nil"/>
          <w:between w:val="nil"/>
        </w:pBdr>
        <w:ind w:left="720"/>
        <w:jc w:val="center"/>
        <w:rPr>
          <w:color w:val="000000"/>
          <w:sz w:val="22"/>
          <w:szCs w:val="22"/>
        </w:rPr>
      </w:pPr>
      <w:r w:rsidRPr="00131397">
        <w:rPr>
          <w:color w:val="000000"/>
          <w:sz w:val="22"/>
          <w:szCs w:val="22"/>
          <w:vertAlign w:val="superscript"/>
        </w:rPr>
        <w:t>a)</w:t>
      </w:r>
      <w:r>
        <w:rPr>
          <w:color w:val="000000"/>
          <w:sz w:val="22"/>
          <w:szCs w:val="22"/>
        </w:rPr>
        <w:t xml:space="preserve"> </w:t>
      </w:r>
      <w:r w:rsidRPr="00131397">
        <w:rPr>
          <w:color w:val="000000"/>
          <w:sz w:val="22"/>
          <w:szCs w:val="22"/>
        </w:rPr>
        <w:t>Corresponding author: andika.bagus.ft@um.ac.id</w:t>
      </w:r>
    </w:p>
    <w:p w14:paraId="5E05E235" w14:textId="56AE10DC" w:rsidR="003A5C85" w:rsidRPr="00E02B64" w:rsidRDefault="00B3570F" w:rsidP="00B3570F">
      <w:pPr>
        <w:pStyle w:val="AuthorEmail"/>
        <w:ind w:left="720"/>
        <w:rPr>
          <w:color w:val="000000" w:themeColor="text1"/>
        </w:rPr>
      </w:pPr>
      <w:r w:rsidRPr="00EC3707">
        <w:rPr>
          <w:sz w:val="22"/>
          <w:szCs w:val="22"/>
          <w:vertAlign w:val="superscript"/>
        </w:rPr>
        <w:t>b)</w:t>
      </w:r>
      <w:r>
        <w:rPr>
          <w:sz w:val="22"/>
          <w:szCs w:val="22"/>
          <w:vertAlign w:val="superscript"/>
        </w:rPr>
        <w:t xml:space="preserve"> </w:t>
      </w:r>
      <w:r w:rsidRPr="00EC3707">
        <w:rPr>
          <w:sz w:val="22"/>
          <w:szCs w:val="22"/>
        </w:rPr>
        <w:t>mahfudisahly@gmail.com</w:t>
      </w:r>
      <w:r w:rsidR="00ED4A2C" w:rsidRPr="00E02B64">
        <w:rPr>
          <w:color w:val="000000" w:themeColor="text1"/>
        </w:rPr>
        <w:br/>
      </w:r>
    </w:p>
    <w:p w14:paraId="22C3F2A8" w14:textId="3FF681A4" w:rsidR="0016385D" w:rsidRPr="00E02B64" w:rsidRDefault="0016385D" w:rsidP="00C14B14">
      <w:pPr>
        <w:pStyle w:val="Abstract"/>
        <w:rPr>
          <w:color w:val="000000" w:themeColor="text1"/>
        </w:rPr>
      </w:pPr>
      <w:r w:rsidRPr="00E02B64">
        <w:rPr>
          <w:b/>
          <w:bCs/>
          <w:color w:val="000000" w:themeColor="text1"/>
        </w:rPr>
        <w:t>Abstract.</w:t>
      </w:r>
      <w:r w:rsidRPr="00E02B64">
        <w:rPr>
          <w:color w:val="000000" w:themeColor="text1"/>
        </w:rPr>
        <w:t xml:space="preserve"> </w:t>
      </w:r>
      <w:r w:rsidR="00D5477F" w:rsidRPr="00E02B64">
        <w:rPr>
          <w:color w:val="000000" w:themeColor="text1"/>
        </w:rPr>
        <w:t>This study aims to: (1) map the need for skills to improve human resources for vocational educators; (2) developing an innovative TVET-based e-training system; (3) testing the feasibility of TVET-based e-training system innovation; and (4) increasing the innovation of the TVET-based e-training system to improve human resources for vocational educators in the era of society 5.0. This study uses the R&amp;D method with product validation to two expert teams (e-learning experts and vocational materials experts). In the final stage, an effectiveness test was conducted on vocational educators in higher education. The results of this study include (1) mapping the need for skills to improve human resources for vocational educators</w:t>
      </w:r>
      <w:r w:rsidR="00D353D9">
        <w:rPr>
          <w:color w:val="000000" w:themeColor="text1"/>
        </w:rPr>
        <w:t>,</w:t>
      </w:r>
      <w:r w:rsidR="00D5477F" w:rsidRPr="00E02B64">
        <w:rPr>
          <w:color w:val="000000" w:themeColor="text1"/>
        </w:rPr>
        <w:t xml:space="preserve"> including life and career skills (83%), learning and innovation skills (95%), information media and technology skills (91%), inventive thinking (87%%), effective communication (87%), logical thinking skills (97%), teamwork and interconnectedness (85%), civic and digital citizenship (87%), global competence (91%), and intercultural competence (83%); (2) the feasibility level of the TVET-based e-training system innovation is very high with an average score of 3.8; and (3) the innovation of the TVET-based e-training system is proven to be effective in increasing the human resources of vocational educators in the era of society 5.0</w:t>
      </w:r>
      <w:r w:rsidR="00B10134" w:rsidRPr="00E02B64">
        <w:rPr>
          <w:color w:val="000000" w:themeColor="text1"/>
        </w:rPr>
        <w:t>.</w:t>
      </w:r>
    </w:p>
    <w:p w14:paraId="7F3D4FBD" w14:textId="624D5D17" w:rsidR="00C70732" w:rsidRPr="00E02B64" w:rsidRDefault="00C70732" w:rsidP="008E72E8">
      <w:pPr>
        <w:pStyle w:val="Abstract"/>
        <w:rPr>
          <w:color w:val="000000" w:themeColor="text1"/>
        </w:rPr>
      </w:pPr>
      <w:r w:rsidRPr="00E02B64">
        <w:rPr>
          <w:b/>
          <w:bCs/>
          <w:color w:val="000000" w:themeColor="text1"/>
        </w:rPr>
        <w:t xml:space="preserve">Keywords: </w:t>
      </w:r>
      <w:r w:rsidRPr="00E02B64">
        <w:rPr>
          <w:bCs/>
          <w:color w:val="000000" w:themeColor="text1"/>
        </w:rPr>
        <w:t>TVET, E-Training, Human Resources</w:t>
      </w:r>
      <w:r w:rsidR="003D3924" w:rsidRPr="00E02B64">
        <w:rPr>
          <w:bCs/>
          <w:color w:val="000000" w:themeColor="text1"/>
        </w:rPr>
        <w:t>, Vocational Educators, Society 5.0</w:t>
      </w:r>
      <w:r w:rsidRPr="00E02B64">
        <w:rPr>
          <w:bCs/>
          <w:color w:val="000000" w:themeColor="text1"/>
        </w:rPr>
        <w:t>.</w:t>
      </w:r>
      <w:r w:rsidRPr="00E02B64">
        <w:rPr>
          <w:color w:val="000000" w:themeColor="text1"/>
        </w:rPr>
        <w:t xml:space="preserve"> </w:t>
      </w:r>
    </w:p>
    <w:p w14:paraId="308E1F5E" w14:textId="77777777" w:rsidR="00D5477F" w:rsidRPr="00E02B64" w:rsidRDefault="00D5477F" w:rsidP="00D5477F">
      <w:pPr>
        <w:pStyle w:val="Heading10"/>
        <w:rPr>
          <w:b w:val="0"/>
          <w:color w:val="000000" w:themeColor="text1"/>
          <w:sz w:val="20"/>
          <w:szCs w:val="20"/>
        </w:rPr>
      </w:pPr>
      <w:r w:rsidRPr="00E02B64">
        <w:rPr>
          <w:color w:val="000000" w:themeColor="text1"/>
        </w:rPr>
        <w:t>INTRODUCTION</w:t>
      </w:r>
    </w:p>
    <w:p w14:paraId="0D92AA1D" w14:textId="0DC6FED6" w:rsidR="00D5477F" w:rsidRPr="00AB5B40" w:rsidRDefault="00D5477F" w:rsidP="00D5477F">
      <w:pPr>
        <w:pBdr>
          <w:top w:val="nil"/>
          <w:left w:val="nil"/>
          <w:bottom w:val="nil"/>
          <w:right w:val="nil"/>
          <w:between w:val="nil"/>
        </w:pBdr>
        <w:ind w:firstLine="284"/>
        <w:jc w:val="both"/>
        <w:rPr>
          <w:color w:val="000000" w:themeColor="text1"/>
          <w:sz w:val="20"/>
        </w:rPr>
      </w:pPr>
      <w:r w:rsidRPr="00AB5B40">
        <w:rPr>
          <w:color w:val="000000" w:themeColor="text1"/>
          <w:sz w:val="20"/>
        </w:rPr>
        <w:t>Era industry 4.0 causes complex uncertainty in all aspects of human life</w:t>
      </w:r>
      <w:r w:rsidR="00B36D78" w:rsidRPr="00AB5B40">
        <w:rPr>
          <w:color w:val="000000" w:themeColor="text1"/>
          <w:sz w:val="20"/>
        </w:rPr>
        <w:t xml:space="preserve"> </w:t>
      </w:r>
      <w:r w:rsidR="00B36D78" w:rsidRPr="00AB5B40">
        <w:rPr>
          <w:color w:val="000000" w:themeColor="text1"/>
          <w:sz w:val="20"/>
        </w:rPr>
        <w:fldChar w:fldCharType="begin" w:fldLock="1"/>
      </w:r>
      <w:r w:rsidR="00AE0CA0">
        <w:rPr>
          <w:color w:val="000000" w:themeColor="text1"/>
          <w:sz w:val="20"/>
        </w:rPr>
        <w:instrText>ADDIN CSL_CITATION {"citationItems":[{"id":"ITEM-1","itemData":{"DOI":"10.1016/j.jclepro.2019.119869","ISSN":"09596526","abstract":"The fourth industrial revolution and the underlying digital transformation, known as Industry 4.0, is progressing exponentially. The digital revolution is reshaping the way individuals live and work fundamentally, and the public remains optimistic regarding the opportunities Industry 4.0 may offer for sustainability. The present study contributes to the sustainability literature by systematically identifying the sustainability functions of Industry 4.0. In doing so, the study first reviews the fundamental design principles and technology trends of Industry 4.0 and introduces the architectural design of Industry 4.0. The study further draws on the interpretive structural modelling technique to model the contextual relationships among the Industry 4.0 sustainability functions. Results indicate that sophisticated precedence relationships exist among various sustainability functions of Industry 4.0. ‘Matrice d'Impacts Croisés Multiplication Appliquée àun Classement’ (MICMAC) analysis reveals that economic sustainability functions such as production efficiency and business model innovation tend to be the more immediate outcome of Industry 4.0, which pays the way for development of more remote socioenvironmental sustainability functions of Industry 4.0 such as energy sustainability, harmful emission reduction, and social welfare improvement. This study can serve Industry 4.0 stakeholders – leaders in the public and private sectors, industrialists, and academicians – to better understand the opportunities that the digital revolution may offer for sustainability, and work together more closely to ensure that Industry 4.0 delivers the intended sustainability functions around the world as effectively, equally, and fairly as possible.","author":[{"dropping-particle":"","family":"Ghobakhloo","given":"Morteza","non-dropping-particle":"","parse-names":false,"suffix":""}],"container-title":"Journal of Cleaner Production","id":"ITEM-1","issued":{"date-parts":[["2020"]]},"title":"Industry 4.0, digitization, and opportunities for sustainability","type":"article"},"uris":["http://www.mendeley.com/documents/?uuid=4583280e-aa7d-4fbe-b83c-61f17807a5c5"]},{"id":"ITEM-2","itemData":{"DOI":"10.1080/00207543.2019.1672902","ISSN":"1366588X","abstract":"Industry 4.0 is increasingly being promoted as the key to improving productivity, promoting economic growth and ensuring the sustainability of manufacturing companies. On the other hand, many companies have already partially or fully implemented principles and tools from the Lean management approach, which is also aimed at improving productivity. While the two approaches use very different strategies, they share some common principles. The objective of this article is to highlight the links between the principles and tools proposed by Industry 4.0 and those proposed by the Lean management approach, with a particular focus on how some of Industry 4.0's technologies are improving the implementation of Lean principles, depending on the technologies’ capability levels. As such, this study aims to provide a characterisation of the impacts of Industry 4.0 technologies on Lean principles according to targeted capability levels. The results obtained show strong support for Industry 4.0 technologies for Just-in-time and Jidoka, but little or no support for waste reduction and People and Team work. There is, therefore, a clear need to pursue the deployment of Lean management while improving certain Lean principles using Industry 4.0 technologies.","author":[{"dropping-particle":"","family":"Rosin","given":"Frédéric","non-dropping-particle":"","parse-names":false,"suffix":""},{"dropping-particle":"","family":"Forget","given":"Pascal","non-dropping-particle":"","parse-names":false,"suffix":""},{"dropping-particle":"","family":"Lamouri","given":"Samir","non-dropping-particle":"","parse-names":false,"suffix":""},{"dropping-particle":"","family":"Pellerin","given":"Robert","non-dropping-particle":"","parse-names":false,"suffix":""}],"container-title":"International Journal of Production Research","id":"ITEM-2","issue":"6","issued":{"date-parts":[["2020"]]},"page":"1644-1661","title":"Impacts of Industry 4.0 technologies on Lean principles","type":"article-journal","volume":"58"},"uris":["http://www.mendeley.com/documents/?uuid=76866d57-bb46-4223-9f1b-a17be8678f6a","http://www.mendeley.com/documents/?uuid=8b8a6c06-56b0-400a-be75-deb15a1d6d63","http://www.mendeley.com/documents/?uuid=7fdc0af7-0b53-4d6b-96ed-acce9e9c33f6"]},{"id":"ITEM-3","itemData":{"DOI":"10.3390/su12114674","ISSN":"20711050","abstract":"Industry 4.0 is a concept that originated from the German industry, and whose essence is the use of technology for efficient production. In business today, the emergence of Industry 4.0 for production, and its related technologies, such as the Internet of Things (IoT) and cyber-physical systems, amongst others, have, however, a negative impact on environmental sustainability as a result of air pollution, the poor discharge of waste, and the intensive use of raw materials, information, and energy. The method used in this study is an analysis of a literature review of manuscripts discussing topics related to Industry 4.0 and environmental sustainability published between 2000 and 2020. There is currently a gap existing between the actual and the desired situation, in that production occurs in a weak sustainability model, and, therefore, this research debates the effects on environmental sustainability and the challenges facing Industry 4.0. Four scenarios are discussed: a deployment scenario, an operation scenario, integration and compliance with sustainable development goals, and a long-run scenario. The results indicate that there is a negative relationship related to the flow of the production process from the inputs to the final product, including raw materials, energy requirements, information, and waste disposal, and their impacts on the environment. However, the integration of Industry 4.0 and the sustainable development goals enhance environmental sustainability to create ecological support that guarantees high environmental performance with a more positive impact than before. This paper will help stakeholders and companies to provide solutions to the existing environmental challenges that can be mediated through adopting new technologies. The novelty of this study is its depiction of Industry 4.0 and its technologies integrated with sustainable development goals to create a sustainable Industry 4.0 combining environmental protection and sustainability.","author":[{"dropping-particle":"","family":"Oláh","given":"Judit","non-dropping-particle":"","parse-names":false,"suffix":""},{"dropping-particle":"","family":"Aburumman","given":"Nemer","non-dropping-particle":"","parse-names":false,"suffix":""},{"dropping-particle":"","family":"Popp","given":"József","non-dropping-particle":"","parse-names":false,"suffix":""},{"dropping-particle":"","family":"Khan","given":"Muhammad Asif","non-dropping-particle":"","parse-names":false,"suffix":""},{"dropping-particle":"","family":"Haddad","given":"Hossam","non-dropping-particle":"","parse-names":false,"suffix":""},{"dropping-particle":"","family":"Kitukutha","given":"Nicodemus","non-dropping-particle":"","parse-names":false,"suffix":""}],"container-title":"Sustainability (Switzerland)","id":"ITEM-3","issue":"11","issued":{"date-parts":[["2020"]]},"title":"Impact of industry 4.0 on environmental sustainability","type":"article-journal","volume":"12"},"uris":["http://www.mendeley.com/documents/?uuid=09028573-86b3-4c9c-b08c-30b4da625668","http://www.mendeley.com/documents/?uuid=59e7873d-0570-4460-8ae5-9856a7fafd69","http://www.mendeley.com/documents/?uuid=2e9750e8-6919-4223-9a97-2dba9a112b91"]}],"mendeley":{"formattedCitation":"[1]–[3]","plainTextFormattedCitation":"[1]–[3]","previouslyFormattedCitation":"[1]–[3]"},"properties":{"noteIndex":0},"schema":"https://github.com/citation-style-language/schema/raw/master/csl-citation.json"}</w:instrText>
      </w:r>
      <w:r w:rsidR="00B36D78" w:rsidRPr="00AB5B40">
        <w:rPr>
          <w:color w:val="000000" w:themeColor="text1"/>
          <w:sz w:val="20"/>
        </w:rPr>
        <w:fldChar w:fldCharType="separate"/>
      </w:r>
      <w:r w:rsidR="00B36D78" w:rsidRPr="00AB5B40">
        <w:rPr>
          <w:noProof/>
          <w:color w:val="000000" w:themeColor="text1"/>
          <w:sz w:val="20"/>
        </w:rPr>
        <w:t>[1]–[3]</w:t>
      </w:r>
      <w:r w:rsidR="00B36D78" w:rsidRPr="00AB5B40">
        <w:rPr>
          <w:color w:val="000000" w:themeColor="text1"/>
          <w:sz w:val="20"/>
        </w:rPr>
        <w:fldChar w:fldCharType="end"/>
      </w:r>
      <w:r w:rsidR="000B28A7" w:rsidRPr="00AB5B40">
        <w:rPr>
          <w:color w:val="000000" w:themeColor="text1"/>
          <w:sz w:val="20"/>
        </w:rPr>
        <w:t xml:space="preserve">. </w:t>
      </w:r>
      <w:r w:rsidRPr="00AB5B40">
        <w:rPr>
          <w:color w:val="000000" w:themeColor="text1"/>
          <w:sz w:val="20"/>
        </w:rPr>
        <w:t xml:space="preserve">]. In anticipation of this, the era of society 5.0 emerged. </w:t>
      </w:r>
      <w:r w:rsidR="00D353D9" w:rsidRPr="00D353D9">
        <w:rPr>
          <w:color w:val="000000" w:themeColor="text1"/>
          <w:sz w:val="20"/>
        </w:rPr>
        <w:t>In the Era of Society 5.0, technological developments are not only for the industrial aspect but also for the educational aspect</w:t>
      </w:r>
      <w:r w:rsidRPr="00AB5B40">
        <w:rPr>
          <w:color w:val="000000" w:themeColor="text1"/>
          <w:sz w:val="20"/>
        </w:rPr>
        <w:t xml:space="preserve"> </w:t>
      </w:r>
      <w:r w:rsidR="00B36D78" w:rsidRPr="00AB5B40">
        <w:rPr>
          <w:color w:val="000000" w:themeColor="text1"/>
          <w:sz w:val="20"/>
        </w:rPr>
        <w:fldChar w:fldCharType="begin" w:fldLock="1"/>
      </w:r>
      <w:r w:rsidR="00AE0CA0">
        <w:rPr>
          <w:color w:val="000000" w:themeColor="text1"/>
          <w:sz w:val="20"/>
        </w:rPr>
        <w:instrText>ADDIN CSL_CITATION {"citationItems":[{"id":"ITEM-1","itemData":{"DOI":"10.3390/su13052682","ISSN":"20711050","abstract":"In the literature, quite limited research exists on the subject of Society 5.0. The present study examined the existence of Society 5.0 and the effectiveness of Industry 4.0 and evaluated the efficiency of United Nations Development Goals (SDGs) in this process, especially in Turkey. The research was carried out based on data obtained through a survey form with 30 questions which was conducted with 335 academicians working at Kafkas University. The data were analyzed by means of exploratory factor analysis with the SPSS program, confirmatory factor analysis with AMOS, and structural equation modeling with Smart PLS. The analysis results indicated that SDG9, SDG10, SDG11, SDG12, SDG13, and SDG14 had a low influence (i.e., R2: 0.172) on the application of Industry 4.0 and Society 5.0. Moreover, it was observed that the participants were heavily affected by order of the day and gave responses to the questions with that impact. The study also revealed that Turkey did not have a leading philosophy in the field of Society 5.0 and Industry 4.0 and made progress by concentrating on out-dated processes.","author":[{"dropping-particle":"","family":"Zengin","given":"Yunus","non-dropping-particle":"","parse-names":false,"suffix":""},{"dropping-particle":"","family":"Naktiyok","given":"Serkan","non-dropping-particle":"","parse-names":false,"suffix":""},{"dropping-particle":"","family":"Kaygın","given":"Erdoğan","non-dropping-particle":"","parse-names":false,"suffix":""},{"dropping-particle":"","family":"Kavak","given":"Onur","non-dropping-particle":"","parse-names":false,"suffix":""},{"dropping-particle":"","family":"Topçuoğlu","given":"Ethem","non-dropping-particle":"","parse-names":false,"suffix":""}],"container-title":"Sustainability (Switzerland)","id":"ITEM-1","issue":"5","issued":{"date-parts":[["2021"]]},"page":"1-16","title":"An investigation upon industry 4.0 and society 5.0 within the context of sustainable development goals","type":"article-journal","volume":"13"},"uris":["http://www.mendeley.com/documents/?uuid=743dd8d5-bbc4-4e25-9e16-c2c05389bf86"]},{"id":"ITEM-2","itemData":{"DOI":"10.3390/data5030080","ISSN":"23065729","abstract":"(1) Background: The importance of this article is to analyze the technological developments in the field of the Internet and Internet technologies and to determine their significance for sustainable development, which will result in the emergence of Society 5.0. (2) The authors used automated content analysis for the analysis of 552 articles published in 306 scientific journals indexed by SCII and/or SCI EXPANDED (Web of Science (WOS) platform). The goal of the research was to present the relationship between the Internet and sustainable development. (3) Results: The results of the analysis show that the top four most important themes in the selected journals were “development”, “information”, “data”, and “business and services”. (4) Conclusions: Our research approach emphasizes the importance of the culmination of scientific innovation with the conceptual, technological and contextual frameworks of the Internet and Internet technology usage and its impact on sustainable development and the emergence of the Society 5.0.","author":[{"dropping-particle":"","family":"Roblek","given":"Vasja","non-dropping-particle":"","parse-names":false,"suffix":""},{"dropping-particle":"","family":"Meško","given":"Maja","non-dropping-particle":"","parse-names":false,"suffix":""},{"dropping-particle":"","family":"Bach","given":"Mirjana Pejić","non-dropping-particle":"","parse-names":false,"suffix":""},{"dropping-particle":"","family":"Thorpe","given":"Oshane","non-dropping-particle":"","parse-names":false,"suffix":""},{"dropping-particle":"","family":"Šprajc","given":"Polona","non-dropping-particle":"","parse-names":false,"suffix":""}],"container-title":"Data","id":"ITEM-2","issue":"3","issued":{"date-parts":[["2020"]]},"page":"1-27","title":"The interaction between internet, sustainable development, and emergence of society 5.0","type":"article","volume":"5"},"uris":["http://www.mendeley.com/documents/?uuid=1de4ece5-a2ab-4a94-b3c1-a3f0bf8c3785"]},{"id":"ITEM-3","itemData":{"DOI":"10.1080/17516234.2020.1749340","ISSN":"17516242","abstract":"The Government of Japan is pursuing an ambitious policy programme, Society 5.0, designed to respond to the formidable economic and social challenges facing Japan and the world, capitalize on Japanese technological sophistication and commercialization abilities, and provide a coordinated, forward-looking strategy that could ensure Japan’s leadership in the technological revolution. Society 5.0 is the label attached to a vision of ‘whole of government, business and academia’ plan to integrate new technological systems across various fields to the benefit of humanity. This paper explores the conceptual background, rationale, policies and programmes Japan has enacted in pursuit of this vision.","author":[{"dropping-particle":"","family":"Holroyd","given":"Carin","non-dropping-particle":"","parse-names":false,"suffix":""}],"container-title":"Journal of Asian Public Policy","id":"ITEM-3","issued":{"date-parts":[["2020"]]},"title":"Technological innovation and building a ‘super smart’ society: Japan’s vision of society 5.0","type":"article-journal"},"uris":["http://www.mendeley.com/documents/?uuid=889dfe0e-84b4-4844-9156-387620278c9b","http://www.mendeley.com/documents/?uuid=b6a6d79f-d235-46eb-a330-d2fea52d375f"]},{"id":"ITEM-4","itemData":{"DOI":"10.1016/j.ijpe.2019.07.033","ISSN":"09255273","abstract":"Society 5.0 is the vision of a new human-centered society in the fifth stage launched by Japan. This paper explores a prospective model of science, technology and innovation (STI) activities in Society 5.0 from an ecosystem perspective. STI policy review and statistical analysis are conducted in comparison with Germany and the United States to describe the historical transformation of Japan's STI ecosystem. Major socio-economic risks on Japan's STI ecosystem can be classified as labor, capital and spatial risks. Shifting from a push-based STI ecosystem to a pull-based STI ecosystem and increasing the system resilience through value creation for society are essential to reduce three risks and to revitalize productivity and growth in Society 5.0.","author":[{"dropping-particle":"","family":"Fukuda","given":"Kayano","non-dropping-particle":"","parse-names":false,"suffix":""}],"container-title":"International Journal of Production Economics","id":"ITEM-4","issued":{"date-parts":[["2020"]]},"title":"Science, technology and innovation ecosystem transformation toward society 5.0","type":"article-journal","volume":"220"},"uris":["http://www.mendeley.com/documents/?uuid=623cd001-c01f-46da-89aa-7c1c21f55056"]},{"id":"ITEM-5","itemData":{"DOI":"10.3390/socsci8050148","ISSN":"20760760","abstract":"The Government of Japan's \"Society 5.0\" initiative aims to create a cyber-physical society in which (among other things) citizens' daily lives will be enhanced through increasingly close collaboration with artificially intelligent systems. However, an apparent paradox lies at the heart of efforts to create a more \"human-centered\" society in which human beings will live alongside a proliferating array of increasingly autonomous social robots and embodied AI. This study seeks to investigate the presumed human-centeredness of Society 5.0 by comparing its makeup with that of earlier societies. By distinguishing \"technological\" and \"non-technological\" processes of posthumanization and applying a phenomenological anthropological model, this study demonstrates: (1) how the diverse types of human and non-human members expected to participate in Society 5.0 differ qualitatively from one another; (2) how the dynamics that will shape the membership of Society 5.0 can be conceptualized; and (3) how the anticipated membership of Society 5.0 differs from that of Societies 1.0 through 4.0. This study describes six categories of prospective human and non-human members of Society 5.0 and shows that all six have analogues in earlier societies, which suggests that social scientific analysis of past societies may shed unexpected light on the nature of Society 5.0.","author":[{"dropping-particle":"","family":"Gladden","given":"Matthew E.","non-dropping-particle":"","parse-names":false,"suffix":""}],"container-title":"Social Sciences","id":"ITEM-5","issue":"5","issued":{"date-parts":[["2019"]]},"title":"Who will be the members of Society 5.0? Towards an anthropology of technologically posthumanized future societies","type":"article-journal","volume":"8"},"uris":["http://www.mendeley.com/documents/?uuid=69e4ccc8-2643-46f5-8152-d3356dd268fe","http://www.mendeley.com/documents/?uuid=0b421d6a-89e8-48f4-b7b2-cd4e544b82bc"]}],"mendeley":{"formattedCitation":"[4]–[8]","plainTextFormattedCitation":"[4]–[8]","previouslyFormattedCitation":"[4]–[8]"},"properties":{"noteIndex":0},"schema":"https://github.com/citation-style-language/schema/raw/master/csl-citation.json"}</w:instrText>
      </w:r>
      <w:r w:rsidR="00B36D78" w:rsidRPr="00AB5B40">
        <w:rPr>
          <w:color w:val="000000" w:themeColor="text1"/>
          <w:sz w:val="20"/>
        </w:rPr>
        <w:fldChar w:fldCharType="separate"/>
      </w:r>
      <w:r w:rsidR="00B36D78" w:rsidRPr="00AB5B40">
        <w:rPr>
          <w:noProof/>
          <w:color w:val="000000" w:themeColor="text1"/>
          <w:sz w:val="20"/>
        </w:rPr>
        <w:t>[4]–[8]</w:t>
      </w:r>
      <w:r w:rsidR="00B36D78" w:rsidRPr="00AB5B40">
        <w:rPr>
          <w:color w:val="000000" w:themeColor="text1"/>
          <w:sz w:val="20"/>
        </w:rPr>
        <w:fldChar w:fldCharType="end"/>
      </w:r>
      <w:r w:rsidR="000B28A7" w:rsidRPr="00AB5B40">
        <w:rPr>
          <w:color w:val="000000" w:themeColor="text1"/>
          <w:sz w:val="20"/>
        </w:rPr>
        <w:t xml:space="preserve">. </w:t>
      </w:r>
      <w:r w:rsidRPr="00AB5B40">
        <w:rPr>
          <w:color w:val="000000" w:themeColor="text1"/>
          <w:sz w:val="20"/>
        </w:rPr>
        <w:t xml:space="preserve">Especially in the world of education, it has an </w:t>
      </w:r>
      <w:r w:rsidR="00D353D9">
        <w:rPr>
          <w:color w:val="000000" w:themeColor="text1"/>
          <w:sz w:val="20"/>
        </w:rPr>
        <w:t>essential</w:t>
      </w:r>
      <w:r w:rsidRPr="00AB5B40">
        <w:rPr>
          <w:color w:val="000000" w:themeColor="text1"/>
          <w:sz w:val="20"/>
        </w:rPr>
        <w:t xml:space="preserve"> role in facing the era of society 5.0. </w:t>
      </w:r>
      <w:r w:rsidR="00D353D9">
        <w:rPr>
          <w:color w:val="000000" w:themeColor="text1"/>
          <w:sz w:val="20"/>
        </w:rPr>
        <w:t>As the spearhead to prepare superior quality educators, the world of higher education</w:t>
      </w:r>
      <w:r w:rsidRPr="00AB5B40">
        <w:rPr>
          <w:color w:val="000000" w:themeColor="text1"/>
          <w:sz w:val="20"/>
        </w:rPr>
        <w:t xml:space="preserve"> must begin to change its learning paradigm. The new paradigm of higher education is currently producing educators who are sensitive to the latest technology. The superior educators produced must be able to act as facilitators and inspirations for bringing up student creativity. Therefore, the world of higher education must improve services and access to education by improving the quality of infrastructure and technology. Digital infrastructure should be built to support learning technology development facilities</w:t>
      </w:r>
      <w:r w:rsidR="00AE0CA0">
        <w:rPr>
          <w:color w:val="000000" w:themeColor="text1"/>
          <w:sz w:val="20"/>
        </w:rPr>
        <w:t xml:space="preserve"> </w:t>
      </w:r>
      <w:r w:rsidR="00AE0CA0">
        <w:rPr>
          <w:color w:val="000000" w:themeColor="text1"/>
          <w:sz w:val="20"/>
        </w:rPr>
        <w:fldChar w:fldCharType="begin" w:fldLock="1"/>
      </w:r>
      <w:r w:rsidR="00AE0CA0">
        <w:rPr>
          <w:color w:val="000000" w:themeColor="text1"/>
          <w:sz w:val="20"/>
        </w:rPr>
        <w:instrText>ADDIN CSL_CITATION {"citationItems":[{"id":"ITEM-1","itemData":{"DOI":"10.3991/ijim.v15i12.21579","abstract":"Currently, the world of education is entering a disruptive era. Digital-based educational technology. Especially in the distance education model. The technology used is relatively unsophisticated. This study aims to: (1) develop Disruptive Innovation learning media with Augmented Reality with the concept of 3D objects in the form of a Drill Machine; (2) testing the attractiveness of Disruptive Innovation Learning media with Augmented Reality with a 3D Object Concept in the form of a Drill Machine; and (3) testing the effectiveness level of the product being developed. The method used is research and development (R&amp;amp;D), followed by quasi-experimentation to test its effectiveness. Validation consists of two teams of experts, namely e-learning media experts and vocational education material experts. The findings in this study include augmented reality technology based on 3D objects in the form of a drill machine that was developed has a high level of attractiveness and completeness of vocational material. The object-based 3D augmented reality technology in the form of a drill machine that was developed was proven to be able to improve the understanding skills of vocational students in the education era 4.0.","author":[{"dropping-particle":"","family":"Putra","given":"Andika Bagus Nur Rahma","non-dropping-particle":"","parse-names":false,"suffix":""},{"dropping-particle":"","family":"Mukhadis","given":"Amat","non-dropping-particle":"","parse-names":false,"suffix":""},{"dropping-particle":"","family":"Ulfatin","given":"Nurul","non-dropping-particle":"","parse-names":false,"suffix":""},{"dropping-particle":"","family":"Tuwoso","given":"Tuwoso","non-dropping-particle":"","parse-names":false,"suffix":""},{"dropping-particle":"","family":"Subandi","given":"Mahfudi Sahly","non-dropping-particle":"","parse-names":false,"suffix":""},{"dropping-particle":"","family":"Hardika","given":"Hardika","non-dropping-particle":"","parse-names":false,"suffix":""},{"dropping-particle":"","family":"Muhammad","given":"Abd Kadir","non-dropping-particle":"","parse-names":false,"suffix":""}],"container-title":"International Journal of Interactive Mobile Technologies (iJIM)","id":"ITEM-1","issue":"12","issued":{"date-parts":[["2021"]]},"page":"193","title":"The Innovation of Disruptive Learning Media with Augmented Reality Based 3D Object Concept with Drill Machine Design to Improve Quality of Distance Learning in The Era of Education 4.0","type":"article-journal","volume":"15"},"uris":["http://www.mendeley.com/documents/?uuid=1e86cbec-4845-4286-a29f-9387fd54366a"]},{"id":"ITEM-2","itemData":{"author":[{"dropping-particle":"","family":"Kiong","given":"Tee Tze","non-dropping-particle":"","parse-names":false,"suffix":""},{"dropping-particle":"","family":"Roslen","given":"Khaireen Edlin","non-dropping-particle":"","parse-names":false,"suffix":""},{"dropping-particle":"","family":"Putra","given":"Andika Bagus Nur Rahma","non-dropping-particle":"","parse-names":false,"suffix":""},{"dropping-particle":"","family":"Heong","given":"Yee Mei","non-dropping-particle":"","parse-names":false,"suffix":""}],"container-title":"Sains Insani","id":"ITEM-2","issue":"1988","issued":{"date-parts":[["2021"]]},"page":"139-143","title":"Sains Insani eISSN : [ 0127-7871 ] Pembangunan Modul Pengajaran Berasaskan Permainan Digital Bagi","type":"article-journal","volume":"6"},"uris":["http://www.mendeley.com/documents/?uuid=2c4336e6-fadd-4de0-b4d3-45f780a6bc6e"]}],"mendeley":{"formattedCitation":"[9], [10]","plainTextFormattedCitation":"[9], [10]","previouslyFormattedCitation":"[9], [10]"},"properties":{"noteIndex":0},"schema":"https://github.com/citation-style-language/schema/raw/master/csl-citation.json"}</w:instrText>
      </w:r>
      <w:r w:rsidR="00AE0CA0">
        <w:rPr>
          <w:color w:val="000000" w:themeColor="text1"/>
          <w:sz w:val="20"/>
        </w:rPr>
        <w:fldChar w:fldCharType="separate"/>
      </w:r>
      <w:r w:rsidR="00AE0CA0" w:rsidRPr="00AE0CA0">
        <w:rPr>
          <w:noProof/>
          <w:color w:val="000000" w:themeColor="text1"/>
          <w:sz w:val="20"/>
        </w:rPr>
        <w:t>[9], [10]</w:t>
      </w:r>
      <w:r w:rsidR="00AE0CA0">
        <w:rPr>
          <w:color w:val="000000" w:themeColor="text1"/>
          <w:sz w:val="20"/>
        </w:rPr>
        <w:fldChar w:fldCharType="end"/>
      </w:r>
      <w:r w:rsidRPr="00AB5B40">
        <w:rPr>
          <w:color w:val="000000" w:themeColor="text1"/>
          <w:sz w:val="20"/>
        </w:rPr>
        <w:t>.</w:t>
      </w:r>
    </w:p>
    <w:p w14:paraId="29E9CE3A" w14:textId="4DB2E0AD" w:rsidR="00D5477F" w:rsidRPr="00AB5B40" w:rsidRDefault="00D353D9" w:rsidP="00D5477F">
      <w:pPr>
        <w:pBdr>
          <w:top w:val="nil"/>
          <w:left w:val="nil"/>
          <w:bottom w:val="nil"/>
          <w:right w:val="nil"/>
          <w:between w:val="nil"/>
        </w:pBdr>
        <w:ind w:firstLine="284"/>
        <w:jc w:val="both"/>
        <w:rPr>
          <w:color w:val="000000" w:themeColor="text1"/>
          <w:sz w:val="20"/>
        </w:rPr>
      </w:pPr>
      <w:r w:rsidRPr="00854D19">
        <w:rPr>
          <w:color w:val="000000"/>
          <w:sz w:val="20"/>
        </w:rPr>
        <w:lastRenderedPageBreak/>
        <w:t>Currently, the function of educators must be supported by mastering the field of digital literacy learning</w:t>
      </w:r>
      <w:r w:rsidR="00051437" w:rsidRPr="00AB5B40">
        <w:rPr>
          <w:color w:val="000000" w:themeColor="text1"/>
          <w:sz w:val="20"/>
        </w:rPr>
        <w:t xml:space="preserve"> </w:t>
      </w:r>
      <w:r w:rsidR="00051437" w:rsidRPr="00AB5B40">
        <w:rPr>
          <w:color w:val="000000" w:themeColor="text1"/>
          <w:sz w:val="20"/>
        </w:rPr>
        <w:fldChar w:fldCharType="begin" w:fldLock="1"/>
      </w:r>
      <w:r w:rsidR="00AE0CA0">
        <w:rPr>
          <w:color w:val="000000" w:themeColor="text1"/>
          <w:sz w:val="20"/>
        </w:rPr>
        <w:instrText>ADDIN CSL_CITATION {"citationItems":[{"id":"ITEM-1","itemData":{"abstract":"The Fourth Industrial Revolution is known as “Society 5.0” in Japan. As industrial structures change, work also changes and so do the necessary capabilities of workers. If those capabilities are changing, then the things we should be teaching in school should also change. With the emergence of AI, teachers need to be more like coaches and become creative. A creative teacher foresees the future. He/She demonstrates pliancy and responsiveness to develop children’s potentials; gather resources; develop or acquire colleagues’ new viewpoints; and become a specialist who creates a comfortable learning environment for lessons, classroom management, and school events. Using AI is important to do that. However, teachers can also become creative if they act within a fundamental human rights principle and develop class lessons that are comfortable and use their intuition to facilitate students’ learning experiences.","author":[{"dropping-particle":"","family":"Sato","given":"Dr. Hiroshi","non-dropping-particle":"","parse-names":false,"suffix":""}],"container-title":"Journal of Southeast Asian Education The Official Journal of SEAMEO","id":"ITEM-1","issue":"August","issued":{"date-parts":[["2020"]]},"title":"Reform and Development in Teacher Education for the Digital Society","type":"article-journal","volume":"1"},"uris":["http://www.mendeley.com/documents/?uuid=bc5e63c4-8e1f-4f37-91c7-08bd7dc5088f","http://www.mendeley.com/documents/?uuid=cc501984-93f7-4ca3-a9a2-ac4c44640d0d","http://www.mendeley.com/documents/?uuid=a45e0195-6e49-4f81-972b-2c22348680a9"]}],"mendeley":{"formattedCitation":"[11]","plainTextFormattedCitation":"[11]","previouslyFormattedCitation":"[11]"},"properties":{"noteIndex":0},"schema":"https://github.com/citation-style-language/schema/raw/master/csl-citation.json"}</w:instrText>
      </w:r>
      <w:r w:rsidR="00051437" w:rsidRPr="00AB5B40">
        <w:rPr>
          <w:color w:val="000000" w:themeColor="text1"/>
          <w:sz w:val="20"/>
        </w:rPr>
        <w:fldChar w:fldCharType="separate"/>
      </w:r>
      <w:r w:rsidR="00AE0CA0" w:rsidRPr="00AE0CA0">
        <w:rPr>
          <w:noProof/>
          <w:color w:val="000000" w:themeColor="text1"/>
          <w:sz w:val="20"/>
        </w:rPr>
        <w:t>[11]</w:t>
      </w:r>
      <w:r w:rsidR="00051437" w:rsidRPr="00AB5B40">
        <w:rPr>
          <w:color w:val="000000" w:themeColor="text1"/>
          <w:sz w:val="20"/>
        </w:rPr>
        <w:fldChar w:fldCharType="end"/>
      </w:r>
      <w:r w:rsidR="00930B54" w:rsidRPr="00AB5B40">
        <w:rPr>
          <w:color w:val="000000" w:themeColor="text1"/>
          <w:sz w:val="20"/>
        </w:rPr>
        <w:t xml:space="preserve">. </w:t>
      </w:r>
      <w:r w:rsidR="00D5477F" w:rsidRPr="00AB5B40">
        <w:rPr>
          <w:color w:val="000000" w:themeColor="text1"/>
          <w:sz w:val="20"/>
        </w:rPr>
        <w:t xml:space="preserve">Digital literacy as a professional ability to understand information, technology, and </w:t>
      </w:r>
      <w:r>
        <w:rPr>
          <w:color w:val="000000" w:themeColor="text1"/>
          <w:sz w:val="20"/>
        </w:rPr>
        <w:t>M</w:t>
      </w:r>
      <w:r w:rsidR="00D5477F" w:rsidRPr="00AB5B40">
        <w:rPr>
          <w:color w:val="000000" w:themeColor="text1"/>
          <w:sz w:val="20"/>
        </w:rPr>
        <w:t xml:space="preserve">edia is </w:t>
      </w:r>
      <w:r>
        <w:rPr>
          <w:color w:val="000000" w:themeColor="text1"/>
          <w:sz w:val="20"/>
        </w:rPr>
        <w:t>critical</w:t>
      </w:r>
      <w:r w:rsidR="00D5477F" w:rsidRPr="00AB5B40">
        <w:rPr>
          <w:color w:val="000000" w:themeColor="text1"/>
          <w:sz w:val="20"/>
        </w:rPr>
        <w:t xml:space="preserve"> to be developed </w:t>
      </w:r>
      <w:r w:rsidR="00393605" w:rsidRPr="00AB5B40">
        <w:rPr>
          <w:color w:val="000000" w:themeColor="text1"/>
          <w:sz w:val="20"/>
        </w:rPr>
        <w:fldChar w:fldCharType="begin" w:fldLock="1"/>
      </w:r>
      <w:r w:rsidR="00AE0CA0">
        <w:rPr>
          <w:color w:val="000000" w:themeColor="text1"/>
          <w:sz w:val="20"/>
        </w:rPr>
        <w:instrText>ADDIN CSL_CITATION {"citationItems":[{"id":"ITEM-1","itemData":{"DOI":"10.1016/j.compedu.2020.103859","ISSN":"03601315","abstract":"Educationalists' and policymakers’ curriculum work on digital literacy in England has overlooked the expertise of digital specialists such as information, IT and media professionals. Given the lack of evidence, this article draws on semi-structured interviews with experts in the United Kingdom, enhanced by a diary methodology and a conversational approach to the think aloud method, to explore how they engage with and evaluate online content. In doing so, it addresses what digital literacy entails and how to promote it across the national curriculum for England. It is argued that the ability to evaluate online content involves not only reflections on the nature and origin of information, contextual knowledge and the use of multiple sources, but also functional and critical digital skills and knowledge about the internet and the digital environment. Relatedly, it is argued that the Citizenship and Computing curricula should be revised to promote digital literacy as a cross-curricular subject.","author":[{"dropping-particle":"","family":"Polizzi","given":"Gianfranco","non-dropping-particle":"","parse-names":false,"suffix":""}],"container-title":"Computers and Education","id":"ITEM-1","issued":{"date-parts":[["2020"]]},"title":"Digital literacy and the national curriculum for England: Learning from how the experts engage with and evaluate online content","type":"article-journal","volume":"152"},"uris":["http://www.mendeley.com/documents/?uuid=9c9afc72-c834-4903-b0de-75ec5985cd7f","http://www.mendeley.com/documents/?uuid=259c6140-63c7-4dab-af0f-840ff3a23381","http://www.mendeley.com/documents/?uuid=0ac6716d-04c5-4293-85dc-90c45ba7c788"]}],"mendeley":{"formattedCitation":"[12]","plainTextFormattedCitation":"[12]","previouslyFormattedCitation":"[12]"},"properties":{"noteIndex":0},"schema":"https://github.com/citation-style-language/schema/raw/master/csl-citation.json"}</w:instrText>
      </w:r>
      <w:r w:rsidR="00393605" w:rsidRPr="00AB5B40">
        <w:rPr>
          <w:color w:val="000000" w:themeColor="text1"/>
          <w:sz w:val="20"/>
        </w:rPr>
        <w:fldChar w:fldCharType="separate"/>
      </w:r>
      <w:r w:rsidR="00AE0CA0" w:rsidRPr="00AE0CA0">
        <w:rPr>
          <w:noProof/>
          <w:color w:val="000000" w:themeColor="text1"/>
          <w:sz w:val="20"/>
        </w:rPr>
        <w:t>[12]</w:t>
      </w:r>
      <w:r w:rsidR="00393605" w:rsidRPr="00AB5B40">
        <w:rPr>
          <w:color w:val="000000" w:themeColor="text1"/>
          <w:sz w:val="20"/>
        </w:rPr>
        <w:fldChar w:fldCharType="end"/>
      </w:r>
      <w:r w:rsidR="00393605" w:rsidRPr="00AB5B40">
        <w:rPr>
          <w:color w:val="000000" w:themeColor="text1"/>
          <w:sz w:val="20"/>
        </w:rPr>
        <w:t xml:space="preserve">, </w:t>
      </w:r>
      <w:r w:rsidR="00393605" w:rsidRPr="00AB5B40">
        <w:rPr>
          <w:color w:val="000000" w:themeColor="text1"/>
          <w:sz w:val="20"/>
        </w:rPr>
        <w:fldChar w:fldCharType="begin" w:fldLock="1"/>
      </w:r>
      <w:r w:rsidR="00AE0CA0">
        <w:rPr>
          <w:color w:val="000000" w:themeColor="text1"/>
          <w:sz w:val="20"/>
        </w:rPr>
        <w:instrText>ADDIN CSL_CITATION {"citationItems":[{"id":"ITEM-1","itemData":{"DOI":"10.9756/INT-JECSE/V12I1.201016","ISSN":"13085581","abstract":"This article focuses on the analysis of the spectrum related to the field of digital competencies in the higher education landscape, trying to focus on the most outstanding aspects of the technological landscape and its aspects. Emphasis is given to issues related to information and communication technologies and their gravitational role in educational work, taking into account the mechanisms that allow to strengthen the importance of digital literacy and inclusion. On the other hand, the panorama of artificial intelligence and its relationship in the training of professionals according to the demands of an increasingly technological environment are reviewed.","author":[{"dropping-particle":"","family":"Ocaña-Fernández","given":"Yolvi","non-dropping-particle":"","parse-names":false,"suffix":""},{"dropping-particle":"","family":"Fernández","given":"Luis Alex Valenzuela","non-dropping-particle":"","parse-names":false,"suffix":""},{"dropping-particle":"","family":"Chiparra","given":"William Eduardo Mory","non-dropping-particle":"","parse-names":false,"suffix":""},{"dropping-particle":"","family":"Gallarday-Morales","given":"Santiago","non-dropping-particle":"","parse-names":false,"suffix":""}],"container-title":"International Journal of Early Childhood Special Education","id":"ITEM-1","issue":"1","issued":{"date-parts":[["2020"]]},"page":"370-377","title":"Digital skills and digital literacy: New trends in vocational training","type":"article-journal","volume":"12"},"uris":["http://www.mendeley.com/documents/?uuid=2c6f5c3a-95cc-4cf3-b343-af76937e4e77","http://www.mendeley.com/documents/?uuid=17fec61a-fac1-48e0-8874-b4c145d6803c","http://www.mendeley.com/documents/?uuid=e4b7e171-3baf-4f89-9eb8-f1515f73b821"]}],"mendeley":{"formattedCitation":"[13]","plainTextFormattedCitation":"[13]","previouslyFormattedCitation":"[13]"},"properties":{"noteIndex":0},"schema":"https://github.com/citation-style-language/schema/raw/master/csl-citation.json"}</w:instrText>
      </w:r>
      <w:r w:rsidR="00393605" w:rsidRPr="00AB5B40">
        <w:rPr>
          <w:color w:val="000000" w:themeColor="text1"/>
          <w:sz w:val="20"/>
        </w:rPr>
        <w:fldChar w:fldCharType="separate"/>
      </w:r>
      <w:r w:rsidR="00AE0CA0" w:rsidRPr="00AE0CA0">
        <w:rPr>
          <w:noProof/>
          <w:color w:val="000000" w:themeColor="text1"/>
          <w:sz w:val="20"/>
        </w:rPr>
        <w:t>[13]</w:t>
      </w:r>
      <w:r w:rsidR="00393605" w:rsidRPr="00AB5B40">
        <w:rPr>
          <w:color w:val="000000" w:themeColor="text1"/>
          <w:sz w:val="20"/>
        </w:rPr>
        <w:fldChar w:fldCharType="end"/>
      </w:r>
      <w:r w:rsidR="00393605" w:rsidRPr="00AB5B40">
        <w:rPr>
          <w:color w:val="000000" w:themeColor="text1"/>
          <w:sz w:val="20"/>
        </w:rPr>
        <w:t xml:space="preserve">. </w:t>
      </w:r>
      <w:r w:rsidR="00D5477F" w:rsidRPr="00AB5B40">
        <w:rPr>
          <w:color w:val="000000" w:themeColor="text1"/>
          <w:sz w:val="20"/>
        </w:rPr>
        <w:t>So that educators can play a more innovative and productive role in improving the quality of students. This does not mean that the role of the teacher will be replaced by technology. However, technology will be able to optimize the role of teachers in the classroom as superior individuals who have knowledge, skills, and character. Therefore, educators must utilize technology to support student learning, including the internet of things, virtual or augmented reality, and artificial intelligence</w:t>
      </w:r>
      <w:r>
        <w:rPr>
          <w:color w:val="000000" w:themeColor="text1"/>
          <w:sz w:val="20"/>
        </w:rPr>
        <w:t>,</w:t>
      </w:r>
      <w:r w:rsidR="00D5477F" w:rsidRPr="00AB5B40">
        <w:rPr>
          <w:color w:val="000000" w:themeColor="text1"/>
          <w:sz w:val="20"/>
        </w:rPr>
        <w:t xml:space="preserve"> to accommodate student learning needs. Activity collaborative learning deserves to be optimized like a new era learning scenario</w:t>
      </w:r>
      <w:r w:rsidR="00AE0CA0">
        <w:rPr>
          <w:color w:val="000000" w:themeColor="text1"/>
          <w:sz w:val="20"/>
        </w:rPr>
        <w:t xml:space="preserve"> </w:t>
      </w:r>
      <w:r w:rsidR="00AE0CA0">
        <w:rPr>
          <w:color w:val="000000" w:themeColor="text1"/>
          <w:sz w:val="20"/>
        </w:rPr>
        <w:fldChar w:fldCharType="begin" w:fldLock="1"/>
      </w:r>
      <w:r w:rsidR="00AE0CA0">
        <w:rPr>
          <w:color w:val="000000" w:themeColor="text1"/>
          <w:sz w:val="20"/>
        </w:rPr>
        <w:instrText>ADDIN CSL_CITATION {"citationItems":[{"id":"ITEM-1","itemData":{"DOI":"10.1088/1742-6596/1908/1/012011","author":[{"dropping-particle":"","family":"Putra","given":"Andika Bagus Nur Rahma","non-dropping-particle":"","parse-names":false,"suffix":""},{"dropping-particle":"","family":"Mukhadis","given":"Amat","non-dropping-particle":"","parse-names":false,"suffix":""},{"dropping-particle":"","family":"Ulfatin","given":"Nurul","non-dropping-particle":"","parse-names":false,"suffix":""}],"container-title":"Journal of Physics: Conference Series PAPER","id":"ITEM-1","issue":"1","issued":{"date-parts":[["2021"]]},"page":"1-7","title":"Augmented Reality ( AR ) Press Machine as the application of the latest learning media technology in the XXI Century","type":"article-journal","volume":"19"},"uris":["http://www.mendeley.com/documents/?uuid=a739bec7-0a1d-42a6-90af-879d377e55d4"]},{"id":"ITEM-2","itemData":{"DOI":"10.1088/1742-6596/1833/1/012010","ISSN":"17426596","abstract":"Currently, the development of virtual learning technology continues to increase. Virtual technology such as augmented reality is becoming a sophisticated learning innovation. On the other hand, the special abilities of vocational education graduates have decreased relatively. This study aims to: 1) map the components of the need to improve special skills in vocational education graduate students; 2) develop 3D-modeling based augmented reality learning technology; and 3) testing the attractiveness of the 3D-modeling based augmented reality learning technology. The method used is the research and development (R&amp;D) method. Requirement component map data was taken using qualitative methods through questionnaires and observations. Informants at this stage were students in the field of vocational education at State Universities in East Java. Furthermore, expert tests were conducted by material experts in the field of vocational education and online learning media experts. The results of this study include 1) map of the components of the need to improve special skills in vocational education student graduates consisting of idea development (78%), utilization of infrastructure (82%), deepening knowledge (90%), professional organization (88%), and mental stimulation (90 %); 2) the developed 3D-modeling based augmented reality learning technology has an excellent level of attractiveness and feasibility based on online learning media experts and material experts; and 3) learning technology products based on 3D-modeling augmented reality which is developed can increase the special skills of graduate vocational education students.","author":[{"dropping-particle":"","family":"Tuwoso","given":"","non-dropping-particle":"","parse-names":false,"suffix":""},{"dropping-particle":"","family":"Putra","given":"A. B.N.R.","non-dropping-particle":"","parse-names":false,"suffix":""},{"dropping-particle":"","family":"Mukhadis","given":"A.","non-dropping-particle":"","parse-names":false,"suffix":""},{"dropping-particle":"","family":"Purnomo","given":"","non-dropping-particle":"","parse-names":false,"suffix":""},{"dropping-particle":"","family":"Mahamad","given":"Abd Kadir","non-dropping-particle":"Bin","parse-names":false,"suffix":""},{"dropping-particle":"","family":"Subandi","given":"M. S.","non-dropping-particle":"","parse-names":false,"suffix":""}],"container-title":"Journal of Physics: Conference Series","id":"ITEM-2","issue":"1","issued":{"date-parts":[["2021"]]},"page":"1-7","title":"The technology of augmented reality based on 3D modeling to improve special skills for vocational students in the era of industrial revolution 4.0","type":"article-journal","volume":"1833"},"uris":["http://www.mendeley.com/documents/?uuid=e964bfca-7d2a-42d7-9a63-b4c9a03d3d25"]}],"mendeley":{"formattedCitation":"[14], [15]","plainTextFormattedCitation":"[14], [15]","previouslyFormattedCitation":"[14], [15]"},"properties":{"noteIndex":0},"schema":"https://github.com/citation-style-language/schema/raw/master/csl-citation.json"}</w:instrText>
      </w:r>
      <w:r w:rsidR="00AE0CA0">
        <w:rPr>
          <w:color w:val="000000" w:themeColor="text1"/>
          <w:sz w:val="20"/>
        </w:rPr>
        <w:fldChar w:fldCharType="separate"/>
      </w:r>
      <w:r w:rsidR="00AE0CA0" w:rsidRPr="00AE0CA0">
        <w:rPr>
          <w:noProof/>
          <w:color w:val="000000" w:themeColor="text1"/>
          <w:sz w:val="20"/>
        </w:rPr>
        <w:t>[14], [15]</w:t>
      </w:r>
      <w:r w:rsidR="00AE0CA0">
        <w:rPr>
          <w:color w:val="000000" w:themeColor="text1"/>
          <w:sz w:val="20"/>
        </w:rPr>
        <w:fldChar w:fldCharType="end"/>
      </w:r>
      <w:r w:rsidR="00D5477F" w:rsidRPr="00AB5B40">
        <w:rPr>
          <w:color w:val="000000" w:themeColor="text1"/>
          <w:sz w:val="20"/>
        </w:rPr>
        <w:t>.</w:t>
      </w:r>
    </w:p>
    <w:p w14:paraId="136E147C" w14:textId="2CEED165" w:rsidR="00D5477F" w:rsidRPr="00AB5B40" w:rsidRDefault="00D5477F" w:rsidP="00D5477F">
      <w:pPr>
        <w:pBdr>
          <w:top w:val="nil"/>
          <w:left w:val="nil"/>
          <w:bottom w:val="nil"/>
          <w:right w:val="nil"/>
          <w:between w:val="nil"/>
        </w:pBdr>
        <w:ind w:firstLine="284"/>
        <w:jc w:val="both"/>
        <w:rPr>
          <w:color w:val="000000" w:themeColor="text1"/>
          <w:sz w:val="20"/>
        </w:rPr>
      </w:pPr>
      <w:r w:rsidRPr="00AB5B40">
        <w:rPr>
          <w:color w:val="000000" w:themeColor="text1"/>
          <w:sz w:val="20"/>
        </w:rPr>
        <w:t xml:space="preserve">TVET Development in the era of educational disruption has undergone a paradigm shift in the adaptation and innovation process to align with industrial developments and prepare productive individuals </w:t>
      </w:r>
      <w:r w:rsidR="00134334" w:rsidRPr="00AB5B40">
        <w:rPr>
          <w:color w:val="000000" w:themeColor="text1"/>
          <w:sz w:val="20"/>
        </w:rPr>
        <w:fldChar w:fldCharType="begin" w:fldLock="1"/>
      </w:r>
      <w:r w:rsidR="00AE0CA0">
        <w:rPr>
          <w:color w:val="000000" w:themeColor="text1"/>
          <w:sz w:val="20"/>
        </w:rPr>
        <w:instrText>ADDIN CSL_CITATION {"citationItems":[{"id":"ITEM-1","itemData":{"DOI":"10.1080/14480220.2019.1629728","ISSN":"14480220","abstract":"This article discusses changes in the labor market in reference to industrial development and outlines perspectives for a set of competencies as an overall objective for technical and vocational education and training (TVET). Essential steps toward achieving this objective include a praxis-oriented approach in vocational didactics and its alignment with outcome-oriented qualification frameworks. Research on TVET is a driver for systemic development, thus supporting the process of adaptation and innovation of TVET systems. Especially, participatory action-research approaches encourage sustainable societal innovation, and generation of knowledge. The exchange of relevant knowledge is enhanced by international cooperation of the scientific community. The Regional Association of Vocational and Technical Education in Asia (RAVTE), as a network in East and Southeast Asia, is enhancing the development of TVET systems in the ASEAN region by supporting the establishment of vocational education as a scientific discipline, the education of vocational teachers, and through generation and dissemination of knowledge that can be applied by practitioners, administrators, and politicians.","author":[{"dropping-particle":"","family":"Schröder","given":"Thomas","non-dropping-particle":"","parse-names":false,"suffix":""}],"container-title":"International Journal of Training Research","id":"ITEM-1","issue":"sup1","issued":{"date-parts":[["2019"]]},"page":"83-95","title":"A regional approach for the development of TVET systems in the light of the 4th industrial revolution: the regional association of vocational and technical education in Asia","type":"article-journal","volume":"17"},"uris":["http://www.mendeley.com/documents/?uuid=8149c50c-2f13-4a63-bdab-5347aec3a640","http://www.mendeley.com/documents/?uuid=89644ae9-3e35-47d6-869a-f7f7cfbb9434","http://www.mendeley.com/documents/?uuid=dec25593-01f3-4f55-8ae0-7080a94fd749"]},{"id":"ITEM-2","itemData":{"DOI":"10.30880/jtet.2019.11.01.002","ISSN":"22298932","abstract":"Competency framework is a tool that determines the needed competencies for individuals in order to curtail the challenges that are existing currently and to uphold sustainable development. From the educational perspective, the competencies of TVET teachers are important as they might affect the teachers’ implementation of tasks, career development and graduates’ quality. Therefore, this research attempted to develop a competency framework for TVET teachers in Nigerian TVET tertiary institutions based on the Malaysian Human Resource Practitioners Development (MHRDP) Competency Model. The study adopted a survey design and 427 TVET teachers were identified as targeted sample. A set of questionnaire was developed based on the MHRDP Competency Model (α=0.61). A total of 218 questionnaires were distributed to five TVET tertiary institutions using stratified sampling technique and 205 questionnaires were successfully returned. Exploratory Factor Analysis was used to analyse the data. The findings revealed that 19 elements of competency were significantly relevant to Nigerian TVET teachers who work at tertiary institutions. The proposed competency framework is beneficial to be used as a guideline for the Nigerian TVET institutions and policy makers to plan the competency training and retraining courses for TVET teachers and staff development.","author":[{"dropping-particle":"","family":"Lai","given":"Chee Sern","non-dropping-particle":"","parse-names":false,"suffix":""},{"dropping-particle":"","family":"Hamisu","given":"Mohammed Adamu","non-dropping-particle":"","parse-names":false,"suffix":""},{"dropping-particle":"","family":"Salleh","given":"Kahirol Mohd","non-dropping-particle":"","parse-names":false,"suffix":""}],"container-title":"Journal of Technical Education and Training","id":"ITEM-2","issue":"1","issued":{"date-parts":[["2019"]]},"page":"11-18","title":"Development of competency framework for nigerian TVET teachers in tertiary TVET institutions","type":"article-journal","volume":"11"},"uris":["http://www.mendeley.com/documents/?uuid=815629b1-c24b-45d5-8324-0b6c6f793f6f","http://www.mendeley.com/documents/?uuid=eb9d1ed6-dd39-467a-b879-d396e83e7d41","http://www.mendeley.com/documents/?uuid=d4b67c01-20a5-41b8-8c42-49eaad844dfb"]}],"mendeley":{"formattedCitation":"[16], [17]","plainTextFormattedCitation":"[16], [17]","previouslyFormattedCitation":"[16], [17]"},"properties":{"noteIndex":0},"schema":"https://github.com/citation-style-language/schema/raw/master/csl-citation.json"}</w:instrText>
      </w:r>
      <w:r w:rsidR="00134334" w:rsidRPr="00AB5B40">
        <w:rPr>
          <w:color w:val="000000" w:themeColor="text1"/>
          <w:sz w:val="20"/>
        </w:rPr>
        <w:fldChar w:fldCharType="separate"/>
      </w:r>
      <w:r w:rsidR="00AE0CA0" w:rsidRPr="00AE0CA0">
        <w:rPr>
          <w:noProof/>
          <w:color w:val="000000" w:themeColor="text1"/>
          <w:sz w:val="20"/>
        </w:rPr>
        <w:t>[16], [17]</w:t>
      </w:r>
      <w:r w:rsidR="00134334" w:rsidRPr="00AB5B40">
        <w:rPr>
          <w:color w:val="000000" w:themeColor="text1"/>
          <w:sz w:val="20"/>
        </w:rPr>
        <w:fldChar w:fldCharType="end"/>
      </w:r>
      <w:r w:rsidR="009D1953" w:rsidRPr="00AB5B40">
        <w:rPr>
          <w:color w:val="000000" w:themeColor="text1"/>
          <w:sz w:val="20"/>
        </w:rPr>
        <w:t>.</w:t>
      </w:r>
      <w:r w:rsidR="00134334" w:rsidRPr="00AB5B40">
        <w:rPr>
          <w:color w:val="000000" w:themeColor="text1"/>
          <w:sz w:val="20"/>
        </w:rPr>
        <w:t xml:space="preserve"> </w:t>
      </w:r>
      <w:r w:rsidR="00D353D9" w:rsidRPr="00854D19">
        <w:rPr>
          <w:color w:val="000000"/>
          <w:sz w:val="20"/>
        </w:rPr>
        <w:t>Based on that, from the point of view of education</w:t>
      </w:r>
      <w:r w:rsidRPr="00AB5B40">
        <w:rPr>
          <w:color w:val="000000" w:themeColor="text1"/>
          <w:sz w:val="20"/>
        </w:rPr>
        <w:t xml:space="preserve">, </w:t>
      </w:r>
      <w:r w:rsidR="00D353D9">
        <w:rPr>
          <w:color w:val="000000" w:themeColor="text1"/>
          <w:sz w:val="20"/>
        </w:rPr>
        <w:t>TVET educational competencies are</w:t>
      </w:r>
      <w:r w:rsidRPr="00AB5B40">
        <w:rPr>
          <w:color w:val="000000" w:themeColor="text1"/>
          <w:sz w:val="20"/>
        </w:rPr>
        <w:t xml:space="preserve"> </w:t>
      </w:r>
      <w:r w:rsidR="00D353D9">
        <w:rPr>
          <w:color w:val="000000" w:themeColor="text1"/>
          <w:sz w:val="20"/>
        </w:rPr>
        <w:t>essential</w:t>
      </w:r>
      <w:r w:rsidRPr="00AB5B40">
        <w:rPr>
          <w:color w:val="000000" w:themeColor="text1"/>
          <w:sz w:val="20"/>
        </w:rPr>
        <w:t xml:space="preserve"> for career development and the quality of graduates produced. The quality of TVET graduates can play an optimal role in the industry if their competencies match the </w:t>
      </w:r>
      <w:r w:rsidR="00D353D9">
        <w:rPr>
          <w:color w:val="000000" w:themeColor="text1"/>
          <w:sz w:val="20"/>
        </w:rPr>
        <w:t>industry's needs</w:t>
      </w:r>
      <w:r w:rsidRPr="00AB5B40">
        <w:rPr>
          <w:color w:val="000000" w:themeColor="text1"/>
          <w:sz w:val="20"/>
        </w:rPr>
        <w:t>. The industry has responded to improve the competence of educators to be able to transfer their knowledge to their students</w:t>
      </w:r>
      <w:r w:rsidR="00D353D9">
        <w:rPr>
          <w:color w:val="000000" w:themeColor="text1"/>
          <w:sz w:val="20"/>
        </w:rPr>
        <w:t xml:space="preserve"> s</w:t>
      </w:r>
      <w:r w:rsidRPr="00AB5B40">
        <w:rPr>
          <w:color w:val="000000" w:themeColor="text1"/>
          <w:sz w:val="20"/>
        </w:rPr>
        <w:t>o that the education and training of TVET educators must be developed based on the competence of developing superior human resources.</w:t>
      </w:r>
    </w:p>
    <w:p w14:paraId="007C1359" w14:textId="7CB0DF4E" w:rsidR="00D5477F" w:rsidRPr="00AB5B40" w:rsidRDefault="00D5477F" w:rsidP="00D5477F">
      <w:pPr>
        <w:pBdr>
          <w:top w:val="nil"/>
          <w:left w:val="nil"/>
          <w:bottom w:val="nil"/>
          <w:right w:val="nil"/>
          <w:between w:val="nil"/>
        </w:pBdr>
        <w:ind w:firstLine="284"/>
        <w:jc w:val="both"/>
        <w:rPr>
          <w:color w:val="000000" w:themeColor="text1"/>
          <w:sz w:val="20"/>
        </w:rPr>
      </w:pPr>
      <w:r w:rsidRPr="00AB5B40">
        <w:rPr>
          <w:color w:val="000000" w:themeColor="text1"/>
          <w:sz w:val="20"/>
        </w:rPr>
        <w:t xml:space="preserve">The quality of human resources for TVET educators currently needs to be developed professionally and sustainably to produce quality graduates </w:t>
      </w:r>
      <w:r w:rsidR="00EF1FE2" w:rsidRPr="00AB5B40">
        <w:rPr>
          <w:color w:val="000000" w:themeColor="text1"/>
          <w:sz w:val="20"/>
        </w:rPr>
        <w:fldChar w:fldCharType="begin" w:fldLock="1"/>
      </w:r>
      <w:r w:rsidR="00AE0CA0">
        <w:rPr>
          <w:color w:val="000000" w:themeColor="text1"/>
          <w:sz w:val="20"/>
        </w:rPr>
        <w:instrText>ADDIN CSL_CITATION {"citationItems":[{"id":"ITEM-1","itemData":{"DOI":"10.1080/14480220.2020.1860301","ISSN":"14480220","abstract":"Despite the diversity of views in the literature about what employability skills are, there appears to be general agreement that employability skills are important. However, there are concerns about whether TVET graduates in developing countries are developing these skills and the onus falls upon TVET teachers to ensure they do so. In this qualitative study, 35 TVET teachers from 19 developing countries were interviewed to learn how TVET teachers foster the employability skills of learners. Data collected were transcribed, coded and analysed using thematic analysis. Findings show that the well-published notion that TVET teachers in many developing countries do not make efforts to impart employability skills to their students could be brought into question. Results of this study show that TVET teachers use various techniques to foster employability skills in their TVET learners. Continuous professional development of TVET teachers to ensure quality graduate outcomes is recommended.","author":[{"dropping-particle":"","family":"Okolie","given":"Ugochukwu C.","non-dropping-particle":"","parse-names":false,"suffix":""},{"dropping-particle":"","family":"Elom","given":"Elisha N.","non-dropping-particle":"","parse-names":false,"suffix":""},{"dropping-particle":"","family":"Igwe","given":"Paul A.","non-dropping-particle":"","parse-names":false,"suffix":""},{"dropping-particle":"","family":"Nwajiuba","given":"Chinyere A.","non-dropping-particle":"","parse-names":false,"suffix":""},{"dropping-particle":"","family":"Binuomote","given":"Michael O.","non-dropping-particle":"","parse-names":false,"suffix":""},{"dropping-particle":"","family":"Igu","given":"Ntasiobi","non-dropping-particle":"","parse-names":false,"suffix":""}],"container-title":"International Journal of Training Research","id":"ITEM-1","issued":{"date-parts":[["2020"]]},"title":"How TVET teachers foster employability skills: insights from developing countries","type":"article-journal"},"uris":["http://www.mendeley.com/documents/?uuid=44384f66-b398-4dbc-a6ec-9710182b3234","http://www.mendeley.com/documents/?uuid=d3df7f23-61be-41e5-858c-7cd77fb7a0ff","http://www.mendeley.com/documents/?uuid=f64a99c6-7d57-473b-8b4b-63ccce46a17f"]},{"id":"ITEM-2","itemData":{"abstract":"This study seeks to determine the effect of professional development on teacher's self-efficacy under the mediating &amp; moderating effect of technology training and working culture in TVET teachers. The research is carried out on and to the benefit of the TVET teachers working in public sector technology colleges in Southern Punjab. The quantitative research design aims to determine the relationship between professional development and teacher' self-efficacy and the mediating &amp; moderating role of technology training and working culture on this relationship. The results showed that there is presence of a strong moderating relationship between professional development and TVET teachers' self-efficacy. Technology Training has a weaker mediating effect on the causal connection, while unusually moderating variable working culture has negative effect on the relationship.","author":[{"dropping-particle":"","family":"Khan","given":"Areeba","non-dropping-particle":"","parse-names":false,"suffix":""},{"dropping-particle":"","family":"Siddiqui","given":"Sulaman Hafeez","non-dropping-particle":"","parse-names":false,"suffix":""},{"dropping-particle":"","family":"Abbasi","given":"M Imran","non-dropping-particle":"","parse-names":false,"suffix":""}],"container-title":"Pakistan Journal of Social Sciences (PJSS)","id":"ITEM-2","issued":{"date-parts":[["2020"]]},"title":"Professional Development as a Determinant of Self-efficacy of TVET Teachers, under the Mediating &amp; Moderating Effect of Technology Training and Work Culture","type":"article-journal"},"uris":["http://www.mendeley.com/documents/?uuid=e6000a29-677f-4f10-915f-c53d87a9fa9b","http://www.mendeley.com/documents/?uuid=5446d82d-569b-4102-839d-97afce5980b8"]},{"id":"ITEM-3","itemData":{"DOI":"10.13189/ujer.2020.081612","ISSN":"23323213","abstract":"Teachers' competency has sparked much interest among educational stakeholders in Malaysia. The debates among how well Malaysian teachers educate students has produced concern and become interminably reported in research. Under the government civil servants' services, teachers have been called upon to gain and bringing back this noble and reputable profession at its standard and earn the trust of parents in ensuring the success of their children at school. As part of this matter, TVET stream in Malaysia becomes sensational and selected as one of the national agendas in producing the local manpower and human capital development, where the spirit is to grow the young generation to become a skilled-worker in industry. Indeed, encumbrance issues such as teacher competency, program accreditation, and unemployment among graduates are among those matters mostly brought into round-table discussions and conversations among stakeholders. Therefore, this article depicted one of the issues, which is on the basis of teachers' competency and analyzed the relationship between teacher's competency traits (knowledge, skills, attitude) and teaching practices in practical-based learning and also to discover the best predictor contributed to teacher's competency measurement. A survey was distributed to 150 TVET teachers at three selected vocational colleges in Selangor. The construct of the questionnaire was adapted from prior studies and undergone a pilot study to ensure the questionnaire fit with intended research objective. The results of the study revealed that knowledge, skills, and attributes have played a major role in ensuring the competency level of Teachers. Along with the findings, the knowledge of the teachers was found the most critical factor to describe TVET teacher’s competency. The implication of the results suggested that holistic traits of teacher that in knowledge, skills, and attitudes inclusively empower, their competency level of becoming effective teachers. Notwithstanding the need for the development of skilled manpower must conclusively enlighten not only knowledge-based but also students' discovery of their skills and attitude potential especially when entering the job environment. Therefore, before proceeding with the teaching and learning environment, the teacher must first imply all these characteristics and exercise this application to students. Ultimately, the outcome from this environment will help students to venture the employment market a…","author":[{"dropping-particle":"","family":"Omar","given":"Muhd Khaizer","non-dropping-particle":"","parse-names":false,"suffix":""},{"dropping-particle":"","family":"Zahar","given":"Farah Nadia","non-dropping-particle":"","parse-names":false,"suffix":""},{"dropping-particle":"","family":"Rashid","given":"Abdullah Mat","non-dropping-particle":"","parse-names":false,"suffix":""}],"container-title":"Universal Journal of Educational Research","id":"ITEM-3","issue":"3 3C","issued":{"date-parts":[["2020"]]},"page":"95-104","title":"Knowledge, skills, and attitudes as predictors in determining teachers' competency in Malaysian TVET institutions","type":"article-journal","volume":"8"},"uris":["http://www.mendeley.com/documents/?uuid=590d15e6-e00e-497e-a1fc-01b55968cc8a","http://www.mendeley.com/documents/?uuid=9c897469-af6c-4171-b982-17919b5060f6","http://www.mendeley.com/documents/?uuid=b31a4a09-2d0d-4930-9d9e-bb0c5b4ad14c"]}],"mendeley":{"formattedCitation":"[18]–[20]","plainTextFormattedCitation":"[18]–[20]","previouslyFormattedCitation":"[18]–[20]"},"properties":{"noteIndex":0},"schema":"https://github.com/citation-style-language/schema/raw/master/csl-citation.json"}</w:instrText>
      </w:r>
      <w:r w:rsidR="00EF1FE2" w:rsidRPr="00AB5B40">
        <w:rPr>
          <w:color w:val="000000" w:themeColor="text1"/>
          <w:sz w:val="20"/>
        </w:rPr>
        <w:fldChar w:fldCharType="separate"/>
      </w:r>
      <w:r w:rsidR="00AE0CA0" w:rsidRPr="00AE0CA0">
        <w:rPr>
          <w:noProof/>
          <w:color w:val="000000" w:themeColor="text1"/>
          <w:sz w:val="20"/>
        </w:rPr>
        <w:t>[18]–[20]</w:t>
      </w:r>
      <w:r w:rsidR="00EF1FE2" w:rsidRPr="00AB5B40">
        <w:rPr>
          <w:color w:val="000000" w:themeColor="text1"/>
          <w:sz w:val="20"/>
        </w:rPr>
        <w:fldChar w:fldCharType="end"/>
      </w:r>
      <w:r w:rsidR="00EF1FE2" w:rsidRPr="00AB5B40">
        <w:rPr>
          <w:color w:val="000000" w:themeColor="text1"/>
          <w:sz w:val="20"/>
        </w:rPr>
        <w:t xml:space="preserve">. </w:t>
      </w:r>
      <w:r w:rsidRPr="00AB5B40">
        <w:rPr>
          <w:color w:val="000000" w:themeColor="text1"/>
          <w:sz w:val="20"/>
        </w:rPr>
        <w:t xml:space="preserve">So far, the biggest challenge in developing TVET educators is the lack of career and life skills training. TVET educator career development training focuses on industry needs-oriented skills development. TVET educators have a central role in transforming industry needs into graduate job opportunities. So that increasing the competence of TVET educators is a </w:t>
      </w:r>
      <w:r w:rsidR="00D353D9">
        <w:rPr>
          <w:color w:val="000000" w:themeColor="text1"/>
          <w:sz w:val="20"/>
        </w:rPr>
        <w:t>crucial</w:t>
      </w:r>
      <w:r w:rsidRPr="00AB5B40">
        <w:rPr>
          <w:color w:val="000000" w:themeColor="text1"/>
          <w:sz w:val="20"/>
        </w:rPr>
        <w:t xml:space="preserve"> step to the success of TVET education in the era of society 5.0</w:t>
      </w:r>
      <w:r w:rsidR="00D353D9">
        <w:rPr>
          <w:color w:val="000000" w:themeColor="text1"/>
          <w:sz w:val="20"/>
        </w:rPr>
        <w:t>,</w:t>
      </w:r>
      <w:r w:rsidRPr="00AB5B40">
        <w:rPr>
          <w:color w:val="000000" w:themeColor="text1"/>
          <w:sz w:val="20"/>
        </w:rPr>
        <w:t xml:space="preserve"> which is proficient in the use of digital technology. The </w:t>
      </w:r>
      <w:r w:rsidR="00D353D9">
        <w:rPr>
          <w:color w:val="000000" w:themeColor="text1"/>
          <w:sz w:val="20"/>
        </w:rPr>
        <w:t>application of models, media characterizes the use of digital technology-oriented learning</w:t>
      </w:r>
      <w:r w:rsidRPr="00AB5B40">
        <w:rPr>
          <w:color w:val="000000" w:themeColor="text1"/>
          <w:sz w:val="20"/>
        </w:rPr>
        <w:t xml:space="preserve"> and learning methods used</w:t>
      </w:r>
      <w:r w:rsidR="00AE0CA0">
        <w:rPr>
          <w:color w:val="000000" w:themeColor="text1"/>
          <w:sz w:val="20"/>
        </w:rPr>
        <w:t xml:space="preserve"> </w:t>
      </w:r>
      <w:r w:rsidR="00AE0CA0">
        <w:rPr>
          <w:color w:val="000000" w:themeColor="text1"/>
          <w:sz w:val="20"/>
        </w:rPr>
        <w:fldChar w:fldCharType="begin" w:fldLock="1"/>
      </w:r>
      <w:r w:rsidR="00AE0CA0">
        <w:rPr>
          <w:color w:val="000000" w:themeColor="text1"/>
          <w:sz w:val="20"/>
        </w:rPr>
        <w:instrText>ADDIN CSL_CITATION {"citationItems":[{"id":"ITEM-1","itemData":{"DOI":"10.1088/1742-6596/1833/1/012030","ISSN":"17426596","abstract":"The era of education 4.0 is an era of digitalization and transformation. Learning media must also follow technological developments for the learning process. The problem that often arises is the relatively weak learning media in the form of supporting programs for arranging learning plan. This study aims to: 1) mapping the components of learning media in the education 4.0 era; 2) testing the level of attractiveness of the Learning Plan Designer Based Mobile Web; and 3) testing the effectiveness level of the Learning Plan Designer Based Mobile Web. This study uses research and development (R&amp;D) methods. In the mapping process, data collection techniques are through questionnaires and documentation. The focus of research is in vocational colleges in East Java. The results of this study include: 1) the components of learning media in the education 4.0 era consisting of easily accessible, ongoing information, easy to use, technology-based, intelligence systems, and educational interactions; 2) Learning Plan Designer Based Mobile Web products developed are feasible and attractive (mean score of 93.5%) based on the validation results of learning software experts and vocational and science education material experts; and 3) the results of the development of the Learning Plan Designer Based Mobile Web product are proven to be effective and can be used as a reference and alternative media for further research.","author":[{"dropping-particle":"","family":"Mukhadis","given":"A.","non-dropping-particle":"","parse-names":false,"suffix":""},{"dropping-particle":"","family":"Putra","given":"A. B.N.R.","non-dropping-particle":"","parse-names":false,"suffix":""},{"dropping-particle":"","family":"Kiong","given":"T. T.","non-dropping-particle":"","parse-names":false,"suffix":""},{"dropping-particle":"","family":"Sumarli","given":"","non-dropping-particle":"","parse-names":false,"suffix":""},{"dropping-particle":"","family":"Sutadji","given":"E.","non-dropping-particle":"","parse-names":false,"suffix":""},{"dropping-particle":"","family":"Puspitasari","given":"P.","non-dropping-particle":"","parse-names":false,"suffix":""},{"dropping-particle":"","family":"Sembiring","given":"A. I.","non-dropping-particle":"","parse-names":false,"suffix":""},{"dropping-particle":"","family":"Subandi","given":"M. S.","non-dropping-particle":"","parse-names":false,"suffix":""}],"container-title":"Journal of Physics: Conference Series","id":"ITEM-1","issue":"1","issued":{"date-parts":[["2021"]]},"page":"1-7","title":"The innovation of learning plan designer based mobile web to improve quality of learning media in vocational technology for education 4.0","type":"article-journal","volume":"1833"},"uris":["http://www.mendeley.com/documents/?uuid=6adbac06-fe16-4f31-a80c-02539e941771"]},{"id":"ITEM-2","itemData":{"DOI":"10.1088/1742-6596/1456/1/012043","ISSN":"17426596","abstract":"This study aims to find the factors that cause the low pedagogical supremacy competence of vocational education lecturers and examine the attractiveness of heutagogy-based training module innovations to improve pedagogical supremacy of vocational education lecturers. This research uses the R&amp;D method. The research focused on tertiary education in vocational fields in East Java. The results and findings in this study include: (1) the factors that cause the low pedagogical supremacy competency of vocational education lecturers include the management factors of students (understanding insight or educational foundation, understanding of students, curriculum/syllabus development, learning design, learning implementation that educates and dialogical, and evaluation of learning outcomes) and aspects of personality (active self-development activities, self-evaluation, designing self-roadmap, professional self-concept, and independent innovation); (2) the innovation of heutatogy-based training modules developed has a high level of acceptance. This is evidenced by the average score of indicators of 36.93 or the level of acceptance of 92.33%, and (3) the innovative heutagogy-based training module developed can be used as a relevant alternative reference in the development of other sophisticated media.","author":[{"dropping-particle":"","family":"Putra","given":"A. B.N.R.","non-dropping-particle":"","parse-names":false,"suffix":""},{"dropping-particle":"","family":"Syafrudie","given":"H. A.","non-dropping-particle":"","parse-names":false,"suffix":""},{"dropping-particle":"","family":"Nidhom","given":"A. M.","non-dropping-particle":"","parse-names":false,"suffix":""},{"dropping-particle":"","family":"Smaragdina","given":"A. A.","non-dropping-particle":"","parse-names":false,"suffix":""},{"dropping-particle":"","family":"Md Yunos","given":"J. B.","non-dropping-particle":"","parse-names":false,"suffix":""},{"dropping-particle":"","family":"Sembiring","given":"A. I.","non-dropping-particle":"","parse-names":false,"suffix":""},{"dropping-particle":"","family":"Eriyanto","given":"","non-dropping-particle":"","parse-names":false,"suffix":""}],"container-title":"Journal of Physics: Conference Series","id":"ITEM-2","issue":"1","issued":{"date-parts":[["2020"]]},"page":"0-7","title":"The innovation of module training based heutagogy as an acceleration for increasing pedagogical supremacy of vocational education lecturers in the industrial revolution 4.0","type":"article-journal","volume":"1456"},"uris":["http://www.mendeley.com/documents/?uuid=8dfbdf67-c79b-40d2-acf9-c038297ae591"]}],"mendeley":{"formattedCitation":"[21], [22]","plainTextFormattedCitation":"[21], [22]","previouslyFormattedCitation":"[21], [22]"},"properties":{"noteIndex":0},"schema":"https://github.com/citation-style-language/schema/raw/master/csl-citation.json"}</w:instrText>
      </w:r>
      <w:r w:rsidR="00AE0CA0">
        <w:rPr>
          <w:color w:val="000000" w:themeColor="text1"/>
          <w:sz w:val="20"/>
        </w:rPr>
        <w:fldChar w:fldCharType="separate"/>
      </w:r>
      <w:r w:rsidR="00AE0CA0" w:rsidRPr="00AE0CA0">
        <w:rPr>
          <w:noProof/>
          <w:color w:val="000000" w:themeColor="text1"/>
          <w:sz w:val="20"/>
        </w:rPr>
        <w:t>[21], [22]</w:t>
      </w:r>
      <w:r w:rsidR="00AE0CA0">
        <w:rPr>
          <w:color w:val="000000" w:themeColor="text1"/>
          <w:sz w:val="20"/>
        </w:rPr>
        <w:fldChar w:fldCharType="end"/>
      </w:r>
      <w:r w:rsidRPr="00AB5B40">
        <w:rPr>
          <w:color w:val="000000" w:themeColor="text1"/>
          <w:sz w:val="20"/>
        </w:rPr>
        <w:t>.</w:t>
      </w:r>
    </w:p>
    <w:p w14:paraId="6BBEB30B" w14:textId="2382920F" w:rsidR="00D5477F" w:rsidRPr="00AB5B40" w:rsidRDefault="00D353D9" w:rsidP="00D5477F">
      <w:pPr>
        <w:pBdr>
          <w:top w:val="nil"/>
          <w:left w:val="nil"/>
          <w:bottom w:val="nil"/>
          <w:right w:val="nil"/>
          <w:between w:val="nil"/>
        </w:pBdr>
        <w:ind w:firstLine="284"/>
        <w:jc w:val="both"/>
        <w:rPr>
          <w:color w:val="000000" w:themeColor="text1"/>
          <w:sz w:val="20"/>
        </w:rPr>
      </w:pPr>
      <w:r>
        <w:rPr>
          <w:color w:val="000000" w:themeColor="text1"/>
          <w:sz w:val="20"/>
        </w:rPr>
        <w:t>So far, the need for vocational skills</w:t>
      </w:r>
      <w:r w:rsidR="00D5477F" w:rsidRPr="00AB5B40">
        <w:rPr>
          <w:color w:val="000000" w:themeColor="text1"/>
          <w:sz w:val="20"/>
        </w:rPr>
        <w:t xml:space="preserve"> is based on communication skills, critical thinking, collaboration, and creativity (4C skills)</w:t>
      </w:r>
      <w:r w:rsidR="00471608" w:rsidRPr="00AB5B40">
        <w:rPr>
          <w:color w:val="000000" w:themeColor="text1"/>
          <w:sz w:val="20"/>
        </w:rPr>
        <w:t xml:space="preserve"> </w:t>
      </w:r>
      <w:r w:rsidR="00B257C7" w:rsidRPr="00AB5B40">
        <w:rPr>
          <w:color w:val="000000" w:themeColor="text1"/>
          <w:sz w:val="20"/>
        </w:rPr>
        <w:fldChar w:fldCharType="begin" w:fldLock="1"/>
      </w:r>
      <w:r w:rsidR="00AE0CA0">
        <w:rPr>
          <w:color w:val="000000" w:themeColor="text1"/>
          <w:sz w:val="20"/>
        </w:rPr>
        <w:instrText>ADDIN CSL_CITATION {"citationItems":[{"id":"ITEM-1","itemData":{"DOI":"10.30693/smj.2019.8.1.67","ISSN":"22871322","abstract":"This study investigates Active Learning and Facilitation Convergence Education Program which can improve core competency to cope with vocational education in the fourth industrial revolution era. I applied the integrated advantages of Active Learning which enhances 'problem solving skill' and those of Facilitation for creative thinking idea to application design process coursework and verified the effectiveness of such education method through student satisfaction survey. I also designed application contents for the students who are familiar with the mobile environments and UI contents for data visualization which can help those students to improve their skills in software. Every coursework was conducted as a team project. As a result, Active Learning and Facilitation Convergence Education Program is found to be helpful in improving the basic skills and competencies required in college education. I hope this work helps to reduce the educational gap between industry and professional colleges.","author":[{"dropping-particle":"","family":"Chung","given":"Yoo Kyung","non-dropping-particle":"","parse-names":false,"suffix":""}],"container-title":"Korean Institute of Smart Media","id":"ITEM-1","issue":"1","issued":{"date-parts":[["2019"]]},"page":"67-73","title":"Study on Active Learning &amp; Facilitation Convergence Education Program for Enhancing Core Competency (4C)","type":"article-journal","volume":"8"},"uris":["http://www.mendeley.com/documents/?uuid=9dfa70d8-d8d4-490c-8add-611517aea78f","http://www.mendeley.com/documents/?uuid=5bf63250-a921-4fad-b2d1-172b87418360","http://www.mendeley.com/documents/?uuid=76df01ac-a9e4-4f24-a549-4f3c036fb86d"]}],"mendeley":{"formattedCitation":"[23]","plainTextFormattedCitation":"[23]","previouslyFormattedCitation":"[23]"},"properties":{"noteIndex":0},"schema":"https://github.com/citation-style-language/schema/raw/master/csl-citation.json"}</w:instrText>
      </w:r>
      <w:r w:rsidR="00B257C7" w:rsidRPr="00AB5B40">
        <w:rPr>
          <w:color w:val="000000" w:themeColor="text1"/>
          <w:sz w:val="20"/>
        </w:rPr>
        <w:fldChar w:fldCharType="separate"/>
      </w:r>
      <w:r w:rsidR="00AE0CA0" w:rsidRPr="00AE0CA0">
        <w:rPr>
          <w:noProof/>
          <w:color w:val="000000" w:themeColor="text1"/>
          <w:sz w:val="20"/>
        </w:rPr>
        <w:t>[23]</w:t>
      </w:r>
      <w:r w:rsidR="00B257C7" w:rsidRPr="00AB5B40">
        <w:rPr>
          <w:color w:val="000000" w:themeColor="text1"/>
          <w:sz w:val="20"/>
        </w:rPr>
        <w:fldChar w:fldCharType="end"/>
      </w:r>
      <w:r w:rsidR="00471608" w:rsidRPr="00AB5B40">
        <w:rPr>
          <w:color w:val="000000" w:themeColor="text1"/>
          <w:sz w:val="20"/>
        </w:rPr>
        <w:t>.</w:t>
      </w:r>
      <w:r w:rsidR="00B257C7" w:rsidRPr="00AB5B40">
        <w:rPr>
          <w:color w:val="000000" w:themeColor="text1"/>
          <w:sz w:val="20"/>
        </w:rPr>
        <w:t xml:space="preserve"> </w:t>
      </w:r>
      <w:r>
        <w:rPr>
          <w:color w:val="000000" w:themeColor="text1"/>
          <w:sz w:val="20"/>
        </w:rPr>
        <w:t xml:space="preserve">Educators' </w:t>
      </w:r>
      <w:proofErr w:type="gramStart"/>
      <w:r>
        <w:rPr>
          <w:color w:val="000000" w:themeColor="text1"/>
          <w:sz w:val="20"/>
        </w:rPr>
        <w:t>higher-order</w:t>
      </w:r>
      <w:proofErr w:type="gramEnd"/>
      <w:r>
        <w:rPr>
          <w:color w:val="000000" w:themeColor="text1"/>
          <w:sz w:val="20"/>
        </w:rPr>
        <w:t xml:space="preserve"> thinking skills (HOTS)</w:t>
      </w:r>
      <w:r w:rsidR="00D5477F" w:rsidRPr="00AB5B40">
        <w:rPr>
          <w:color w:val="000000" w:themeColor="text1"/>
          <w:sz w:val="20"/>
        </w:rPr>
        <w:t xml:space="preserve"> are </w:t>
      </w:r>
      <w:r>
        <w:rPr>
          <w:color w:val="000000" w:themeColor="text1"/>
          <w:sz w:val="20"/>
        </w:rPr>
        <w:t>essential</w:t>
      </w:r>
      <w:r w:rsidR="00D5477F" w:rsidRPr="00AB5B40">
        <w:rPr>
          <w:color w:val="000000" w:themeColor="text1"/>
          <w:sz w:val="20"/>
        </w:rPr>
        <w:t xml:space="preserve"> to develop</w:t>
      </w:r>
      <w:r>
        <w:rPr>
          <w:color w:val="000000" w:themeColor="text1"/>
          <w:sz w:val="20"/>
        </w:rPr>
        <w:t>ing</w:t>
      </w:r>
      <w:r w:rsidR="00D5477F" w:rsidRPr="00AB5B40">
        <w:rPr>
          <w:color w:val="000000" w:themeColor="text1"/>
          <w:sz w:val="20"/>
        </w:rPr>
        <w:t xml:space="preserve"> </w:t>
      </w:r>
      <w:r>
        <w:rPr>
          <w:color w:val="000000" w:themeColor="text1"/>
          <w:sz w:val="20"/>
        </w:rPr>
        <w:t>graduates' knowledge</w:t>
      </w:r>
      <w:r w:rsidR="00D5477F" w:rsidRPr="00AB5B40">
        <w:rPr>
          <w:color w:val="000000" w:themeColor="text1"/>
          <w:sz w:val="20"/>
        </w:rPr>
        <w:t xml:space="preserve"> who can adapt to the work environment. This ability emphasizes the peak ability of knowledge with a work of innovation. Meanwhile, the TPACK ability of TVET educators has a role in improving the quality of learning by integrating technology, pedagogy, and content. Therefore, to develop the 4C skills of TVET graduates, it is necessary to develop the HOTS and TPACK of TVET educators optimally.</w:t>
      </w:r>
    </w:p>
    <w:p w14:paraId="0DE79021" w14:textId="2F4FEBCC" w:rsidR="00D5477F" w:rsidRPr="00AB5B40" w:rsidRDefault="00D5477F" w:rsidP="00D5477F">
      <w:pPr>
        <w:pBdr>
          <w:top w:val="nil"/>
          <w:left w:val="nil"/>
          <w:bottom w:val="nil"/>
          <w:right w:val="nil"/>
          <w:between w:val="nil"/>
        </w:pBdr>
        <w:ind w:firstLine="284"/>
        <w:jc w:val="both"/>
        <w:rPr>
          <w:color w:val="000000" w:themeColor="text1"/>
          <w:sz w:val="20"/>
        </w:rPr>
      </w:pPr>
      <w:r w:rsidRPr="00AB5B40">
        <w:rPr>
          <w:color w:val="000000" w:themeColor="text1"/>
          <w:sz w:val="20"/>
        </w:rPr>
        <w:t>However, reality in the field</w:t>
      </w:r>
      <w:r w:rsidR="00D353D9">
        <w:rPr>
          <w:color w:val="000000" w:themeColor="text1"/>
          <w:sz w:val="20"/>
        </w:rPr>
        <w:t>,</w:t>
      </w:r>
      <w:r w:rsidRPr="00AB5B40">
        <w:rPr>
          <w:color w:val="000000" w:themeColor="text1"/>
          <w:sz w:val="20"/>
        </w:rPr>
        <w:t xml:space="preserve"> especially </w:t>
      </w:r>
      <w:r w:rsidR="00D353D9">
        <w:rPr>
          <w:color w:val="000000" w:themeColor="text1"/>
          <w:sz w:val="20"/>
        </w:rPr>
        <w:t>the education and training of vocational educators, i</w:t>
      </w:r>
      <w:r w:rsidRPr="00AB5B40">
        <w:rPr>
          <w:color w:val="000000" w:themeColor="text1"/>
          <w:sz w:val="20"/>
        </w:rPr>
        <w:t xml:space="preserve">s not yet </w:t>
      </w:r>
      <w:r w:rsidR="00D353D9">
        <w:rPr>
          <w:color w:val="000000" w:themeColor="text1"/>
          <w:sz w:val="20"/>
        </w:rPr>
        <w:t>whol</w:t>
      </w:r>
      <w:r w:rsidRPr="00AB5B40">
        <w:rPr>
          <w:color w:val="000000" w:themeColor="text1"/>
          <w:sz w:val="20"/>
        </w:rPr>
        <w:t xml:space="preserve">ly running well. This is because there is no complex mapping of the need to increase human resources for vocational educators. In addition, there is no digital technology innovation as a vocational educator training system that is up-to-date and easy to use. This is the </w:t>
      </w:r>
      <w:r w:rsidR="00D353D9">
        <w:rPr>
          <w:color w:val="000000" w:themeColor="text1"/>
          <w:sz w:val="20"/>
        </w:rPr>
        <w:t>most significan</w:t>
      </w:r>
      <w:r w:rsidRPr="00AB5B40">
        <w:rPr>
          <w:color w:val="000000" w:themeColor="text1"/>
          <w:sz w:val="20"/>
        </w:rPr>
        <w:t>t contributor to the quality of TVET graduates who are unemployed and unable to adapt to the world of work</w:t>
      </w:r>
      <w:r w:rsidR="00D353D9">
        <w:rPr>
          <w:color w:val="000000" w:themeColor="text1"/>
          <w:sz w:val="20"/>
        </w:rPr>
        <w:t>. T</w:t>
      </w:r>
      <w:r w:rsidRPr="00AB5B40">
        <w:rPr>
          <w:color w:val="000000" w:themeColor="text1"/>
          <w:sz w:val="20"/>
        </w:rPr>
        <w:t>he ability to develop life skills and educational careers and the resulting TVET graduates have minimal capabilities.</w:t>
      </w:r>
    </w:p>
    <w:p w14:paraId="56B829C5" w14:textId="07910175" w:rsidR="003F31C6" w:rsidRPr="00AB5B40" w:rsidRDefault="00D5477F" w:rsidP="00D5477F">
      <w:pPr>
        <w:pStyle w:val="Paragraph"/>
        <w:rPr>
          <w:color w:val="000000" w:themeColor="text1"/>
        </w:rPr>
      </w:pPr>
      <w:r w:rsidRPr="00AB5B40">
        <w:rPr>
          <w:color w:val="000000" w:themeColor="text1"/>
        </w:rPr>
        <w:t xml:space="preserve">Based on various presentation problems complex in the field of TVET education above, this study aims to provide concrete solutions. </w:t>
      </w:r>
      <w:proofErr w:type="gramStart"/>
      <w:r w:rsidRPr="00AB5B40">
        <w:rPr>
          <w:color w:val="000000" w:themeColor="text1"/>
        </w:rPr>
        <w:t>So</w:t>
      </w:r>
      <w:proofErr w:type="gramEnd"/>
      <w:r w:rsidRPr="00AB5B40">
        <w:rPr>
          <w:color w:val="000000" w:themeColor="text1"/>
        </w:rPr>
        <w:t xml:space="preserve"> the main objectives of this research are; 1) mapping the need for skills to improve human resources for vocational educators; 2) developing an innovative TVET-based e-training system; 3) testing the feasibility of TVET-based e-training system innovation, and 4) increasing the innovation of the TVET-based e-training system to improve human resources for vocational educators in the era of society 5.0</w:t>
      </w:r>
    </w:p>
    <w:p w14:paraId="19496C26" w14:textId="41D81B67" w:rsidR="00BA3B3D" w:rsidRPr="00E02B64" w:rsidRDefault="00FD65DF" w:rsidP="00A646B3">
      <w:pPr>
        <w:pStyle w:val="Heading1"/>
        <w:rPr>
          <w:b w:val="0"/>
          <w:caps w:val="0"/>
          <w:color w:val="000000" w:themeColor="text1"/>
          <w:sz w:val="20"/>
        </w:rPr>
      </w:pPr>
      <w:r w:rsidRPr="00E02B64">
        <w:rPr>
          <w:color w:val="000000" w:themeColor="text1"/>
        </w:rPr>
        <w:t>mET</w:t>
      </w:r>
      <w:r w:rsidR="00D5477F" w:rsidRPr="00E02B64">
        <w:rPr>
          <w:color w:val="000000" w:themeColor="text1"/>
        </w:rPr>
        <w:t>H</w:t>
      </w:r>
      <w:r w:rsidRPr="00E02B64">
        <w:rPr>
          <w:color w:val="000000" w:themeColor="text1"/>
        </w:rPr>
        <w:t>OD</w:t>
      </w:r>
    </w:p>
    <w:p w14:paraId="644C5AC4" w14:textId="493D123C" w:rsidR="00D5477F" w:rsidRPr="00E02B64" w:rsidRDefault="00D353D9" w:rsidP="00D5477F">
      <w:pPr>
        <w:pBdr>
          <w:top w:val="nil"/>
          <w:left w:val="nil"/>
          <w:bottom w:val="nil"/>
          <w:right w:val="nil"/>
          <w:between w:val="nil"/>
        </w:pBdr>
        <w:ind w:firstLine="284"/>
        <w:jc w:val="both"/>
        <w:rPr>
          <w:color w:val="000000" w:themeColor="text1"/>
          <w:sz w:val="20"/>
        </w:rPr>
      </w:pPr>
      <w:r>
        <w:rPr>
          <w:color w:val="000000"/>
          <w:sz w:val="20"/>
        </w:rPr>
        <w:t xml:space="preserve">This research is designed to produce a technological innovation product of education and test its effectiveness. </w:t>
      </w:r>
      <w:r w:rsidRPr="00854D19">
        <w:rPr>
          <w:color w:val="000000"/>
          <w:sz w:val="20"/>
        </w:rPr>
        <w:t>The method in this study uses the R&amp;D method. This method was chosen because it produces digital technology products as an e-training system for vocational educators</w:t>
      </w:r>
      <w:r w:rsidR="00D5477F" w:rsidRPr="00E02B64">
        <w:rPr>
          <w:color w:val="000000" w:themeColor="text1"/>
          <w:sz w:val="20"/>
        </w:rPr>
        <w:t>. The steps taken by researchers to produce this technology product include: 1) mapping the needs of the ability to improve resource TVET human educators, 2) developing TVET-based e-training system innovations, 3) testing the feasibility of e-training system innovation products based TVET, and 4) testing the effectiveness of the TVET-based e-training system to improve the human resources of TVET educators in the era of society 5.0.</w:t>
      </w:r>
    </w:p>
    <w:p w14:paraId="49E4DF9E" w14:textId="638CD2AA" w:rsidR="0094212D" w:rsidRPr="008E72E8" w:rsidRDefault="00D5477F" w:rsidP="008E72E8">
      <w:pPr>
        <w:pBdr>
          <w:top w:val="nil"/>
          <w:left w:val="nil"/>
          <w:bottom w:val="nil"/>
          <w:right w:val="nil"/>
          <w:between w:val="nil"/>
        </w:pBdr>
        <w:ind w:firstLine="284"/>
        <w:jc w:val="both"/>
        <w:rPr>
          <w:color w:val="000000" w:themeColor="text1"/>
          <w:sz w:val="20"/>
        </w:rPr>
      </w:pPr>
      <w:r w:rsidRPr="00E02B64">
        <w:rPr>
          <w:color w:val="000000" w:themeColor="text1"/>
          <w:sz w:val="20"/>
        </w:rPr>
        <w:t>Phase 1 in this study used a data collection instrument in the form of a closed questionnaire with two answer choices to reveal the development needs of vocational educators. Phase 2 of this research is in the form of product development based on needs mapping. Phase 3 in this study used instruments in the form of a material expert validation questionnaire and e-learning media in the field of vocational education. While in stage 4 (the final stage of research)</w:t>
      </w:r>
      <w:r w:rsidR="00D353D9">
        <w:rPr>
          <w:color w:val="000000" w:themeColor="text1"/>
          <w:sz w:val="20"/>
        </w:rPr>
        <w:t>,</w:t>
      </w:r>
      <w:r w:rsidRPr="00E02B64">
        <w:rPr>
          <w:color w:val="000000" w:themeColor="text1"/>
          <w:sz w:val="20"/>
        </w:rPr>
        <w:t xml:space="preserve"> to test the </w:t>
      </w:r>
      <w:r w:rsidR="00D353D9">
        <w:rPr>
          <w:color w:val="000000" w:themeColor="text1"/>
          <w:sz w:val="20"/>
        </w:rPr>
        <w:t>product's effectiveness, quantitative research methods were used</w:t>
      </w:r>
      <w:r w:rsidRPr="00E02B64">
        <w:rPr>
          <w:color w:val="000000" w:themeColor="text1"/>
          <w:sz w:val="20"/>
        </w:rPr>
        <w:t xml:space="preserve"> with quasi-experiments. In </w:t>
      </w:r>
      <w:r w:rsidRPr="00E02B64">
        <w:rPr>
          <w:color w:val="000000" w:themeColor="text1"/>
          <w:sz w:val="20"/>
        </w:rPr>
        <w:lastRenderedPageBreak/>
        <w:t>this quasi-experimental research, instruments in the form of pretest questions were used to test initial and final abilities posttest to test the final ability. The analysis used in this study is divided into 2, namely quantitative descriptive analysis for the questionnaire instrument and t-test analysis for the test instrument.</w:t>
      </w:r>
    </w:p>
    <w:p w14:paraId="6401B72D" w14:textId="0264BAC7" w:rsidR="0039376F" w:rsidRPr="00E02B64" w:rsidRDefault="00304D3F" w:rsidP="00B1000D">
      <w:pPr>
        <w:pStyle w:val="Heading1"/>
        <w:rPr>
          <w:caps w:val="0"/>
          <w:color w:val="000000" w:themeColor="text1"/>
          <w:lang w:val="en-GB" w:eastAsia="en-GB"/>
        </w:rPr>
      </w:pPr>
      <w:r w:rsidRPr="00E02B64">
        <w:rPr>
          <w:color w:val="000000" w:themeColor="text1"/>
        </w:rPr>
        <w:t>result</w:t>
      </w:r>
      <w:r w:rsidR="003B18BA" w:rsidRPr="00E02B64">
        <w:rPr>
          <w:color w:val="000000" w:themeColor="text1"/>
        </w:rPr>
        <w:t xml:space="preserve"> </w:t>
      </w:r>
    </w:p>
    <w:p w14:paraId="30DD149D" w14:textId="7C1E6D26" w:rsidR="0039376F" w:rsidRPr="00E02B64" w:rsidRDefault="00304D3F" w:rsidP="00A314BB">
      <w:pPr>
        <w:pStyle w:val="Paragraph"/>
        <w:rPr>
          <w:color w:val="000000" w:themeColor="text1"/>
          <w:lang w:val="en-GB" w:eastAsia="en-GB"/>
        </w:rPr>
      </w:pPr>
      <w:r w:rsidRPr="00E02B64">
        <w:rPr>
          <w:color w:val="000000" w:themeColor="text1"/>
        </w:rPr>
        <w:t>Res</w:t>
      </w:r>
      <w:r w:rsidR="00D353D9">
        <w:rPr>
          <w:color w:val="000000" w:themeColor="text1"/>
        </w:rPr>
        <w:t>earch results are translated into three discussions</w:t>
      </w:r>
      <w:r w:rsidRPr="00E02B64">
        <w:rPr>
          <w:color w:val="000000" w:themeColor="text1"/>
        </w:rPr>
        <w:t>: 1) mapping of capability needs, 2) expert validation results, and 3) significance test results. The details are explained in the subject below</w:t>
      </w:r>
      <w:r w:rsidR="000B0C27" w:rsidRPr="00E02B64">
        <w:rPr>
          <w:color w:val="000000" w:themeColor="text1"/>
          <w:lang w:val="en-GB" w:eastAsia="en-GB"/>
        </w:rPr>
        <w:t>.</w:t>
      </w:r>
    </w:p>
    <w:p w14:paraId="2C6C87A7" w14:textId="348094F1" w:rsidR="009E5BA1" w:rsidRPr="00E02B64" w:rsidRDefault="00304D3F" w:rsidP="00304D3F">
      <w:pPr>
        <w:pStyle w:val="Heading20"/>
        <w:rPr>
          <w:color w:val="000000" w:themeColor="text1"/>
        </w:rPr>
      </w:pPr>
      <w:r w:rsidRPr="00E02B64">
        <w:rPr>
          <w:color w:val="000000" w:themeColor="text1"/>
        </w:rPr>
        <w:t xml:space="preserve">Capabilities Need Mapping </w:t>
      </w:r>
      <w:r w:rsidR="00C70732" w:rsidRPr="00E02B64">
        <w:rPr>
          <w:color w:val="000000" w:themeColor="text1"/>
          <w:lang w:val="en-GB" w:eastAsia="en-GB"/>
        </w:rPr>
        <w:t xml:space="preserve"> </w:t>
      </w:r>
    </w:p>
    <w:p w14:paraId="5ADCC991" w14:textId="2EFF22FF" w:rsidR="00FA6E01" w:rsidRPr="00E02B64" w:rsidRDefault="00304D3F" w:rsidP="00D01498">
      <w:pPr>
        <w:pStyle w:val="Paragraph"/>
        <w:rPr>
          <w:color w:val="000000" w:themeColor="text1"/>
        </w:rPr>
      </w:pPr>
      <w:r w:rsidRPr="00E02B64">
        <w:rPr>
          <w:color w:val="000000" w:themeColor="text1"/>
        </w:rPr>
        <w:t>From mapping needs</w:t>
      </w:r>
      <w:r w:rsidR="00D353D9">
        <w:rPr>
          <w:color w:val="000000" w:themeColor="text1"/>
        </w:rPr>
        <w:t>,</w:t>
      </w:r>
      <w:r w:rsidRPr="00E02B64">
        <w:rPr>
          <w:color w:val="000000" w:themeColor="text1"/>
        </w:rPr>
        <w:t xml:space="preserve"> </w:t>
      </w:r>
      <w:proofErr w:type="gramStart"/>
      <w:r w:rsidRPr="00E02B64">
        <w:rPr>
          <w:color w:val="000000" w:themeColor="text1"/>
        </w:rPr>
        <w:t>The</w:t>
      </w:r>
      <w:proofErr w:type="gramEnd"/>
      <w:r w:rsidRPr="00E02B64">
        <w:rPr>
          <w:color w:val="000000" w:themeColor="text1"/>
        </w:rPr>
        <w:t xml:space="preserve"> abilities collected from the questionnaire instrument were found to be ten </w:t>
      </w:r>
      <w:r w:rsidR="00D353D9">
        <w:rPr>
          <w:color w:val="000000" w:themeColor="text1"/>
        </w:rPr>
        <w:t>primary</w:t>
      </w:r>
      <w:r w:rsidRPr="00E02B64">
        <w:rPr>
          <w:color w:val="000000" w:themeColor="text1"/>
        </w:rPr>
        <w:t xml:space="preserve"> skills for developing TVET educators' skills in the era of society 5.0</w:t>
      </w:r>
      <w:r w:rsidR="00D353D9">
        <w:rPr>
          <w:color w:val="000000" w:themeColor="text1"/>
        </w:rPr>
        <w:t>. T</w:t>
      </w:r>
      <w:r w:rsidRPr="00E02B64">
        <w:rPr>
          <w:color w:val="000000" w:themeColor="text1"/>
        </w:rPr>
        <w:t>he details are shown in Table 1 below</w:t>
      </w:r>
      <w:r w:rsidR="008912B5" w:rsidRPr="00E02B64">
        <w:rPr>
          <w:color w:val="000000" w:themeColor="text1"/>
        </w:rPr>
        <w:t>.</w:t>
      </w:r>
    </w:p>
    <w:tbl>
      <w:tblPr>
        <w:tblStyle w:val="Table1"/>
        <w:tblW w:w="6346" w:type="dxa"/>
        <w:jc w:val="center"/>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00"/>
        <w:gridCol w:w="3926"/>
        <w:gridCol w:w="842"/>
        <w:gridCol w:w="1078"/>
      </w:tblGrid>
      <w:tr w:rsidR="00E02B64" w:rsidRPr="00E02B64" w14:paraId="42AE23AB" w14:textId="77777777" w:rsidTr="00A85300">
        <w:trPr>
          <w:trHeight w:val="288"/>
          <w:jc w:val="center"/>
        </w:trPr>
        <w:tc>
          <w:tcPr>
            <w:tcW w:w="500" w:type="dxa"/>
          </w:tcPr>
          <w:p w14:paraId="26795523" w14:textId="77777777" w:rsidR="00304D3F" w:rsidRPr="00E02B64" w:rsidRDefault="00304D3F" w:rsidP="00A85300">
            <w:pPr>
              <w:jc w:val="both"/>
              <w:rPr>
                <w:b/>
                <w:color w:val="000000" w:themeColor="text1"/>
                <w:sz w:val="18"/>
                <w:szCs w:val="18"/>
              </w:rPr>
            </w:pPr>
          </w:p>
        </w:tc>
        <w:tc>
          <w:tcPr>
            <w:tcW w:w="3927" w:type="dxa"/>
          </w:tcPr>
          <w:p w14:paraId="17C3F6B6" w14:textId="77777777" w:rsidR="00304D3F" w:rsidRPr="00E02B64" w:rsidRDefault="00304D3F" w:rsidP="00A85300">
            <w:pPr>
              <w:pBdr>
                <w:top w:val="nil"/>
                <w:left w:val="nil"/>
                <w:bottom w:val="nil"/>
                <w:right w:val="nil"/>
                <w:between w:val="nil"/>
              </w:pBdr>
              <w:spacing w:before="120"/>
              <w:jc w:val="center"/>
              <w:rPr>
                <w:i/>
                <w:color w:val="000000" w:themeColor="text1"/>
                <w:sz w:val="18"/>
                <w:szCs w:val="18"/>
              </w:rPr>
            </w:pPr>
            <w:r w:rsidRPr="00E02B64">
              <w:rPr>
                <w:b/>
                <w:color w:val="000000" w:themeColor="text1"/>
                <w:sz w:val="18"/>
                <w:szCs w:val="18"/>
              </w:rPr>
              <w:t xml:space="preserve">TABLE 1. Percentage of ability requirement </w:t>
            </w:r>
          </w:p>
          <w:p w14:paraId="53DC532C" w14:textId="77777777" w:rsidR="00304D3F" w:rsidRPr="00E02B64" w:rsidRDefault="00304D3F" w:rsidP="00A85300">
            <w:pPr>
              <w:jc w:val="both"/>
              <w:rPr>
                <w:b/>
                <w:color w:val="000000" w:themeColor="text1"/>
                <w:sz w:val="18"/>
                <w:szCs w:val="18"/>
              </w:rPr>
            </w:pPr>
          </w:p>
        </w:tc>
        <w:tc>
          <w:tcPr>
            <w:tcW w:w="1920" w:type="dxa"/>
            <w:gridSpan w:val="2"/>
          </w:tcPr>
          <w:p w14:paraId="466F9B85" w14:textId="77777777" w:rsidR="00304D3F" w:rsidRPr="00E02B64" w:rsidRDefault="00304D3F" w:rsidP="00A85300">
            <w:pPr>
              <w:jc w:val="both"/>
              <w:rPr>
                <w:b/>
                <w:color w:val="000000" w:themeColor="text1"/>
                <w:sz w:val="18"/>
                <w:szCs w:val="18"/>
              </w:rPr>
            </w:pPr>
          </w:p>
        </w:tc>
      </w:tr>
      <w:tr w:rsidR="00E02B64" w:rsidRPr="00E02B64" w14:paraId="27B2CCFA" w14:textId="77777777" w:rsidTr="00A85300">
        <w:trPr>
          <w:trHeight w:val="288"/>
          <w:jc w:val="center"/>
        </w:trPr>
        <w:tc>
          <w:tcPr>
            <w:tcW w:w="500" w:type="dxa"/>
            <w:vMerge w:val="restart"/>
          </w:tcPr>
          <w:p w14:paraId="2D9B359B" w14:textId="77777777" w:rsidR="00304D3F" w:rsidRPr="00E02B64" w:rsidRDefault="00304D3F" w:rsidP="00A85300">
            <w:pPr>
              <w:jc w:val="center"/>
              <w:rPr>
                <w:b/>
                <w:color w:val="000000" w:themeColor="text1"/>
                <w:sz w:val="18"/>
                <w:szCs w:val="18"/>
              </w:rPr>
            </w:pPr>
            <w:r w:rsidRPr="00E02B64">
              <w:rPr>
                <w:b/>
                <w:color w:val="000000" w:themeColor="text1"/>
                <w:sz w:val="18"/>
                <w:szCs w:val="18"/>
              </w:rPr>
              <w:t>No.</w:t>
            </w:r>
          </w:p>
        </w:tc>
        <w:tc>
          <w:tcPr>
            <w:tcW w:w="3927" w:type="dxa"/>
            <w:vMerge w:val="restart"/>
          </w:tcPr>
          <w:p w14:paraId="36645706" w14:textId="77777777" w:rsidR="00304D3F" w:rsidRPr="00E02B64" w:rsidRDefault="00304D3F" w:rsidP="00A85300">
            <w:pPr>
              <w:jc w:val="center"/>
              <w:rPr>
                <w:b/>
                <w:color w:val="000000" w:themeColor="text1"/>
                <w:sz w:val="18"/>
                <w:szCs w:val="18"/>
              </w:rPr>
            </w:pPr>
            <w:r w:rsidRPr="00E02B64">
              <w:rPr>
                <w:b/>
                <w:color w:val="000000" w:themeColor="text1"/>
                <w:sz w:val="18"/>
                <w:szCs w:val="18"/>
              </w:rPr>
              <w:t>Ability</w:t>
            </w:r>
          </w:p>
        </w:tc>
        <w:tc>
          <w:tcPr>
            <w:tcW w:w="1920" w:type="dxa"/>
            <w:gridSpan w:val="2"/>
          </w:tcPr>
          <w:p w14:paraId="426B413E" w14:textId="77777777" w:rsidR="00304D3F" w:rsidRPr="00E02B64" w:rsidRDefault="00304D3F" w:rsidP="00A85300">
            <w:pPr>
              <w:jc w:val="center"/>
              <w:rPr>
                <w:b/>
                <w:color w:val="000000" w:themeColor="text1"/>
                <w:sz w:val="18"/>
                <w:szCs w:val="18"/>
              </w:rPr>
            </w:pPr>
            <w:r w:rsidRPr="00E02B64">
              <w:rPr>
                <w:b/>
                <w:color w:val="000000" w:themeColor="text1"/>
                <w:sz w:val="18"/>
                <w:szCs w:val="18"/>
              </w:rPr>
              <w:t>Percentage</w:t>
            </w:r>
          </w:p>
        </w:tc>
      </w:tr>
      <w:tr w:rsidR="00E02B64" w:rsidRPr="00E02B64" w14:paraId="43F9C69A" w14:textId="77777777" w:rsidTr="00A85300">
        <w:trPr>
          <w:trHeight w:val="288"/>
          <w:jc w:val="center"/>
        </w:trPr>
        <w:tc>
          <w:tcPr>
            <w:tcW w:w="500" w:type="dxa"/>
            <w:vMerge/>
          </w:tcPr>
          <w:p w14:paraId="116E6A6A" w14:textId="77777777" w:rsidR="00304D3F" w:rsidRPr="00E02B64" w:rsidRDefault="00304D3F" w:rsidP="00A85300">
            <w:pPr>
              <w:widowControl w:val="0"/>
              <w:pBdr>
                <w:top w:val="nil"/>
                <w:left w:val="nil"/>
                <w:bottom w:val="nil"/>
                <w:right w:val="nil"/>
                <w:between w:val="nil"/>
              </w:pBdr>
              <w:spacing w:line="276" w:lineRule="auto"/>
              <w:rPr>
                <w:b/>
                <w:color w:val="000000" w:themeColor="text1"/>
                <w:sz w:val="18"/>
                <w:szCs w:val="18"/>
              </w:rPr>
            </w:pPr>
          </w:p>
        </w:tc>
        <w:tc>
          <w:tcPr>
            <w:tcW w:w="3927" w:type="dxa"/>
            <w:vMerge/>
          </w:tcPr>
          <w:p w14:paraId="53F524F2" w14:textId="77777777" w:rsidR="00304D3F" w:rsidRPr="00E02B64" w:rsidRDefault="00304D3F" w:rsidP="00A85300">
            <w:pPr>
              <w:widowControl w:val="0"/>
              <w:pBdr>
                <w:top w:val="nil"/>
                <w:left w:val="nil"/>
                <w:bottom w:val="nil"/>
                <w:right w:val="nil"/>
                <w:between w:val="nil"/>
              </w:pBdr>
              <w:spacing w:line="276" w:lineRule="auto"/>
              <w:rPr>
                <w:b/>
                <w:color w:val="000000" w:themeColor="text1"/>
                <w:sz w:val="18"/>
                <w:szCs w:val="18"/>
              </w:rPr>
            </w:pPr>
          </w:p>
        </w:tc>
        <w:tc>
          <w:tcPr>
            <w:tcW w:w="842" w:type="dxa"/>
          </w:tcPr>
          <w:p w14:paraId="7E9739D8" w14:textId="77777777" w:rsidR="00304D3F" w:rsidRPr="00E02B64" w:rsidRDefault="00304D3F" w:rsidP="00A85300">
            <w:pPr>
              <w:jc w:val="center"/>
              <w:rPr>
                <w:b/>
                <w:color w:val="000000" w:themeColor="text1"/>
                <w:sz w:val="18"/>
                <w:szCs w:val="18"/>
              </w:rPr>
            </w:pPr>
            <w:r w:rsidRPr="00E02B64">
              <w:rPr>
                <w:b/>
                <w:color w:val="000000" w:themeColor="text1"/>
                <w:sz w:val="18"/>
                <w:szCs w:val="18"/>
              </w:rPr>
              <w:t>Yes</w:t>
            </w:r>
          </w:p>
        </w:tc>
        <w:tc>
          <w:tcPr>
            <w:tcW w:w="1078" w:type="dxa"/>
          </w:tcPr>
          <w:p w14:paraId="0A92FCD2" w14:textId="77777777" w:rsidR="00304D3F" w:rsidRPr="00E02B64" w:rsidRDefault="00304D3F" w:rsidP="00A85300">
            <w:pPr>
              <w:jc w:val="center"/>
              <w:rPr>
                <w:b/>
                <w:color w:val="000000" w:themeColor="text1"/>
                <w:sz w:val="18"/>
                <w:szCs w:val="18"/>
              </w:rPr>
            </w:pPr>
            <w:r w:rsidRPr="00E02B64">
              <w:rPr>
                <w:b/>
                <w:color w:val="000000" w:themeColor="text1"/>
                <w:sz w:val="18"/>
                <w:szCs w:val="18"/>
              </w:rPr>
              <w:t>Not</w:t>
            </w:r>
          </w:p>
        </w:tc>
      </w:tr>
      <w:tr w:rsidR="00E02B64" w:rsidRPr="00E02B64" w14:paraId="58CEC502" w14:textId="77777777" w:rsidTr="00A85300">
        <w:trPr>
          <w:trHeight w:val="312"/>
          <w:jc w:val="center"/>
        </w:trPr>
        <w:tc>
          <w:tcPr>
            <w:tcW w:w="500" w:type="dxa"/>
          </w:tcPr>
          <w:p w14:paraId="6044D244" w14:textId="77777777" w:rsidR="00304D3F" w:rsidRPr="00E02B64" w:rsidRDefault="00304D3F" w:rsidP="00A85300">
            <w:pPr>
              <w:jc w:val="both"/>
              <w:rPr>
                <w:color w:val="000000" w:themeColor="text1"/>
                <w:sz w:val="20"/>
              </w:rPr>
            </w:pPr>
            <w:r w:rsidRPr="00E02B64">
              <w:rPr>
                <w:color w:val="000000" w:themeColor="text1"/>
                <w:sz w:val="20"/>
              </w:rPr>
              <w:t>1</w:t>
            </w:r>
          </w:p>
        </w:tc>
        <w:tc>
          <w:tcPr>
            <w:tcW w:w="3927" w:type="dxa"/>
          </w:tcPr>
          <w:p w14:paraId="4B43701E" w14:textId="77777777" w:rsidR="00304D3F" w:rsidRPr="00E02B64" w:rsidRDefault="00304D3F" w:rsidP="00A85300">
            <w:pPr>
              <w:jc w:val="both"/>
              <w:rPr>
                <w:color w:val="000000" w:themeColor="text1"/>
                <w:sz w:val="20"/>
              </w:rPr>
            </w:pPr>
            <w:r w:rsidRPr="00E02B64">
              <w:rPr>
                <w:color w:val="000000" w:themeColor="text1"/>
                <w:sz w:val="20"/>
              </w:rPr>
              <w:t xml:space="preserve">Life and Career Skills </w:t>
            </w:r>
          </w:p>
        </w:tc>
        <w:tc>
          <w:tcPr>
            <w:tcW w:w="842" w:type="dxa"/>
          </w:tcPr>
          <w:p w14:paraId="7530FA93" w14:textId="77777777" w:rsidR="00304D3F" w:rsidRPr="00E02B64" w:rsidRDefault="00304D3F" w:rsidP="00A85300">
            <w:pPr>
              <w:jc w:val="center"/>
              <w:rPr>
                <w:color w:val="000000" w:themeColor="text1"/>
                <w:sz w:val="20"/>
              </w:rPr>
            </w:pPr>
            <w:r w:rsidRPr="00E02B64">
              <w:rPr>
                <w:color w:val="000000" w:themeColor="text1"/>
                <w:sz w:val="20"/>
              </w:rPr>
              <w:t>83%</w:t>
            </w:r>
          </w:p>
        </w:tc>
        <w:tc>
          <w:tcPr>
            <w:tcW w:w="1078" w:type="dxa"/>
          </w:tcPr>
          <w:p w14:paraId="7309C4C6" w14:textId="77777777" w:rsidR="00304D3F" w:rsidRPr="00E02B64" w:rsidRDefault="00304D3F" w:rsidP="00A85300">
            <w:pPr>
              <w:jc w:val="center"/>
              <w:rPr>
                <w:color w:val="000000" w:themeColor="text1"/>
                <w:sz w:val="20"/>
              </w:rPr>
            </w:pPr>
            <w:r w:rsidRPr="00E02B64">
              <w:rPr>
                <w:color w:val="000000" w:themeColor="text1"/>
                <w:sz w:val="20"/>
              </w:rPr>
              <w:t>17%</w:t>
            </w:r>
          </w:p>
        </w:tc>
      </w:tr>
      <w:tr w:rsidR="00E02B64" w:rsidRPr="00E02B64" w14:paraId="209CA7B9" w14:textId="77777777" w:rsidTr="00A85300">
        <w:trPr>
          <w:trHeight w:val="312"/>
          <w:jc w:val="center"/>
        </w:trPr>
        <w:tc>
          <w:tcPr>
            <w:tcW w:w="500" w:type="dxa"/>
          </w:tcPr>
          <w:p w14:paraId="0F68B8EB" w14:textId="77777777" w:rsidR="00304D3F" w:rsidRPr="00E02B64" w:rsidRDefault="00304D3F" w:rsidP="00A85300">
            <w:pPr>
              <w:jc w:val="both"/>
              <w:rPr>
                <w:color w:val="000000" w:themeColor="text1"/>
                <w:sz w:val="20"/>
              </w:rPr>
            </w:pPr>
            <w:r w:rsidRPr="00E02B64">
              <w:rPr>
                <w:color w:val="000000" w:themeColor="text1"/>
                <w:sz w:val="20"/>
              </w:rPr>
              <w:t>2</w:t>
            </w:r>
          </w:p>
        </w:tc>
        <w:tc>
          <w:tcPr>
            <w:tcW w:w="3927" w:type="dxa"/>
          </w:tcPr>
          <w:p w14:paraId="3F8AC505" w14:textId="77777777" w:rsidR="00304D3F" w:rsidRPr="00E02B64" w:rsidRDefault="00304D3F" w:rsidP="00A85300">
            <w:pPr>
              <w:jc w:val="both"/>
              <w:rPr>
                <w:color w:val="000000" w:themeColor="text1"/>
                <w:sz w:val="20"/>
              </w:rPr>
            </w:pPr>
            <w:r w:rsidRPr="00E02B64">
              <w:rPr>
                <w:color w:val="000000" w:themeColor="text1"/>
                <w:sz w:val="20"/>
              </w:rPr>
              <w:t xml:space="preserve">Learning and Innovation Skills </w:t>
            </w:r>
          </w:p>
        </w:tc>
        <w:tc>
          <w:tcPr>
            <w:tcW w:w="842" w:type="dxa"/>
          </w:tcPr>
          <w:p w14:paraId="49B52CC1" w14:textId="77777777" w:rsidR="00304D3F" w:rsidRPr="00E02B64" w:rsidRDefault="00304D3F" w:rsidP="00A85300">
            <w:pPr>
              <w:jc w:val="center"/>
              <w:rPr>
                <w:color w:val="000000" w:themeColor="text1"/>
                <w:sz w:val="20"/>
              </w:rPr>
            </w:pPr>
            <w:r w:rsidRPr="00E02B64">
              <w:rPr>
                <w:color w:val="000000" w:themeColor="text1"/>
                <w:sz w:val="20"/>
              </w:rPr>
              <w:t>95%</w:t>
            </w:r>
          </w:p>
        </w:tc>
        <w:tc>
          <w:tcPr>
            <w:tcW w:w="1078" w:type="dxa"/>
          </w:tcPr>
          <w:p w14:paraId="4682BD15" w14:textId="77777777" w:rsidR="00304D3F" w:rsidRPr="00E02B64" w:rsidRDefault="00304D3F" w:rsidP="00A85300">
            <w:pPr>
              <w:jc w:val="center"/>
              <w:rPr>
                <w:color w:val="000000" w:themeColor="text1"/>
                <w:sz w:val="20"/>
              </w:rPr>
            </w:pPr>
            <w:r w:rsidRPr="00E02B64">
              <w:rPr>
                <w:color w:val="000000" w:themeColor="text1"/>
                <w:sz w:val="20"/>
              </w:rPr>
              <w:t>5%</w:t>
            </w:r>
          </w:p>
        </w:tc>
      </w:tr>
      <w:tr w:rsidR="00E02B64" w:rsidRPr="00E02B64" w14:paraId="3FAD6F09" w14:textId="77777777" w:rsidTr="00A85300">
        <w:trPr>
          <w:trHeight w:val="312"/>
          <w:jc w:val="center"/>
        </w:trPr>
        <w:tc>
          <w:tcPr>
            <w:tcW w:w="500" w:type="dxa"/>
          </w:tcPr>
          <w:p w14:paraId="34DB168F" w14:textId="77777777" w:rsidR="00304D3F" w:rsidRPr="00E02B64" w:rsidRDefault="00304D3F" w:rsidP="00A85300">
            <w:pPr>
              <w:jc w:val="both"/>
              <w:rPr>
                <w:color w:val="000000" w:themeColor="text1"/>
                <w:sz w:val="20"/>
              </w:rPr>
            </w:pPr>
            <w:r w:rsidRPr="00E02B64">
              <w:rPr>
                <w:color w:val="000000" w:themeColor="text1"/>
                <w:sz w:val="20"/>
              </w:rPr>
              <w:t>3</w:t>
            </w:r>
          </w:p>
        </w:tc>
        <w:tc>
          <w:tcPr>
            <w:tcW w:w="3927" w:type="dxa"/>
          </w:tcPr>
          <w:p w14:paraId="53FD482F" w14:textId="77777777" w:rsidR="00304D3F" w:rsidRPr="00E02B64" w:rsidRDefault="00304D3F" w:rsidP="00A85300">
            <w:pPr>
              <w:jc w:val="both"/>
              <w:rPr>
                <w:color w:val="000000" w:themeColor="text1"/>
                <w:sz w:val="20"/>
              </w:rPr>
            </w:pPr>
            <w:r w:rsidRPr="00E02B64">
              <w:rPr>
                <w:color w:val="000000" w:themeColor="text1"/>
                <w:sz w:val="20"/>
              </w:rPr>
              <w:t xml:space="preserve">Information Media and Technology Skills </w:t>
            </w:r>
          </w:p>
        </w:tc>
        <w:tc>
          <w:tcPr>
            <w:tcW w:w="842" w:type="dxa"/>
          </w:tcPr>
          <w:p w14:paraId="36C723EB" w14:textId="77777777" w:rsidR="00304D3F" w:rsidRPr="00E02B64" w:rsidRDefault="00304D3F" w:rsidP="00A85300">
            <w:pPr>
              <w:jc w:val="center"/>
              <w:rPr>
                <w:color w:val="000000" w:themeColor="text1"/>
                <w:sz w:val="20"/>
              </w:rPr>
            </w:pPr>
            <w:r w:rsidRPr="00E02B64">
              <w:rPr>
                <w:color w:val="000000" w:themeColor="text1"/>
                <w:sz w:val="20"/>
              </w:rPr>
              <w:t>91%</w:t>
            </w:r>
          </w:p>
        </w:tc>
        <w:tc>
          <w:tcPr>
            <w:tcW w:w="1078" w:type="dxa"/>
          </w:tcPr>
          <w:p w14:paraId="10B9B6FB" w14:textId="77777777" w:rsidR="00304D3F" w:rsidRPr="00E02B64" w:rsidRDefault="00304D3F" w:rsidP="00A85300">
            <w:pPr>
              <w:jc w:val="center"/>
              <w:rPr>
                <w:color w:val="000000" w:themeColor="text1"/>
                <w:sz w:val="20"/>
              </w:rPr>
            </w:pPr>
            <w:r w:rsidRPr="00E02B64">
              <w:rPr>
                <w:color w:val="000000" w:themeColor="text1"/>
                <w:sz w:val="20"/>
              </w:rPr>
              <w:t>9%</w:t>
            </w:r>
          </w:p>
        </w:tc>
      </w:tr>
      <w:tr w:rsidR="00E02B64" w:rsidRPr="00E02B64" w14:paraId="380CD1FF" w14:textId="77777777" w:rsidTr="00A85300">
        <w:trPr>
          <w:trHeight w:val="312"/>
          <w:jc w:val="center"/>
        </w:trPr>
        <w:tc>
          <w:tcPr>
            <w:tcW w:w="500" w:type="dxa"/>
          </w:tcPr>
          <w:p w14:paraId="7B897A6B" w14:textId="77777777" w:rsidR="00304D3F" w:rsidRPr="00E02B64" w:rsidRDefault="00304D3F" w:rsidP="00A85300">
            <w:pPr>
              <w:jc w:val="both"/>
              <w:rPr>
                <w:color w:val="000000" w:themeColor="text1"/>
                <w:sz w:val="20"/>
              </w:rPr>
            </w:pPr>
            <w:r w:rsidRPr="00E02B64">
              <w:rPr>
                <w:color w:val="000000" w:themeColor="text1"/>
                <w:sz w:val="20"/>
              </w:rPr>
              <w:t>4</w:t>
            </w:r>
          </w:p>
        </w:tc>
        <w:tc>
          <w:tcPr>
            <w:tcW w:w="3927" w:type="dxa"/>
          </w:tcPr>
          <w:p w14:paraId="642A4604" w14:textId="77777777" w:rsidR="00304D3F" w:rsidRPr="00E02B64" w:rsidRDefault="00304D3F" w:rsidP="00A85300">
            <w:pPr>
              <w:jc w:val="both"/>
              <w:rPr>
                <w:color w:val="000000" w:themeColor="text1"/>
                <w:sz w:val="20"/>
              </w:rPr>
            </w:pPr>
            <w:r w:rsidRPr="00E02B64">
              <w:rPr>
                <w:color w:val="000000" w:themeColor="text1"/>
                <w:sz w:val="20"/>
              </w:rPr>
              <w:t xml:space="preserve">Inventive Thinking </w:t>
            </w:r>
          </w:p>
        </w:tc>
        <w:tc>
          <w:tcPr>
            <w:tcW w:w="842" w:type="dxa"/>
          </w:tcPr>
          <w:p w14:paraId="44CCFDEA" w14:textId="77777777" w:rsidR="00304D3F" w:rsidRPr="00E02B64" w:rsidRDefault="00304D3F" w:rsidP="00A85300">
            <w:pPr>
              <w:jc w:val="center"/>
              <w:rPr>
                <w:color w:val="000000" w:themeColor="text1"/>
                <w:sz w:val="20"/>
              </w:rPr>
            </w:pPr>
            <w:r w:rsidRPr="00E02B64">
              <w:rPr>
                <w:color w:val="000000" w:themeColor="text1"/>
                <w:sz w:val="20"/>
              </w:rPr>
              <w:t>87%</w:t>
            </w:r>
          </w:p>
        </w:tc>
        <w:tc>
          <w:tcPr>
            <w:tcW w:w="1078" w:type="dxa"/>
          </w:tcPr>
          <w:p w14:paraId="0735DA85" w14:textId="77777777" w:rsidR="00304D3F" w:rsidRPr="00E02B64" w:rsidRDefault="00304D3F" w:rsidP="00A85300">
            <w:pPr>
              <w:jc w:val="center"/>
              <w:rPr>
                <w:color w:val="000000" w:themeColor="text1"/>
                <w:sz w:val="20"/>
              </w:rPr>
            </w:pPr>
            <w:r w:rsidRPr="00E02B64">
              <w:rPr>
                <w:color w:val="000000" w:themeColor="text1"/>
                <w:sz w:val="20"/>
              </w:rPr>
              <w:t>13%</w:t>
            </w:r>
          </w:p>
        </w:tc>
      </w:tr>
      <w:tr w:rsidR="00E02B64" w:rsidRPr="00E02B64" w14:paraId="6228D62F" w14:textId="77777777" w:rsidTr="00A85300">
        <w:trPr>
          <w:trHeight w:val="312"/>
          <w:jc w:val="center"/>
        </w:trPr>
        <w:tc>
          <w:tcPr>
            <w:tcW w:w="500" w:type="dxa"/>
          </w:tcPr>
          <w:p w14:paraId="5EE0E785" w14:textId="77777777" w:rsidR="00304D3F" w:rsidRPr="00E02B64" w:rsidRDefault="00304D3F" w:rsidP="00A85300">
            <w:pPr>
              <w:jc w:val="both"/>
              <w:rPr>
                <w:color w:val="000000" w:themeColor="text1"/>
                <w:sz w:val="20"/>
              </w:rPr>
            </w:pPr>
            <w:r w:rsidRPr="00E02B64">
              <w:rPr>
                <w:color w:val="000000" w:themeColor="text1"/>
                <w:sz w:val="20"/>
              </w:rPr>
              <w:t>5</w:t>
            </w:r>
          </w:p>
        </w:tc>
        <w:tc>
          <w:tcPr>
            <w:tcW w:w="3927" w:type="dxa"/>
          </w:tcPr>
          <w:p w14:paraId="751EC8E2" w14:textId="77777777" w:rsidR="00304D3F" w:rsidRPr="00E02B64" w:rsidRDefault="00304D3F" w:rsidP="00A85300">
            <w:pPr>
              <w:jc w:val="both"/>
              <w:rPr>
                <w:color w:val="000000" w:themeColor="text1"/>
                <w:sz w:val="20"/>
              </w:rPr>
            </w:pPr>
            <w:r w:rsidRPr="00E02B64">
              <w:rPr>
                <w:color w:val="000000" w:themeColor="text1"/>
                <w:sz w:val="20"/>
              </w:rPr>
              <w:t xml:space="preserve">Effective Communication </w:t>
            </w:r>
          </w:p>
        </w:tc>
        <w:tc>
          <w:tcPr>
            <w:tcW w:w="842" w:type="dxa"/>
          </w:tcPr>
          <w:p w14:paraId="390D71B3" w14:textId="77777777" w:rsidR="00304D3F" w:rsidRPr="00E02B64" w:rsidRDefault="00304D3F" w:rsidP="00A85300">
            <w:pPr>
              <w:jc w:val="center"/>
              <w:rPr>
                <w:color w:val="000000" w:themeColor="text1"/>
                <w:sz w:val="20"/>
              </w:rPr>
            </w:pPr>
            <w:r w:rsidRPr="00E02B64">
              <w:rPr>
                <w:color w:val="000000" w:themeColor="text1"/>
                <w:sz w:val="20"/>
              </w:rPr>
              <w:t>87%</w:t>
            </w:r>
          </w:p>
        </w:tc>
        <w:tc>
          <w:tcPr>
            <w:tcW w:w="1078" w:type="dxa"/>
          </w:tcPr>
          <w:p w14:paraId="53CFB392" w14:textId="77777777" w:rsidR="00304D3F" w:rsidRPr="00E02B64" w:rsidRDefault="00304D3F" w:rsidP="00A85300">
            <w:pPr>
              <w:jc w:val="center"/>
              <w:rPr>
                <w:color w:val="000000" w:themeColor="text1"/>
                <w:sz w:val="20"/>
              </w:rPr>
            </w:pPr>
            <w:r w:rsidRPr="00E02B64">
              <w:rPr>
                <w:color w:val="000000" w:themeColor="text1"/>
                <w:sz w:val="20"/>
              </w:rPr>
              <w:t>13%</w:t>
            </w:r>
          </w:p>
        </w:tc>
      </w:tr>
      <w:tr w:rsidR="00E02B64" w:rsidRPr="00E02B64" w14:paraId="37A781F4" w14:textId="77777777" w:rsidTr="00A85300">
        <w:trPr>
          <w:trHeight w:val="312"/>
          <w:jc w:val="center"/>
        </w:trPr>
        <w:tc>
          <w:tcPr>
            <w:tcW w:w="500" w:type="dxa"/>
          </w:tcPr>
          <w:p w14:paraId="53ADA35D" w14:textId="77777777" w:rsidR="00304D3F" w:rsidRPr="00E02B64" w:rsidRDefault="00304D3F" w:rsidP="00A85300">
            <w:pPr>
              <w:jc w:val="both"/>
              <w:rPr>
                <w:color w:val="000000" w:themeColor="text1"/>
                <w:sz w:val="20"/>
              </w:rPr>
            </w:pPr>
            <w:r w:rsidRPr="00E02B64">
              <w:rPr>
                <w:color w:val="000000" w:themeColor="text1"/>
                <w:sz w:val="20"/>
              </w:rPr>
              <w:t>6</w:t>
            </w:r>
          </w:p>
        </w:tc>
        <w:tc>
          <w:tcPr>
            <w:tcW w:w="3927" w:type="dxa"/>
          </w:tcPr>
          <w:p w14:paraId="4760FBE7" w14:textId="77777777" w:rsidR="00304D3F" w:rsidRPr="00E02B64" w:rsidRDefault="00304D3F" w:rsidP="00A85300">
            <w:pPr>
              <w:jc w:val="both"/>
              <w:rPr>
                <w:color w:val="000000" w:themeColor="text1"/>
                <w:sz w:val="20"/>
              </w:rPr>
            </w:pPr>
            <w:r w:rsidRPr="00E02B64">
              <w:rPr>
                <w:color w:val="000000" w:themeColor="text1"/>
                <w:sz w:val="20"/>
              </w:rPr>
              <w:t xml:space="preserve">Logical Thinking Skills </w:t>
            </w:r>
          </w:p>
        </w:tc>
        <w:tc>
          <w:tcPr>
            <w:tcW w:w="842" w:type="dxa"/>
          </w:tcPr>
          <w:p w14:paraId="6EACB3F1" w14:textId="77777777" w:rsidR="00304D3F" w:rsidRPr="00E02B64" w:rsidRDefault="00304D3F" w:rsidP="00A85300">
            <w:pPr>
              <w:jc w:val="center"/>
              <w:rPr>
                <w:color w:val="000000" w:themeColor="text1"/>
                <w:sz w:val="20"/>
              </w:rPr>
            </w:pPr>
            <w:r w:rsidRPr="00E02B64">
              <w:rPr>
                <w:color w:val="000000" w:themeColor="text1"/>
                <w:sz w:val="20"/>
              </w:rPr>
              <w:t>97%</w:t>
            </w:r>
          </w:p>
        </w:tc>
        <w:tc>
          <w:tcPr>
            <w:tcW w:w="1078" w:type="dxa"/>
          </w:tcPr>
          <w:p w14:paraId="72801B62" w14:textId="77777777" w:rsidR="00304D3F" w:rsidRPr="00E02B64" w:rsidRDefault="00304D3F" w:rsidP="00A85300">
            <w:pPr>
              <w:jc w:val="center"/>
              <w:rPr>
                <w:color w:val="000000" w:themeColor="text1"/>
                <w:sz w:val="20"/>
              </w:rPr>
            </w:pPr>
            <w:r w:rsidRPr="00E02B64">
              <w:rPr>
                <w:color w:val="000000" w:themeColor="text1"/>
                <w:sz w:val="20"/>
              </w:rPr>
              <w:t>3%</w:t>
            </w:r>
          </w:p>
        </w:tc>
      </w:tr>
      <w:tr w:rsidR="00E02B64" w:rsidRPr="00E02B64" w14:paraId="49F77328" w14:textId="77777777" w:rsidTr="00A85300">
        <w:trPr>
          <w:trHeight w:val="312"/>
          <w:jc w:val="center"/>
        </w:trPr>
        <w:tc>
          <w:tcPr>
            <w:tcW w:w="500" w:type="dxa"/>
          </w:tcPr>
          <w:p w14:paraId="30313127" w14:textId="77777777" w:rsidR="00304D3F" w:rsidRPr="00E02B64" w:rsidRDefault="00304D3F" w:rsidP="00A85300">
            <w:pPr>
              <w:jc w:val="both"/>
              <w:rPr>
                <w:color w:val="000000" w:themeColor="text1"/>
                <w:sz w:val="20"/>
              </w:rPr>
            </w:pPr>
            <w:r w:rsidRPr="00E02B64">
              <w:rPr>
                <w:color w:val="000000" w:themeColor="text1"/>
                <w:sz w:val="20"/>
              </w:rPr>
              <w:t>7</w:t>
            </w:r>
          </w:p>
        </w:tc>
        <w:tc>
          <w:tcPr>
            <w:tcW w:w="3927" w:type="dxa"/>
          </w:tcPr>
          <w:p w14:paraId="6A3771E4" w14:textId="77777777" w:rsidR="00304D3F" w:rsidRPr="00E02B64" w:rsidRDefault="00304D3F" w:rsidP="00A85300">
            <w:pPr>
              <w:jc w:val="both"/>
              <w:rPr>
                <w:color w:val="000000" w:themeColor="text1"/>
                <w:sz w:val="20"/>
              </w:rPr>
            </w:pPr>
            <w:r w:rsidRPr="00E02B64">
              <w:rPr>
                <w:color w:val="000000" w:themeColor="text1"/>
                <w:sz w:val="20"/>
              </w:rPr>
              <w:t xml:space="preserve">Teamwork and Interconnectedness </w:t>
            </w:r>
          </w:p>
        </w:tc>
        <w:tc>
          <w:tcPr>
            <w:tcW w:w="842" w:type="dxa"/>
          </w:tcPr>
          <w:p w14:paraId="6C193807" w14:textId="77777777" w:rsidR="00304D3F" w:rsidRPr="00E02B64" w:rsidRDefault="00304D3F" w:rsidP="00A85300">
            <w:pPr>
              <w:jc w:val="center"/>
              <w:rPr>
                <w:color w:val="000000" w:themeColor="text1"/>
                <w:sz w:val="20"/>
              </w:rPr>
            </w:pPr>
            <w:r w:rsidRPr="00E02B64">
              <w:rPr>
                <w:color w:val="000000" w:themeColor="text1"/>
                <w:sz w:val="20"/>
              </w:rPr>
              <w:t>85%</w:t>
            </w:r>
          </w:p>
        </w:tc>
        <w:tc>
          <w:tcPr>
            <w:tcW w:w="1078" w:type="dxa"/>
          </w:tcPr>
          <w:p w14:paraId="1E875C95" w14:textId="77777777" w:rsidR="00304D3F" w:rsidRPr="00E02B64" w:rsidRDefault="00304D3F" w:rsidP="00A85300">
            <w:pPr>
              <w:jc w:val="center"/>
              <w:rPr>
                <w:color w:val="000000" w:themeColor="text1"/>
                <w:sz w:val="20"/>
              </w:rPr>
            </w:pPr>
            <w:r w:rsidRPr="00E02B64">
              <w:rPr>
                <w:color w:val="000000" w:themeColor="text1"/>
                <w:sz w:val="20"/>
              </w:rPr>
              <w:t>15%</w:t>
            </w:r>
          </w:p>
        </w:tc>
      </w:tr>
      <w:tr w:rsidR="00E02B64" w:rsidRPr="00E02B64" w14:paraId="4C4C3E10" w14:textId="77777777" w:rsidTr="00A85300">
        <w:trPr>
          <w:trHeight w:val="312"/>
          <w:jc w:val="center"/>
        </w:trPr>
        <w:tc>
          <w:tcPr>
            <w:tcW w:w="500" w:type="dxa"/>
          </w:tcPr>
          <w:p w14:paraId="350993C2" w14:textId="77777777" w:rsidR="00304D3F" w:rsidRPr="00E02B64" w:rsidRDefault="00304D3F" w:rsidP="00A85300">
            <w:pPr>
              <w:jc w:val="both"/>
              <w:rPr>
                <w:color w:val="000000" w:themeColor="text1"/>
                <w:sz w:val="20"/>
              </w:rPr>
            </w:pPr>
            <w:r w:rsidRPr="00E02B64">
              <w:rPr>
                <w:color w:val="000000" w:themeColor="text1"/>
                <w:sz w:val="20"/>
              </w:rPr>
              <w:t>8</w:t>
            </w:r>
          </w:p>
        </w:tc>
        <w:tc>
          <w:tcPr>
            <w:tcW w:w="3927" w:type="dxa"/>
          </w:tcPr>
          <w:p w14:paraId="4B76453B" w14:textId="77777777" w:rsidR="00304D3F" w:rsidRPr="00E02B64" w:rsidRDefault="00304D3F" w:rsidP="00A85300">
            <w:pPr>
              <w:jc w:val="both"/>
              <w:rPr>
                <w:color w:val="000000" w:themeColor="text1"/>
                <w:sz w:val="20"/>
              </w:rPr>
            </w:pPr>
            <w:r w:rsidRPr="00E02B64">
              <w:rPr>
                <w:color w:val="000000" w:themeColor="text1"/>
                <w:sz w:val="20"/>
              </w:rPr>
              <w:t xml:space="preserve">Civic and Digital Citizenship </w:t>
            </w:r>
          </w:p>
        </w:tc>
        <w:tc>
          <w:tcPr>
            <w:tcW w:w="842" w:type="dxa"/>
          </w:tcPr>
          <w:p w14:paraId="134AB46A" w14:textId="77777777" w:rsidR="00304D3F" w:rsidRPr="00E02B64" w:rsidRDefault="00304D3F" w:rsidP="00A85300">
            <w:pPr>
              <w:jc w:val="center"/>
              <w:rPr>
                <w:color w:val="000000" w:themeColor="text1"/>
                <w:sz w:val="20"/>
              </w:rPr>
            </w:pPr>
            <w:r w:rsidRPr="00E02B64">
              <w:rPr>
                <w:color w:val="000000" w:themeColor="text1"/>
                <w:sz w:val="20"/>
              </w:rPr>
              <w:t>87%</w:t>
            </w:r>
          </w:p>
        </w:tc>
        <w:tc>
          <w:tcPr>
            <w:tcW w:w="1078" w:type="dxa"/>
          </w:tcPr>
          <w:p w14:paraId="33F80107" w14:textId="77777777" w:rsidR="00304D3F" w:rsidRPr="00E02B64" w:rsidRDefault="00304D3F" w:rsidP="00A85300">
            <w:pPr>
              <w:jc w:val="center"/>
              <w:rPr>
                <w:color w:val="000000" w:themeColor="text1"/>
                <w:sz w:val="20"/>
              </w:rPr>
            </w:pPr>
            <w:r w:rsidRPr="00E02B64">
              <w:rPr>
                <w:color w:val="000000" w:themeColor="text1"/>
                <w:sz w:val="20"/>
              </w:rPr>
              <w:t>13%</w:t>
            </w:r>
          </w:p>
        </w:tc>
      </w:tr>
      <w:tr w:rsidR="00E02B64" w:rsidRPr="00E02B64" w14:paraId="1BB1C060" w14:textId="77777777" w:rsidTr="00A85300">
        <w:trPr>
          <w:trHeight w:val="312"/>
          <w:jc w:val="center"/>
        </w:trPr>
        <w:tc>
          <w:tcPr>
            <w:tcW w:w="500" w:type="dxa"/>
          </w:tcPr>
          <w:p w14:paraId="23F5C175" w14:textId="77777777" w:rsidR="00304D3F" w:rsidRPr="00E02B64" w:rsidRDefault="00304D3F" w:rsidP="00A85300">
            <w:pPr>
              <w:jc w:val="both"/>
              <w:rPr>
                <w:color w:val="000000" w:themeColor="text1"/>
                <w:sz w:val="20"/>
              </w:rPr>
            </w:pPr>
            <w:r w:rsidRPr="00E02B64">
              <w:rPr>
                <w:color w:val="000000" w:themeColor="text1"/>
                <w:sz w:val="20"/>
              </w:rPr>
              <w:t>9</w:t>
            </w:r>
          </w:p>
        </w:tc>
        <w:tc>
          <w:tcPr>
            <w:tcW w:w="3927" w:type="dxa"/>
          </w:tcPr>
          <w:p w14:paraId="260B7095" w14:textId="77777777" w:rsidR="00304D3F" w:rsidRPr="00E02B64" w:rsidRDefault="00304D3F" w:rsidP="00A85300">
            <w:pPr>
              <w:jc w:val="both"/>
              <w:rPr>
                <w:color w:val="000000" w:themeColor="text1"/>
                <w:sz w:val="20"/>
              </w:rPr>
            </w:pPr>
            <w:r w:rsidRPr="00E02B64">
              <w:rPr>
                <w:color w:val="000000" w:themeColor="text1"/>
                <w:sz w:val="20"/>
              </w:rPr>
              <w:t xml:space="preserve">Global Competence </w:t>
            </w:r>
          </w:p>
        </w:tc>
        <w:tc>
          <w:tcPr>
            <w:tcW w:w="842" w:type="dxa"/>
          </w:tcPr>
          <w:p w14:paraId="1FEADE1F" w14:textId="77777777" w:rsidR="00304D3F" w:rsidRPr="00E02B64" w:rsidRDefault="00304D3F" w:rsidP="00A85300">
            <w:pPr>
              <w:jc w:val="center"/>
              <w:rPr>
                <w:color w:val="000000" w:themeColor="text1"/>
                <w:sz w:val="20"/>
              </w:rPr>
            </w:pPr>
            <w:r w:rsidRPr="00E02B64">
              <w:rPr>
                <w:color w:val="000000" w:themeColor="text1"/>
                <w:sz w:val="20"/>
              </w:rPr>
              <w:t>91%</w:t>
            </w:r>
          </w:p>
        </w:tc>
        <w:tc>
          <w:tcPr>
            <w:tcW w:w="1078" w:type="dxa"/>
          </w:tcPr>
          <w:p w14:paraId="10580483" w14:textId="77777777" w:rsidR="00304D3F" w:rsidRPr="00E02B64" w:rsidRDefault="00304D3F" w:rsidP="00A85300">
            <w:pPr>
              <w:jc w:val="center"/>
              <w:rPr>
                <w:color w:val="000000" w:themeColor="text1"/>
                <w:sz w:val="20"/>
              </w:rPr>
            </w:pPr>
            <w:r w:rsidRPr="00E02B64">
              <w:rPr>
                <w:color w:val="000000" w:themeColor="text1"/>
                <w:sz w:val="20"/>
              </w:rPr>
              <w:t>9%</w:t>
            </w:r>
          </w:p>
        </w:tc>
      </w:tr>
      <w:tr w:rsidR="00E02B64" w:rsidRPr="00E02B64" w14:paraId="3CD34499" w14:textId="77777777" w:rsidTr="00A85300">
        <w:trPr>
          <w:trHeight w:val="312"/>
          <w:jc w:val="center"/>
        </w:trPr>
        <w:tc>
          <w:tcPr>
            <w:tcW w:w="500" w:type="dxa"/>
          </w:tcPr>
          <w:p w14:paraId="0D2DF1DA" w14:textId="77777777" w:rsidR="00304D3F" w:rsidRPr="00E02B64" w:rsidRDefault="00304D3F" w:rsidP="00A85300">
            <w:pPr>
              <w:jc w:val="both"/>
              <w:rPr>
                <w:color w:val="000000" w:themeColor="text1"/>
                <w:sz w:val="20"/>
              </w:rPr>
            </w:pPr>
            <w:r w:rsidRPr="00E02B64">
              <w:rPr>
                <w:color w:val="000000" w:themeColor="text1"/>
                <w:sz w:val="20"/>
              </w:rPr>
              <w:t>10</w:t>
            </w:r>
          </w:p>
        </w:tc>
        <w:tc>
          <w:tcPr>
            <w:tcW w:w="3927" w:type="dxa"/>
          </w:tcPr>
          <w:p w14:paraId="36A3FCE8" w14:textId="77777777" w:rsidR="00304D3F" w:rsidRPr="00E02B64" w:rsidRDefault="00304D3F" w:rsidP="00A85300">
            <w:pPr>
              <w:jc w:val="both"/>
              <w:rPr>
                <w:color w:val="000000" w:themeColor="text1"/>
                <w:sz w:val="20"/>
              </w:rPr>
            </w:pPr>
            <w:r w:rsidRPr="00E02B64">
              <w:rPr>
                <w:color w:val="000000" w:themeColor="text1"/>
                <w:sz w:val="20"/>
              </w:rPr>
              <w:t xml:space="preserve">Intercultural Competence </w:t>
            </w:r>
          </w:p>
        </w:tc>
        <w:tc>
          <w:tcPr>
            <w:tcW w:w="842" w:type="dxa"/>
          </w:tcPr>
          <w:p w14:paraId="4C2A1969" w14:textId="77777777" w:rsidR="00304D3F" w:rsidRPr="00E02B64" w:rsidRDefault="00304D3F" w:rsidP="00A85300">
            <w:pPr>
              <w:jc w:val="center"/>
              <w:rPr>
                <w:color w:val="000000" w:themeColor="text1"/>
                <w:sz w:val="20"/>
              </w:rPr>
            </w:pPr>
            <w:r w:rsidRPr="00E02B64">
              <w:rPr>
                <w:color w:val="000000" w:themeColor="text1"/>
                <w:sz w:val="20"/>
              </w:rPr>
              <w:t>83%</w:t>
            </w:r>
          </w:p>
        </w:tc>
        <w:tc>
          <w:tcPr>
            <w:tcW w:w="1078" w:type="dxa"/>
          </w:tcPr>
          <w:p w14:paraId="061DB5C7" w14:textId="77777777" w:rsidR="00304D3F" w:rsidRPr="00E02B64" w:rsidRDefault="00304D3F" w:rsidP="00A85300">
            <w:pPr>
              <w:jc w:val="center"/>
              <w:rPr>
                <w:color w:val="000000" w:themeColor="text1"/>
                <w:sz w:val="20"/>
              </w:rPr>
            </w:pPr>
            <w:r w:rsidRPr="00E02B64">
              <w:rPr>
                <w:color w:val="000000" w:themeColor="text1"/>
                <w:sz w:val="20"/>
              </w:rPr>
              <w:t>17%</w:t>
            </w:r>
          </w:p>
        </w:tc>
      </w:tr>
    </w:tbl>
    <w:p w14:paraId="0FFB68FE" w14:textId="77777777" w:rsidR="00304D3F" w:rsidRPr="00E02B64" w:rsidRDefault="00304D3F" w:rsidP="00304D3F">
      <w:pPr>
        <w:pBdr>
          <w:top w:val="nil"/>
          <w:left w:val="nil"/>
          <w:bottom w:val="nil"/>
          <w:right w:val="nil"/>
          <w:between w:val="nil"/>
        </w:pBdr>
        <w:ind w:firstLine="284"/>
        <w:jc w:val="both"/>
        <w:rPr>
          <w:color w:val="000000" w:themeColor="text1"/>
          <w:sz w:val="20"/>
        </w:rPr>
      </w:pPr>
    </w:p>
    <w:p w14:paraId="2EB275D4" w14:textId="3AF78FB9" w:rsidR="0039376F" w:rsidRPr="00E02B64" w:rsidRDefault="00304D3F" w:rsidP="00304D3F">
      <w:pPr>
        <w:pStyle w:val="Paragraph"/>
        <w:rPr>
          <w:color w:val="000000" w:themeColor="text1"/>
          <w:lang w:val="en-GB" w:eastAsia="en-GB"/>
        </w:rPr>
      </w:pPr>
      <w:r w:rsidRPr="00E02B64">
        <w:rPr>
          <w:color w:val="000000" w:themeColor="text1"/>
        </w:rPr>
        <w:t xml:space="preserve">From Table 1 above, the percentage of yes agree with the need for developing life and career skills reaches 83% (yes) and 17% (no), learning and innovation skills is 95% (yes) and 5% (no), information media and technology skills by 91% (yes) and 9% (no), inventive thinking by 87% (yes) and 13% (no), effective communication by 87% (yes) and 13% (no), logical thinking skills by 97% yes and 3% (no), teamwork and interconnectedness by 85% (yes) and 15% (no), civic and digital citizenship by 87% (yes) and 13% (no), global competence by 91% (yes) and 9% (no), and intercultural competence by 83% (yes) and 17% (no). </w:t>
      </w:r>
      <w:proofErr w:type="gramStart"/>
      <w:r w:rsidRPr="00E02B64">
        <w:rPr>
          <w:color w:val="000000" w:themeColor="text1"/>
        </w:rPr>
        <w:t>So</w:t>
      </w:r>
      <w:proofErr w:type="gramEnd"/>
      <w:r w:rsidRPr="00E02B64">
        <w:rPr>
          <w:color w:val="000000" w:themeColor="text1"/>
        </w:rPr>
        <w:t xml:space="preserve"> it can be concluded that the component needs ten abilities from all respondents agree</w:t>
      </w:r>
      <w:r w:rsidR="009B46F7" w:rsidRPr="00E02B64">
        <w:rPr>
          <w:color w:val="000000" w:themeColor="text1"/>
          <w:lang w:val="en-GB" w:eastAsia="en-GB"/>
        </w:rPr>
        <w:t>.</w:t>
      </w:r>
    </w:p>
    <w:p w14:paraId="0F5F191E" w14:textId="22548172" w:rsidR="004E3C57" w:rsidRPr="00E02B64" w:rsidRDefault="00304D3F" w:rsidP="004E3C57">
      <w:pPr>
        <w:pStyle w:val="Heading2"/>
        <w:rPr>
          <w:color w:val="000000" w:themeColor="text1"/>
        </w:rPr>
      </w:pPr>
      <w:r w:rsidRPr="00E02B64">
        <w:rPr>
          <w:color w:val="000000" w:themeColor="text1"/>
        </w:rPr>
        <w:t xml:space="preserve">Expert Validation Results </w:t>
      </w:r>
    </w:p>
    <w:p w14:paraId="270B7872" w14:textId="2A8E3B26" w:rsidR="00304D3F" w:rsidRPr="00E02B64" w:rsidRDefault="00D353D9" w:rsidP="00304D3F">
      <w:pPr>
        <w:pBdr>
          <w:top w:val="nil"/>
          <w:left w:val="nil"/>
          <w:bottom w:val="nil"/>
          <w:right w:val="nil"/>
          <w:between w:val="nil"/>
        </w:pBdr>
        <w:ind w:firstLine="284"/>
        <w:jc w:val="both"/>
        <w:rPr>
          <w:color w:val="000000" w:themeColor="text1"/>
          <w:sz w:val="20"/>
        </w:rPr>
      </w:pPr>
      <w:r>
        <w:rPr>
          <w:color w:val="000000"/>
          <w:sz w:val="20"/>
        </w:rPr>
        <w:t>From the results of the expert validation questionnaire analysis</w:t>
      </w:r>
      <w:r>
        <w:rPr>
          <w:color w:val="000000" w:themeColor="text1"/>
          <w:sz w:val="20"/>
        </w:rPr>
        <w:t>,</w:t>
      </w:r>
      <w:r w:rsidR="00304D3F" w:rsidRPr="00E02B64">
        <w:rPr>
          <w:color w:val="000000" w:themeColor="text1"/>
          <w:sz w:val="20"/>
        </w:rPr>
        <w:t xml:space="preserve"> which includes vocational material experts and e-media experts learning</w:t>
      </w:r>
      <w:r>
        <w:rPr>
          <w:color w:val="000000" w:themeColor="text1"/>
          <w:sz w:val="20"/>
        </w:rPr>
        <w:t>,</w:t>
      </w:r>
      <w:r w:rsidR="00304D3F" w:rsidRPr="00E02B64">
        <w:rPr>
          <w:color w:val="000000" w:themeColor="text1"/>
          <w:sz w:val="20"/>
        </w:rPr>
        <w:t xml:space="preserve"> Data on the feasibility of TVET-based e-training system innovation media products are obtained</w:t>
      </w:r>
      <w:r>
        <w:rPr>
          <w:color w:val="000000" w:themeColor="text1"/>
          <w:sz w:val="20"/>
        </w:rPr>
        <w:t>. T</w:t>
      </w:r>
      <w:r w:rsidR="00304D3F" w:rsidRPr="00E02B64">
        <w:rPr>
          <w:color w:val="000000" w:themeColor="text1"/>
          <w:sz w:val="20"/>
        </w:rPr>
        <w:t>he details are shown in Table 2 below.</w:t>
      </w:r>
    </w:p>
    <w:tbl>
      <w:tblPr>
        <w:tblStyle w:val="Table2"/>
        <w:tblW w:w="7185" w:type="dxa"/>
        <w:jc w:val="center"/>
        <w:tblBorders>
          <w:bottom w:val="single" w:sz="4" w:space="0" w:color="000000"/>
          <w:insideH w:val="single" w:sz="4" w:space="0" w:color="000000"/>
        </w:tblBorders>
        <w:tblLayout w:type="fixed"/>
        <w:tblLook w:val="0400" w:firstRow="0" w:lastRow="0" w:firstColumn="0" w:lastColumn="0" w:noHBand="0" w:noVBand="1"/>
      </w:tblPr>
      <w:tblGrid>
        <w:gridCol w:w="510"/>
        <w:gridCol w:w="4593"/>
        <w:gridCol w:w="1206"/>
        <w:gridCol w:w="876"/>
      </w:tblGrid>
      <w:tr w:rsidR="00E02B64" w:rsidRPr="00E02B64" w14:paraId="556D4B59" w14:textId="77777777" w:rsidTr="00A85300">
        <w:trPr>
          <w:trHeight w:val="20"/>
          <w:jc w:val="center"/>
        </w:trPr>
        <w:tc>
          <w:tcPr>
            <w:tcW w:w="510" w:type="dxa"/>
          </w:tcPr>
          <w:p w14:paraId="7E187FE8" w14:textId="77777777" w:rsidR="00304D3F" w:rsidRPr="00E02B64" w:rsidRDefault="00304D3F" w:rsidP="00A85300">
            <w:pPr>
              <w:jc w:val="center"/>
              <w:rPr>
                <w:b/>
                <w:color w:val="000000" w:themeColor="text1"/>
                <w:sz w:val="18"/>
                <w:szCs w:val="18"/>
              </w:rPr>
            </w:pPr>
          </w:p>
        </w:tc>
        <w:tc>
          <w:tcPr>
            <w:tcW w:w="4593" w:type="dxa"/>
          </w:tcPr>
          <w:p w14:paraId="0CEFE6F6" w14:textId="77777777" w:rsidR="00304D3F" w:rsidRPr="00E02B64" w:rsidRDefault="00304D3F" w:rsidP="00A85300">
            <w:pPr>
              <w:pBdr>
                <w:top w:val="nil"/>
                <w:left w:val="nil"/>
                <w:bottom w:val="nil"/>
                <w:right w:val="nil"/>
                <w:between w:val="nil"/>
              </w:pBdr>
              <w:spacing w:before="120"/>
              <w:jc w:val="center"/>
              <w:rPr>
                <w:i/>
                <w:color w:val="000000" w:themeColor="text1"/>
                <w:sz w:val="18"/>
                <w:szCs w:val="18"/>
              </w:rPr>
            </w:pPr>
            <w:r w:rsidRPr="00E02B64">
              <w:rPr>
                <w:b/>
                <w:color w:val="000000" w:themeColor="text1"/>
                <w:sz w:val="18"/>
                <w:szCs w:val="18"/>
              </w:rPr>
              <w:t xml:space="preserve">TABLE 2. Vocational material expert validation results </w:t>
            </w:r>
          </w:p>
          <w:p w14:paraId="6A7C329F" w14:textId="77777777" w:rsidR="00304D3F" w:rsidRPr="00E02B64" w:rsidRDefault="00304D3F" w:rsidP="00A85300">
            <w:pPr>
              <w:rPr>
                <w:b/>
                <w:color w:val="000000" w:themeColor="text1"/>
                <w:sz w:val="18"/>
                <w:szCs w:val="18"/>
              </w:rPr>
            </w:pPr>
          </w:p>
        </w:tc>
        <w:tc>
          <w:tcPr>
            <w:tcW w:w="1206" w:type="dxa"/>
          </w:tcPr>
          <w:p w14:paraId="39AEF400" w14:textId="77777777" w:rsidR="00304D3F" w:rsidRPr="00E02B64" w:rsidRDefault="00304D3F" w:rsidP="00A85300">
            <w:pPr>
              <w:jc w:val="center"/>
              <w:rPr>
                <w:b/>
                <w:color w:val="000000" w:themeColor="text1"/>
                <w:sz w:val="18"/>
                <w:szCs w:val="18"/>
              </w:rPr>
            </w:pPr>
          </w:p>
        </w:tc>
        <w:tc>
          <w:tcPr>
            <w:tcW w:w="876" w:type="dxa"/>
          </w:tcPr>
          <w:p w14:paraId="07D36F9B" w14:textId="77777777" w:rsidR="00304D3F" w:rsidRPr="00E02B64" w:rsidRDefault="00304D3F" w:rsidP="00A85300">
            <w:pPr>
              <w:jc w:val="center"/>
              <w:rPr>
                <w:b/>
                <w:color w:val="000000" w:themeColor="text1"/>
                <w:sz w:val="18"/>
                <w:szCs w:val="18"/>
              </w:rPr>
            </w:pPr>
          </w:p>
        </w:tc>
      </w:tr>
      <w:tr w:rsidR="00E02B64" w:rsidRPr="00E02B64" w14:paraId="210564E6" w14:textId="77777777" w:rsidTr="00A85300">
        <w:trPr>
          <w:trHeight w:val="20"/>
          <w:jc w:val="center"/>
        </w:trPr>
        <w:tc>
          <w:tcPr>
            <w:tcW w:w="510" w:type="dxa"/>
          </w:tcPr>
          <w:p w14:paraId="5CF07E74" w14:textId="77777777" w:rsidR="00304D3F" w:rsidRPr="00E02B64" w:rsidRDefault="00304D3F" w:rsidP="00A85300">
            <w:pPr>
              <w:jc w:val="center"/>
              <w:rPr>
                <w:b/>
                <w:color w:val="000000" w:themeColor="text1"/>
                <w:sz w:val="18"/>
                <w:szCs w:val="18"/>
              </w:rPr>
            </w:pPr>
            <w:r w:rsidRPr="00E02B64">
              <w:rPr>
                <w:b/>
                <w:color w:val="000000" w:themeColor="text1"/>
                <w:sz w:val="18"/>
                <w:szCs w:val="18"/>
              </w:rPr>
              <w:t>No</w:t>
            </w:r>
          </w:p>
        </w:tc>
        <w:tc>
          <w:tcPr>
            <w:tcW w:w="4593" w:type="dxa"/>
          </w:tcPr>
          <w:p w14:paraId="11302247" w14:textId="77777777" w:rsidR="00304D3F" w:rsidRPr="00E02B64" w:rsidRDefault="00304D3F" w:rsidP="00A85300">
            <w:pPr>
              <w:jc w:val="center"/>
              <w:rPr>
                <w:b/>
                <w:color w:val="000000" w:themeColor="text1"/>
                <w:sz w:val="18"/>
                <w:szCs w:val="18"/>
              </w:rPr>
            </w:pPr>
            <w:r w:rsidRPr="00E02B64">
              <w:rPr>
                <w:b/>
                <w:color w:val="000000" w:themeColor="text1"/>
                <w:sz w:val="18"/>
                <w:szCs w:val="18"/>
              </w:rPr>
              <w:t>Indicator Items</w:t>
            </w:r>
          </w:p>
        </w:tc>
        <w:tc>
          <w:tcPr>
            <w:tcW w:w="1206" w:type="dxa"/>
          </w:tcPr>
          <w:p w14:paraId="7E9FB41D" w14:textId="77777777" w:rsidR="00304D3F" w:rsidRPr="00E02B64" w:rsidRDefault="00304D3F" w:rsidP="00A85300">
            <w:pPr>
              <w:jc w:val="center"/>
              <w:rPr>
                <w:b/>
                <w:color w:val="000000" w:themeColor="text1"/>
                <w:sz w:val="18"/>
                <w:szCs w:val="18"/>
              </w:rPr>
            </w:pPr>
            <w:r w:rsidRPr="00E02B64">
              <w:rPr>
                <w:b/>
                <w:color w:val="000000" w:themeColor="text1"/>
                <w:sz w:val="18"/>
                <w:szCs w:val="18"/>
              </w:rPr>
              <w:t>Score</w:t>
            </w:r>
          </w:p>
        </w:tc>
        <w:tc>
          <w:tcPr>
            <w:tcW w:w="876" w:type="dxa"/>
          </w:tcPr>
          <w:p w14:paraId="4FCDB0D3" w14:textId="77777777" w:rsidR="00304D3F" w:rsidRPr="00E02B64" w:rsidRDefault="00304D3F" w:rsidP="00A85300">
            <w:pPr>
              <w:jc w:val="center"/>
              <w:rPr>
                <w:b/>
                <w:color w:val="000000" w:themeColor="text1"/>
                <w:sz w:val="18"/>
                <w:szCs w:val="18"/>
              </w:rPr>
            </w:pPr>
            <w:r w:rsidRPr="00E02B64">
              <w:rPr>
                <w:b/>
                <w:color w:val="000000" w:themeColor="text1"/>
                <w:sz w:val="18"/>
                <w:szCs w:val="18"/>
              </w:rPr>
              <w:t>%</w:t>
            </w:r>
          </w:p>
        </w:tc>
      </w:tr>
      <w:tr w:rsidR="00E02B64" w:rsidRPr="00E02B64" w14:paraId="5891BBC8" w14:textId="77777777" w:rsidTr="00A85300">
        <w:trPr>
          <w:trHeight w:val="20"/>
          <w:jc w:val="center"/>
        </w:trPr>
        <w:tc>
          <w:tcPr>
            <w:tcW w:w="510" w:type="dxa"/>
          </w:tcPr>
          <w:p w14:paraId="66FC81A7" w14:textId="77777777" w:rsidR="00304D3F" w:rsidRPr="00E02B64" w:rsidRDefault="00304D3F" w:rsidP="00A85300">
            <w:pPr>
              <w:jc w:val="both"/>
              <w:rPr>
                <w:color w:val="000000" w:themeColor="text1"/>
                <w:sz w:val="20"/>
              </w:rPr>
            </w:pPr>
            <w:r w:rsidRPr="00E02B64">
              <w:rPr>
                <w:color w:val="000000" w:themeColor="text1"/>
                <w:sz w:val="20"/>
              </w:rPr>
              <w:t>1</w:t>
            </w:r>
          </w:p>
        </w:tc>
        <w:tc>
          <w:tcPr>
            <w:tcW w:w="4593" w:type="dxa"/>
          </w:tcPr>
          <w:p w14:paraId="0006C30E" w14:textId="77777777" w:rsidR="00304D3F" w:rsidRPr="00E02B64" w:rsidRDefault="00304D3F" w:rsidP="00A85300">
            <w:pPr>
              <w:jc w:val="both"/>
              <w:rPr>
                <w:color w:val="000000" w:themeColor="text1"/>
                <w:sz w:val="20"/>
              </w:rPr>
            </w:pPr>
            <w:r w:rsidRPr="00E02B64">
              <w:rPr>
                <w:color w:val="000000" w:themeColor="text1"/>
                <w:sz w:val="20"/>
              </w:rPr>
              <w:t>The accuracy of the content of the material contained in the media with the TVET curriculum</w:t>
            </w:r>
          </w:p>
        </w:tc>
        <w:tc>
          <w:tcPr>
            <w:tcW w:w="1206" w:type="dxa"/>
            <w:vAlign w:val="center"/>
          </w:tcPr>
          <w:p w14:paraId="1E75AC55"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876" w:type="dxa"/>
            <w:vAlign w:val="center"/>
          </w:tcPr>
          <w:p w14:paraId="2360EDDB"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45F08110" w14:textId="77777777" w:rsidTr="00A85300">
        <w:trPr>
          <w:trHeight w:val="20"/>
          <w:jc w:val="center"/>
        </w:trPr>
        <w:tc>
          <w:tcPr>
            <w:tcW w:w="510" w:type="dxa"/>
          </w:tcPr>
          <w:p w14:paraId="69DDBD99" w14:textId="77777777" w:rsidR="00304D3F" w:rsidRPr="00E02B64" w:rsidRDefault="00304D3F" w:rsidP="00A85300">
            <w:pPr>
              <w:jc w:val="both"/>
              <w:rPr>
                <w:color w:val="000000" w:themeColor="text1"/>
                <w:sz w:val="20"/>
              </w:rPr>
            </w:pPr>
            <w:r w:rsidRPr="00E02B64">
              <w:rPr>
                <w:color w:val="000000" w:themeColor="text1"/>
                <w:sz w:val="20"/>
              </w:rPr>
              <w:t>2</w:t>
            </w:r>
          </w:p>
        </w:tc>
        <w:tc>
          <w:tcPr>
            <w:tcW w:w="4593" w:type="dxa"/>
          </w:tcPr>
          <w:p w14:paraId="7ABF7D88" w14:textId="77777777" w:rsidR="00304D3F" w:rsidRPr="00E02B64" w:rsidRDefault="00304D3F" w:rsidP="00A85300">
            <w:pPr>
              <w:jc w:val="both"/>
              <w:rPr>
                <w:color w:val="000000" w:themeColor="text1"/>
                <w:sz w:val="20"/>
              </w:rPr>
            </w:pPr>
            <w:r w:rsidRPr="00E02B64">
              <w:rPr>
                <w:color w:val="000000" w:themeColor="text1"/>
                <w:sz w:val="20"/>
              </w:rPr>
              <w:t>Accuracy of materials with vocational education policy goals (TVET)</w:t>
            </w:r>
          </w:p>
        </w:tc>
        <w:tc>
          <w:tcPr>
            <w:tcW w:w="1206" w:type="dxa"/>
            <w:vAlign w:val="center"/>
          </w:tcPr>
          <w:p w14:paraId="1F3FBA47"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876" w:type="dxa"/>
            <w:vAlign w:val="center"/>
          </w:tcPr>
          <w:p w14:paraId="6AD9F09C"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73704EFD" w14:textId="77777777" w:rsidTr="00A85300">
        <w:trPr>
          <w:trHeight w:val="20"/>
          <w:jc w:val="center"/>
        </w:trPr>
        <w:tc>
          <w:tcPr>
            <w:tcW w:w="510" w:type="dxa"/>
          </w:tcPr>
          <w:p w14:paraId="36942E56" w14:textId="77777777" w:rsidR="00304D3F" w:rsidRPr="00E02B64" w:rsidRDefault="00304D3F" w:rsidP="00A85300">
            <w:pPr>
              <w:jc w:val="both"/>
              <w:rPr>
                <w:color w:val="000000" w:themeColor="text1"/>
                <w:sz w:val="20"/>
              </w:rPr>
            </w:pPr>
            <w:r w:rsidRPr="00E02B64">
              <w:rPr>
                <w:color w:val="000000" w:themeColor="text1"/>
                <w:sz w:val="20"/>
              </w:rPr>
              <w:lastRenderedPageBreak/>
              <w:t>3</w:t>
            </w:r>
          </w:p>
        </w:tc>
        <w:tc>
          <w:tcPr>
            <w:tcW w:w="4593" w:type="dxa"/>
          </w:tcPr>
          <w:p w14:paraId="6DC265D1" w14:textId="77777777" w:rsidR="00304D3F" w:rsidRPr="00E02B64" w:rsidRDefault="00304D3F" w:rsidP="00A85300">
            <w:pPr>
              <w:jc w:val="both"/>
              <w:rPr>
                <w:color w:val="000000" w:themeColor="text1"/>
                <w:sz w:val="20"/>
              </w:rPr>
            </w:pPr>
            <w:r w:rsidRPr="00E02B64">
              <w:rPr>
                <w:color w:val="000000" w:themeColor="text1"/>
                <w:sz w:val="20"/>
              </w:rPr>
              <w:t>The level of material delivery according to the character needs of educators in the era of society 5.0</w:t>
            </w:r>
          </w:p>
        </w:tc>
        <w:tc>
          <w:tcPr>
            <w:tcW w:w="1206" w:type="dxa"/>
            <w:vAlign w:val="center"/>
          </w:tcPr>
          <w:p w14:paraId="55C8F531"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876" w:type="dxa"/>
            <w:vAlign w:val="center"/>
          </w:tcPr>
          <w:p w14:paraId="197332CB"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39E20AC6" w14:textId="77777777" w:rsidTr="00A85300">
        <w:trPr>
          <w:trHeight w:val="20"/>
          <w:jc w:val="center"/>
        </w:trPr>
        <w:tc>
          <w:tcPr>
            <w:tcW w:w="510" w:type="dxa"/>
          </w:tcPr>
          <w:p w14:paraId="3693376C" w14:textId="77777777" w:rsidR="00304D3F" w:rsidRPr="00E02B64" w:rsidRDefault="00304D3F" w:rsidP="00A85300">
            <w:pPr>
              <w:jc w:val="both"/>
              <w:rPr>
                <w:color w:val="000000" w:themeColor="text1"/>
                <w:sz w:val="20"/>
              </w:rPr>
            </w:pPr>
            <w:r w:rsidRPr="00E02B64">
              <w:rPr>
                <w:color w:val="000000" w:themeColor="text1"/>
                <w:sz w:val="20"/>
              </w:rPr>
              <w:t>4</w:t>
            </w:r>
          </w:p>
        </w:tc>
        <w:tc>
          <w:tcPr>
            <w:tcW w:w="4593" w:type="dxa"/>
          </w:tcPr>
          <w:p w14:paraId="48C1F949" w14:textId="77777777" w:rsidR="00304D3F" w:rsidRPr="00E02B64" w:rsidRDefault="00304D3F" w:rsidP="00A85300">
            <w:pPr>
              <w:jc w:val="both"/>
              <w:rPr>
                <w:color w:val="000000" w:themeColor="text1"/>
                <w:sz w:val="20"/>
              </w:rPr>
            </w:pPr>
            <w:r w:rsidRPr="00E02B64">
              <w:rPr>
                <w:color w:val="000000" w:themeColor="text1"/>
                <w:sz w:val="20"/>
              </w:rPr>
              <w:t>Compliance with the latest developments in vocational education (laws and policy regulations)</w:t>
            </w:r>
          </w:p>
        </w:tc>
        <w:tc>
          <w:tcPr>
            <w:tcW w:w="1206" w:type="dxa"/>
            <w:vAlign w:val="center"/>
          </w:tcPr>
          <w:p w14:paraId="54853132" w14:textId="77777777" w:rsidR="00304D3F" w:rsidRPr="00E02B64" w:rsidRDefault="00304D3F" w:rsidP="00A85300">
            <w:pPr>
              <w:jc w:val="center"/>
              <w:rPr>
                <w:color w:val="000000" w:themeColor="text1"/>
                <w:sz w:val="20"/>
              </w:rPr>
            </w:pPr>
            <w:r w:rsidRPr="00E02B64">
              <w:rPr>
                <w:color w:val="000000" w:themeColor="text1"/>
                <w:sz w:val="20"/>
              </w:rPr>
              <w:t>3.50</w:t>
            </w:r>
          </w:p>
        </w:tc>
        <w:tc>
          <w:tcPr>
            <w:tcW w:w="876" w:type="dxa"/>
            <w:vAlign w:val="center"/>
          </w:tcPr>
          <w:p w14:paraId="14BD368A" w14:textId="77777777" w:rsidR="00304D3F" w:rsidRPr="00E02B64" w:rsidRDefault="00304D3F" w:rsidP="00A85300">
            <w:pPr>
              <w:jc w:val="center"/>
              <w:rPr>
                <w:color w:val="000000" w:themeColor="text1"/>
                <w:sz w:val="20"/>
              </w:rPr>
            </w:pPr>
            <w:r w:rsidRPr="00E02B64">
              <w:rPr>
                <w:color w:val="000000" w:themeColor="text1"/>
                <w:sz w:val="20"/>
              </w:rPr>
              <w:t>87.50</w:t>
            </w:r>
          </w:p>
        </w:tc>
      </w:tr>
      <w:tr w:rsidR="00E02B64" w:rsidRPr="00E02B64" w14:paraId="66D9197C" w14:textId="77777777" w:rsidTr="00A85300">
        <w:trPr>
          <w:trHeight w:val="20"/>
          <w:jc w:val="center"/>
        </w:trPr>
        <w:tc>
          <w:tcPr>
            <w:tcW w:w="510" w:type="dxa"/>
          </w:tcPr>
          <w:p w14:paraId="2FC42213" w14:textId="77777777" w:rsidR="00304D3F" w:rsidRPr="00E02B64" w:rsidRDefault="00304D3F" w:rsidP="00A85300">
            <w:pPr>
              <w:jc w:val="both"/>
              <w:rPr>
                <w:color w:val="000000" w:themeColor="text1"/>
                <w:sz w:val="20"/>
              </w:rPr>
            </w:pPr>
            <w:r w:rsidRPr="00E02B64">
              <w:rPr>
                <w:color w:val="000000" w:themeColor="text1"/>
                <w:sz w:val="20"/>
              </w:rPr>
              <w:t>5</w:t>
            </w:r>
          </w:p>
        </w:tc>
        <w:tc>
          <w:tcPr>
            <w:tcW w:w="4593" w:type="dxa"/>
          </w:tcPr>
          <w:p w14:paraId="125C0C12" w14:textId="77777777" w:rsidR="00304D3F" w:rsidRPr="00E02B64" w:rsidRDefault="00304D3F" w:rsidP="00A85300">
            <w:pPr>
              <w:jc w:val="both"/>
              <w:rPr>
                <w:color w:val="000000" w:themeColor="text1"/>
                <w:sz w:val="20"/>
              </w:rPr>
            </w:pPr>
            <w:r w:rsidRPr="00E02B64">
              <w:rPr>
                <w:color w:val="000000" w:themeColor="text1"/>
                <w:sz w:val="20"/>
              </w:rPr>
              <w:t>Delivery of the latest information that increases new and relevant knowledge regarding TVET</w:t>
            </w:r>
          </w:p>
        </w:tc>
        <w:tc>
          <w:tcPr>
            <w:tcW w:w="1206" w:type="dxa"/>
            <w:vAlign w:val="center"/>
          </w:tcPr>
          <w:p w14:paraId="7047C7DB" w14:textId="77777777" w:rsidR="00304D3F" w:rsidRPr="00E02B64" w:rsidRDefault="00304D3F" w:rsidP="00A85300">
            <w:pPr>
              <w:jc w:val="center"/>
              <w:rPr>
                <w:color w:val="000000" w:themeColor="text1"/>
                <w:sz w:val="20"/>
              </w:rPr>
            </w:pPr>
            <w:r w:rsidRPr="00E02B64">
              <w:rPr>
                <w:color w:val="000000" w:themeColor="text1"/>
                <w:sz w:val="20"/>
              </w:rPr>
              <w:t>3.33</w:t>
            </w:r>
          </w:p>
        </w:tc>
        <w:tc>
          <w:tcPr>
            <w:tcW w:w="876" w:type="dxa"/>
            <w:vAlign w:val="center"/>
          </w:tcPr>
          <w:p w14:paraId="0CCB1B0A" w14:textId="77777777" w:rsidR="00304D3F" w:rsidRPr="00E02B64" w:rsidRDefault="00304D3F" w:rsidP="00A85300">
            <w:pPr>
              <w:jc w:val="center"/>
              <w:rPr>
                <w:color w:val="000000" w:themeColor="text1"/>
                <w:sz w:val="20"/>
              </w:rPr>
            </w:pPr>
            <w:r w:rsidRPr="00E02B64">
              <w:rPr>
                <w:color w:val="000000" w:themeColor="text1"/>
                <w:sz w:val="20"/>
              </w:rPr>
              <w:t>83.33</w:t>
            </w:r>
          </w:p>
        </w:tc>
      </w:tr>
    </w:tbl>
    <w:p w14:paraId="31B3957F" w14:textId="77777777" w:rsidR="00304D3F" w:rsidRPr="00E02B64" w:rsidRDefault="00304D3F" w:rsidP="00304D3F">
      <w:pPr>
        <w:pBdr>
          <w:top w:val="nil"/>
          <w:left w:val="nil"/>
          <w:bottom w:val="nil"/>
          <w:right w:val="nil"/>
          <w:between w:val="nil"/>
        </w:pBdr>
        <w:ind w:firstLine="284"/>
        <w:jc w:val="both"/>
        <w:rPr>
          <w:color w:val="000000" w:themeColor="text1"/>
          <w:sz w:val="20"/>
        </w:rPr>
      </w:pPr>
    </w:p>
    <w:p w14:paraId="517AEEBF" w14:textId="20AE49E7" w:rsidR="00304D3F" w:rsidRPr="00E02B64" w:rsidRDefault="00304D3F" w:rsidP="00304D3F">
      <w:pPr>
        <w:pBdr>
          <w:top w:val="nil"/>
          <w:left w:val="nil"/>
          <w:bottom w:val="nil"/>
          <w:right w:val="nil"/>
          <w:between w:val="nil"/>
        </w:pBdr>
        <w:ind w:firstLine="284"/>
        <w:jc w:val="both"/>
        <w:rPr>
          <w:color w:val="000000" w:themeColor="text1"/>
          <w:sz w:val="20"/>
        </w:rPr>
      </w:pPr>
      <w:r w:rsidRPr="00E02B64">
        <w:rPr>
          <w:color w:val="000000" w:themeColor="text1"/>
          <w:sz w:val="20"/>
        </w:rPr>
        <w:t xml:space="preserve">From Table 2 above, the results of material expert validation in terms of the accuracy of the content of the material contained in the media with the curriculum get a score of 4 or 100%, the accuracy of the material with the aim of vocational education policies gets a score of 4 or 100%, the level of material delivery according to the character needs of educators in the era of the era society 5.0 gets a score of 4 or 100%, conformity with the latest vocational education developments (laws and policy regulations) gets a score of 3.50 or 87.50%, and the delivery of the latest information that increases new and relevant knowledge related to TVET gets a score of 3.33 or 83.33%. </w:t>
      </w:r>
      <w:proofErr w:type="gramStart"/>
      <w:r w:rsidRPr="00E02B64">
        <w:rPr>
          <w:color w:val="000000" w:themeColor="text1"/>
          <w:sz w:val="20"/>
        </w:rPr>
        <w:t>So</w:t>
      </w:r>
      <w:proofErr w:type="gramEnd"/>
      <w:r w:rsidRPr="00E02B64">
        <w:rPr>
          <w:color w:val="000000" w:themeColor="text1"/>
          <w:sz w:val="20"/>
        </w:rPr>
        <w:t xml:space="preserve"> it can be concluded that the TVET-based e-training system innovation has a high feasibility value based on the results analysis validation data of vocational material experts. </w:t>
      </w:r>
      <w:r w:rsidR="00D353D9">
        <w:rPr>
          <w:color w:val="000000" w:themeColor="text1"/>
          <w:sz w:val="20"/>
        </w:rPr>
        <w:t>At the same time,</w:t>
      </w:r>
      <w:r w:rsidRPr="00E02B64">
        <w:rPr>
          <w:color w:val="000000" w:themeColor="text1"/>
          <w:sz w:val="20"/>
        </w:rPr>
        <w:t xml:space="preserve"> the results of the validation data analysis of e-learning media experts in the field of vocational education are shown in Table 3 below.</w:t>
      </w:r>
    </w:p>
    <w:tbl>
      <w:tblPr>
        <w:tblStyle w:val="Table3"/>
        <w:tblW w:w="718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10"/>
        <w:gridCol w:w="4771"/>
        <w:gridCol w:w="876"/>
        <w:gridCol w:w="1028"/>
      </w:tblGrid>
      <w:tr w:rsidR="00E02B64" w:rsidRPr="00E02B64" w14:paraId="78D3830C" w14:textId="77777777" w:rsidTr="00A85300">
        <w:trPr>
          <w:trHeight w:val="20"/>
          <w:jc w:val="center"/>
        </w:trPr>
        <w:tc>
          <w:tcPr>
            <w:tcW w:w="510" w:type="dxa"/>
            <w:tcBorders>
              <w:top w:val="nil"/>
              <w:left w:val="nil"/>
              <w:bottom w:val="single" w:sz="4" w:space="0" w:color="000000"/>
              <w:right w:val="nil"/>
            </w:tcBorders>
          </w:tcPr>
          <w:p w14:paraId="7425E568" w14:textId="77777777" w:rsidR="00304D3F" w:rsidRPr="00E02B64" w:rsidRDefault="00304D3F" w:rsidP="00A85300">
            <w:pPr>
              <w:jc w:val="center"/>
              <w:rPr>
                <w:b/>
                <w:color w:val="000000" w:themeColor="text1"/>
                <w:sz w:val="18"/>
                <w:szCs w:val="18"/>
              </w:rPr>
            </w:pPr>
          </w:p>
        </w:tc>
        <w:tc>
          <w:tcPr>
            <w:tcW w:w="4771" w:type="dxa"/>
            <w:tcBorders>
              <w:top w:val="nil"/>
              <w:left w:val="nil"/>
              <w:bottom w:val="single" w:sz="4" w:space="0" w:color="000000"/>
              <w:right w:val="nil"/>
            </w:tcBorders>
          </w:tcPr>
          <w:p w14:paraId="6CDEC6AE" w14:textId="77777777" w:rsidR="00304D3F" w:rsidRPr="00E02B64" w:rsidRDefault="00304D3F" w:rsidP="00A85300">
            <w:pPr>
              <w:pBdr>
                <w:top w:val="nil"/>
                <w:left w:val="nil"/>
                <w:bottom w:val="nil"/>
                <w:right w:val="nil"/>
                <w:between w:val="nil"/>
              </w:pBdr>
              <w:spacing w:before="120"/>
              <w:jc w:val="center"/>
              <w:rPr>
                <w:i/>
                <w:color w:val="000000" w:themeColor="text1"/>
                <w:sz w:val="18"/>
                <w:szCs w:val="18"/>
              </w:rPr>
            </w:pPr>
            <w:r w:rsidRPr="00E02B64">
              <w:rPr>
                <w:b/>
                <w:color w:val="000000" w:themeColor="text1"/>
                <w:sz w:val="18"/>
                <w:szCs w:val="18"/>
              </w:rPr>
              <w:t>TABLE 3. Validation results of e-learning media experts</w:t>
            </w:r>
          </w:p>
          <w:p w14:paraId="397903D0" w14:textId="77777777" w:rsidR="00304D3F" w:rsidRPr="00E02B64" w:rsidRDefault="00304D3F" w:rsidP="00A85300">
            <w:pPr>
              <w:jc w:val="center"/>
              <w:rPr>
                <w:b/>
                <w:color w:val="000000" w:themeColor="text1"/>
                <w:sz w:val="18"/>
                <w:szCs w:val="18"/>
              </w:rPr>
            </w:pPr>
          </w:p>
        </w:tc>
        <w:tc>
          <w:tcPr>
            <w:tcW w:w="876" w:type="dxa"/>
            <w:tcBorders>
              <w:top w:val="nil"/>
              <w:left w:val="nil"/>
              <w:bottom w:val="single" w:sz="4" w:space="0" w:color="000000"/>
              <w:right w:val="nil"/>
            </w:tcBorders>
          </w:tcPr>
          <w:p w14:paraId="72940D1D" w14:textId="77777777" w:rsidR="00304D3F" w:rsidRPr="00E02B64" w:rsidRDefault="00304D3F" w:rsidP="00A85300">
            <w:pPr>
              <w:jc w:val="center"/>
              <w:rPr>
                <w:b/>
                <w:color w:val="000000" w:themeColor="text1"/>
                <w:sz w:val="18"/>
                <w:szCs w:val="18"/>
              </w:rPr>
            </w:pPr>
          </w:p>
        </w:tc>
        <w:tc>
          <w:tcPr>
            <w:tcW w:w="1028" w:type="dxa"/>
            <w:tcBorders>
              <w:top w:val="nil"/>
              <w:left w:val="nil"/>
              <w:bottom w:val="single" w:sz="4" w:space="0" w:color="000000"/>
              <w:right w:val="nil"/>
            </w:tcBorders>
          </w:tcPr>
          <w:p w14:paraId="34C80779" w14:textId="77777777" w:rsidR="00304D3F" w:rsidRPr="00E02B64" w:rsidRDefault="00304D3F" w:rsidP="00A85300">
            <w:pPr>
              <w:jc w:val="center"/>
              <w:rPr>
                <w:b/>
                <w:color w:val="000000" w:themeColor="text1"/>
                <w:sz w:val="18"/>
                <w:szCs w:val="18"/>
              </w:rPr>
            </w:pPr>
          </w:p>
        </w:tc>
      </w:tr>
      <w:tr w:rsidR="00E02B64" w:rsidRPr="00E02B64" w14:paraId="56DC7E9E" w14:textId="77777777" w:rsidTr="00A85300">
        <w:trPr>
          <w:trHeight w:val="20"/>
          <w:jc w:val="center"/>
        </w:trPr>
        <w:tc>
          <w:tcPr>
            <w:tcW w:w="510" w:type="dxa"/>
            <w:tcBorders>
              <w:top w:val="single" w:sz="4" w:space="0" w:color="000000"/>
              <w:left w:val="nil"/>
              <w:bottom w:val="single" w:sz="4" w:space="0" w:color="000000"/>
              <w:right w:val="nil"/>
            </w:tcBorders>
          </w:tcPr>
          <w:p w14:paraId="6557583F" w14:textId="77777777" w:rsidR="00304D3F" w:rsidRPr="00E02B64" w:rsidRDefault="00304D3F" w:rsidP="00A85300">
            <w:pPr>
              <w:jc w:val="center"/>
              <w:rPr>
                <w:b/>
                <w:color w:val="000000" w:themeColor="text1"/>
                <w:sz w:val="18"/>
                <w:szCs w:val="18"/>
              </w:rPr>
            </w:pPr>
            <w:r w:rsidRPr="00E02B64">
              <w:rPr>
                <w:b/>
                <w:color w:val="000000" w:themeColor="text1"/>
                <w:sz w:val="18"/>
                <w:szCs w:val="18"/>
              </w:rPr>
              <w:t>No</w:t>
            </w:r>
          </w:p>
        </w:tc>
        <w:tc>
          <w:tcPr>
            <w:tcW w:w="4771" w:type="dxa"/>
            <w:tcBorders>
              <w:top w:val="single" w:sz="4" w:space="0" w:color="000000"/>
              <w:left w:val="nil"/>
              <w:bottom w:val="single" w:sz="4" w:space="0" w:color="000000"/>
              <w:right w:val="nil"/>
            </w:tcBorders>
          </w:tcPr>
          <w:p w14:paraId="62E15083" w14:textId="77777777" w:rsidR="00304D3F" w:rsidRPr="00E02B64" w:rsidRDefault="00304D3F" w:rsidP="00A85300">
            <w:pPr>
              <w:jc w:val="center"/>
              <w:rPr>
                <w:b/>
                <w:color w:val="000000" w:themeColor="text1"/>
                <w:sz w:val="18"/>
                <w:szCs w:val="18"/>
              </w:rPr>
            </w:pPr>
            <w:r w:rsidRPr="00E02B64">
              <w:rPr>
                <w:b/>
                <w:color w:val="000000" w:themeColor="text1"/>
                <w:sz w:val="18"/>
                <w:szCs w:val="18"/>
              </w:rPr>
              <w:t>Indicator Items</w:t>
            </w:r>
          </w:p>
        </w:tc>
        <w:tc>
          <w:tcPr>
            <w:tcW w:w="876" w:type="dxa"/>
            <w:tcBorders>
              <w:top w:val="single" w:sz="4" w:space="0" w:color="000000"/>
              <w:left w:val="nil"/>
              <w:bottom w:val="single" w:sz="4" w:space="0" w:color="000000"/>
              <w:right w:val="nil"/>
            </w:tcBorders>
          </w:tcPr>
          <w:p w14:paraId="78DA9371" w14:textId="77777777" w:rsidR="00304D3F" w:rsidRPr="00E02B64" w:rsidRDefault="00304D3F" w:rsidP="00A85300">
            <w:pPr>
              <w:jc w:val="center"/>
              <w:rPr>
                <w:b/>
                <w:color w:val="000000" w:themeColor="text1"/>
                <w:sz w:val="18"/>
                <w:szCs w:val="18"/>
              </w:rPr>
            </w:pPr>
            <w:r w:rsidRPr="00E02B64">
              <w:rPr>
                <w:b/>
                <w:color w:val="000000" w:themeColor="text1"/>
                <w:sz w:val="18"/>
                <w:szCs w:val="18"/>
              </w:rPr>
              <w:t>Score</w:t>
            </w:r>
          </w:p>
        </w:tc>
        <w:tc>
          <w:tcPr>
            <w:tcW w:w="1028" w:type="dxa"/>
            <w:tcBorders>
              <w:top w:val="single" w:sz="4" w:space="0" w:color="000000"/>
              <w:left w:val="nil"/>
              <w:bottom w:val="single" w:sz="4" w:space="0" w:color="000000"/>
              <w:right w:val="nil"/>
            </w:tcBorders>
          </w:tcPr>
          <w:p w14:paraId="74575ECB" w14:textId="77777777" w:rsidR="00304D3F" w:rsidRPr="00E02B64" w:rsidRDefault="00304D3F" w:rsidP="00A85300">
            <w:pPr>
              <w:jc w:val="center"/>
              <w:rPr>
                <w:b/>
                <w:color w:val="000000" w:themeColor="text1"/>
                <w:sz w:val="18"/>
                <w:szCs w:val="18"/>
              </w:rPr>
            </w:pPr>
            <w:r w:rsidRPr="00E02B64">
              <w:rPr>
                <w:b/>
                <w:color w:val="000000" w:themeColor="text1"/>
                <w:sz w:val="18"/>
                <w:szCs w:val="18"/>
              </w:rPr>
              <w:t>%</w:t>
            </w:r>
          </w:p>
        </w:tc>
      </w:tr>
      <w:tr w:rsidR="00E02B64" w:rsidRPr="00E02B64" w14:paraId="3878F07A" w14:textId="77777777" w:rsidTr="00A85300">
        <w:trPr>
          <w:trHeight w:val="20"/>
          <w:jc w:val="center"/>
        </w:trPr>
        <w:tc>
          <w:tcPr>
            <w:tcW w:w="510" w:type="dxa"/>
            <w:tcBorders>
              <w:top w:val="single" w:sz="4" w:space="0" w:color="000000"/>
              <w:left w:val="nil"/>
              <w:bottom w:val="single" w:sz="4" w:space="0" w:color="000000"/>
              <w:right w:val="nil"/>
            </w:tcBorders>
          </w:tcPr>
          <w:p w14:paraId="63F24A63" w14:textId="77777777" w:rsidR="00304D3F" w:rsidRPr="00E02B64" w:rsidRDefault="00304D3F" w:rsidP="00A85300">
            <w:pPr>
              <w:jc w:val="both"/>
              <w:rPr>
                <w:color w:val="000000" w:themeColor="text1"/>
                <w:sz w:val="20"/>
              </w:rPr>
            </w:pPr>
            <w:r w:rsidRPr="00E02B64">
              <w:rPr>
                <w:color w:val="000000" w:themeColor="text1"/>
                <w:sz w:val="20"/>
              </w:rPr>
              <w:t>1</w:t>
            </w:r>
          </w:p>
        </w:tc>
        <w:tc>
          <w:tcPr>
            <w:tcW w:w="4771" w:type="dxa"/>
            <w:tcBorders>
              <w:top w:val="single" w:sz="4" w:space="0" w:color="000000"/>
              <w:left w:val="nil"/>
              <w:bottom w:val="single" w:sz="4" w:space="0" w:color="000000"/>
              <w:right w:val="nil"/>
            </w:tcBorders>
          </w:tcPr>
          <w:p w14:paraId="611CB3BF" w14:textId="77777777" w:rsidR="00304D3F" w:rsidRPr="00E02B64" w:rsidRDefault="00304D3F" w:rsidP="00A85300">
            <w:pPr>
              <w:jc w:val="both"/>
              <w:rPr>
                <w:color w:val="000000" w:themeColor="text1"/>
                <w:sz w:val="20"/>
              </w:rPr>
            </w:pPr>
            <w:r w:rsidRPr="00E02B64">
              <w:rPr>
                <w:color w:val="000000" w:themeColor="text1"/>
                <w:sz w:val="20"/>
              </w:rPr>
              <w:t>Level using program or application</w:t>
            </w:r>
          </w:p>
        </w:tc>
        <w:tc>
          <w:tcPr>
            <w:tcW w:w="876" w:type="dxa"/>
            <w:tcBorders>
              <w:top w:val="single" w:sz="4" w:space="0" w:color="000000"/>
              <w:left w:val="nil"/>
              <w:bottom w:val="single" w:sz="4" w:space="0" w:color="000000"/>
              <w:right w:val="nil"/>
            </w:tcBorders>
            <w:vAlign w:val="center"/>
          </w:tcPr>
          <w:p w14:paraId="252882ED"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1E337E17"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5B08E965" w14:textId="77777777" w:rsidTr="00A85300">
        <w:trPr>
          <w:trHeight w:val="20"/>
          <w:jc w:val="center"/>
        </w:trPr>
        <w:tc>
          <w:tcPr>
            <w:tcW w:w="510" w:type="dxa"/>
            <w:tcBorders>
              <w:top w:val="single" w:sz="4" w:space="0" w:color="000000"/>
              <w:left w:val="nil"/>
              <w:bottom w:val="single" w:sz="4" w:space="0" w:color="000000"/>
              <w:right w:val="nil"/>
            </w:tcBorders>
          </w:tcPr>
          <w:p w14:paraId="12AE5409" w14:textId="77777777" w:rsidR="00304D3F" w:rsidRPr="00E02B64" w:rsidRDefault="00304D3F" w:rsidP="00A85300">
            <w:pPr>
              <w:jc w:val="both"/>
              <w:rPr>
                <w:color w:val="000000" w:themeColor="text1"/>
                <w:sz w:val="20"/>
              </w:rPr>
            </w:pPr>
            <w:r w:rsidRPr="00E02B64">
              <w:rPr>
                <w:color w:val="000000" w:themeColor="text1"/>
                <w:sz w:val="20"/>
              </w:rPr>
              <w:t>2</w:t>
            </w:r>
          </w:p>
        </w:tc>
        <w:tc>
          <w:tcPr>
            <w:tcW w:w="4771" w:type="dxa"/>
            <w:tcBorders>
              <w:top w:val="single" w:sz="4" w:space="0" w:color="000000"/>
              <w:left w:val="nil"/>
              <w:bottom w:val="single" w:sz="4" w:space="0" w:color="000000"/>
              <w:right w:val="nil"/>
            </w:tcBorders>
          </w:tcPr>
          <w:p w14:paraId="44DA9D55" w14:textId="77777777" w:rsidR="00304D3F" w:rsidRPr="00E02B64" w:rsidRDefault="00304D3F" w:rsidP="00A85300">
            <w:pPr>
              <w:jc w:val="both"/>
              <w:rPr>
                <w:color w:val="000000" w:themeColor="text1"/>
                <w:sz w:val="20"/>
              </w:rPr>
            </w:pPr>
            <w:r w:rsidRPr="00E02B64">
              <w:rPr>
                <w:color w:val="000000" w:themeColor="text1"/>
                <w:sz w:val="20"/>
              </w:rPr>
              <w:t>Design and appearance compatibility</w:t>
            </w:r>
          </w:p>
        </w:tc>
        <w:tc>
          <w:tcPr>
            <w:tcW w:w="876" w:type="dxa"/>
            <w:tcBorders>
              <w:top w:val="single" w:sz="4" w:space="0" w:color="000000"/>
              <w:left w:val="nil"/>
              <w:bottom w:val="single" w:sz="4" w:space="0" w:color="000000"/>
              <w:right w:val="nil"/>
            </w:tcBorders>
            <w:vAlign w:val="center"/>
          </w:tcPr>
          <w:p w14:paraId="11D2AB56"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5A03B378"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15FED996" w14:textId="77777777" w:rsidTr="00A85300">
        <w:trPr>
          <w:trHeight w:val="20"/>
          <w:jc w:val="center"/>
        </w:trPr>
        <w:tc>
          <w:tcPr>
            <w:tcW w:w="510" w:type="dxa"/>
            <w:tcBorders>
              <w:top w:val="single" w:sz="4" w:space="0" w:color="000000"/>
              <w:left w:val="nil"/>
              <w:bottom w:val="single" w:sz="4" w:space="0" w:color="000000"/>
              <w:right w:val="nil"/>
            </w:tcBorders>
          </w:tcPr>
          <w:p w14:paraId="7FEEA99E" w14:textId="77777777" w:rsidR="00304D3F" w:rsidRPr="00E02B64" w:rsidRDefault="00304D3F" w:rsidP="00A85300">
            <w:pPr>
              <w:jc w:val="both"/>
              <w:rPr>
                <w:color w:val="000000" w:themeColor="text1"/>
                <w:sz w:val="20"/>
              </w:rPr>
            </w:pPr>
            <w:r w:rsidRPr="00E02B64">
              <w:rPr>
                <w:color w:val="000000" w:themeColor="text1"/>
                <w:sz w:val="20"/>
              </w:rPr>
              <w:t>3</w:t>
            </w:r>
          </w:p>
        </w:tc>
        <w:tc>
          <w:tcPr>
            <w:tcW w:w="4771" w:type="dxa"/>
            <w:tcBorders>
              <w:top w:val="single" w:sz="4" w:space="0" w:color="000000"/>
              <w:left w:val="nil"/>
              <w:bottom w:val="single" w:sz="4" w:space="0" w:color="000000"/>
              <w:right w:val="nil"/>
            </w:tcBorders>
          </w:tcPr>
          <w:p w14:paraId="01EE221D" w14:textId="77777777" w:rsidR="00304D3F" w:rsidRPr="00E02B64" w:rsidRDefault="00304D3F" w:rsidP="00A85300">
            <w:pPr>
              <w:jc w:val="both"/>
              <w:rPr>
                <w:color w:val="000000" w:themeColor="text1"/>
                <w:sz w:val="20"/>
              </w:rPr>
            </w:pPr>
            <w:r w:rsidRPr="00E02B64">
              <w:rPr>
                <w:color w:val="000000" w:themeColor="text1"/>
                <w:sz w:val="20"/>
              </w:rPr>
              <w:t>Page accuracy and appearance on content</w:t>
            </w:r>
          </w:p>
        </w:tc>
        <w:tc>
          <w:tcPr>
            <w:tcW w:w="876" w:type="dxa"/>
            <w:tcBorders>
              <w:top w:val="single" w:sz="4" w:space="0" w:color="000000"/>
              <w:left w:val="nil"/>
              <w:bottom w:val="single" w:sz="4" w:space="0" w:color="000000"/>
              <w:right w:val="nil"/>
            </w:tcBorders>
            <w:vAlign w:val="center"/>
          </w:tcPr>
          <w:p w14:paraId="279F74D9" w14:textId="77777777" w:rsidR="00304D3F" w:rsidRPr="00E02B64" w:rsidRDefault="00304D3F" w:rsidP="00A85300">
            <w:pPr>
              <w:jc w:val="center"/>
              <w:rPr>
                <w:color w:val="000000" w:themeColor="text1"/>
                <w:sz w:val="20"/>
              </w:rPr>
            </w:pPr>
            <w:r w:rsidRPr="00E02B64">
              <w:rPr>
                <w:color w:val="000000" w:themeColor="text1"/>
                <w:sz w:val="20"/>
              </w:rPr>
              <w:t>3.33</w:t>
            </w:r>
          </w:p>
        </w:tc>
        <w:tc>
          <w:tcPr>
            <w:tcW w:w="1028" w:type="dxa"/>
            <w:tcBorders>
              <w:top w:val="single" w:sz="4" w:space="0" w:color="000000"/>
              <w:left w:val="nil"/>
              <w:bottom w:val="single" w:sz="4" w:space="0" w:color="000000"/>
              <w:right w:val="nil"/>
            </w:tcBorders>
            <w:vAlign w:val="center"/>
          </w:tcPr>
          <w:p w14:paraId="2B527929" w14:textId="77777777" w:rsidR="00304D3F" w:rsidRPr="00E02B64" w:rsidRDefault="00304D3F" w:rsidP="00A85300">
            <w:pPr>
              <w:jc w:val="center"/>
              <w:rPr>
                <w:color w:val="000000" w:themeColor="text1"/>
                <w:sz w:val="20"/>
              </w:rPr>
            </w:pPr>
            <w:r w:rsidRPr="00E02B64">
              <w:rPr>
                <w:color w:val="000000" w:themeColor="text1"/>
                <w:sz w:val="20"/>
              </w:rPr>
              <w:t>83.33</w:t>
            </w:r>
          </w:p>
        </w:tc>
      </w:tr>
      <w:tr w:rsidR="00E02B64" w:rsidRPr="00E02B64" w14:paraId="27C073B5" w14:textId="77777777" w:rsidTr="00A85300">
        <w:trPr>
          <w:trHeight w:val="20"/>
          <w:jc w:val="center"/>
        </w:trPr>
        <w:tc>
          <w:tcPr>
            <w:tcW w:w="510" w:type="dxa"/>
            <w:tcBorders>
              <w:top w:val="single" w:sz="4" w:space="0" w:color="000000"/>
              <w:left w:val="nil"/>
              <w:bottom w:val="single" w:sz="4" w:space="0" w:color="000000"/>
              <w:right w:val="nil"/>
            </w:tcBorders>
          </w:tcPr>
          <w:p w14:paraId="6CEE121A" w14:textId="77777777" w:rsidR="00304D3F" w:rsidRPr="00E02B64" w:rsidRDefault="00304D3F" w:rsidP="00A85300">
            <w:pPr>
              <w:jc w:val="both"/>
              <w:rPr>
                <w:color w:val="000000" w:themeColor="text1"/>
                <w:sz w:val="20"/>
              </w:rPr>
            </w:pPr>
            <w:r w:rsidRPr="00E02B64">
              <w:rPr>
                <w:color w:val="000000" w:themeColor="text1"/>
                <w:sz w:val="20"/>
              </w:rPr>
              <w:t>4</w:t>
            </w:r>
          </w:p>
        </w:tc>
        <w:tc>
          <w:tcPr>
            <w:tcW w:w="4771" w:type="dxa"/>
            <w:tcBorders>
              <w:top w:val="single" w:sz="4" w:space="0" w:color="000000"/>
              <w:left w:val="nil"/>
              <w:bottom w:val="single" w:sz="4" w:space="0" w:color="000000"/>
              <w:right w:val="nil"/>
            </w:tcBorders>
          </w:tcPr>
          <w:p w14:paraId="04395BA5" w14:textId="77777777" w:rsidR="00304D3F" w:rsidRPr="00E02B64" w:rsidRDefault="00304D3F" w:rsidP="00A85300">
            <w:pPr>
              <w:jc w:val="both"/>
              <w:rPr>
                <w:color w:val="000000" w:themeColor="text1"/>
                <w:sz w:val="20"/>
              </w:rPr>
            </w:pPr>
            <w:r w:rsidRPr="00E02B64">
              <w:rPr>
                <w:color w:val="000000" w:themeColor="text1"/>
                <w:sz w:val="20"/>
              </w:rPr>
              <w:t>Easy and unrestricted user access</w:t>
            </w:r>
          </w:p>
        </w:tc>
        <w:tc>
          <w:tcPr>
            <w:tcW w:w="876" w:type="dxa"/>
            <w:tcBorders>
              <w:top w:val="single" w:sz="4" w:space="0" w:color="000000"/>
              <w:left w:val="nil"/>
              <w:bottom w:val="single" w:sz="4" w:space="0" w:color="000000"/>
              <w:right w:val="nil"/>
            </w:tcBorders>
            <w:vAlign w:val="center"/>
          </w:tcPr>
          <w:p w14:paraId="277D8782"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15C45368"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0E305FCE" w14:textId="77777777" w:rsidTr="00A85300">
        <w:trPr>
          <w:trHeight w:val="20"/>
          <w:jc w:val="center"/>
        </w:trPr>
        <w:tc>
          <w:tcPr>
            <w:tcW w:w="510" w:type="dxa"/>
            <w:tcBorders>
              <w:top w:val="single" w:sz="4" w:space="0" w:color="000000"/>
              <w:left w:val="nil"/>
              <w:bottom w:val="single" w:sz="4" w:space="0" w:color="000000"/>
              <w:right w:val="nil"/>
            </w:tcBorders>
          </w:tcPr>
          <w:p w14:paraId="1D239FB4" w14:textId="77777777" w:rsidR="00304D3F" w:rsidRPr="00E02B64" w:rsidRDefault="00304D3F" w:rsidP="00A85300">
            <w:pPr>
              <w:jc w:val="both"/>
              <w:rPr>
                <w:color w:val="000000" w:themeColor="text1"/>
                <w:sz w:val="20"/>
              </w:rPr>
            </w:pPr>
            <w:r w:rsidRPr="00E02B64">
              <w:rPr>
                <w:color w:val="000000" w:themeColor="text1"/>
                <w:sz w:val="20"/>
              </w:rPr>
              <w:t>5</w:t>
            </w:r>
          </w:p>
        </w:tc>
        <w:tc>
          <w:tcPr>
            <w:tcW w:w="4771" w:type="dxa"/>
            <w:tcBorders>
              <w:top w:val="single" w:sz="4" w:space="0" w:color="000000"/>
              <w:left w:val="nil"/>
              <w:bottom w:val="single" w:sz="4" w:space="0" w:color="000000"/>
              <w:right w:val="nil"/>
            </w:tcBorders>
          </w:tcPr>
          <w:p w14:paraId="7AB271A9" w14:textId="77777777" w:rsidR="00304D3F" w:rsidRPr="00E02B64" w:rsidRDefault="00304D3F" w:rsidP="00A85300">
            <w:pPr>
              <w:jc w:val="both"/>
              <w:rPr>
                <w:color w:val="000000" w:themeColor="text1"/>
                <w:sz w:val="20"/>
              </w:rPr>
            </w:pPr>
            <w:r w:rsidRPr="00E02B64">
              <w:rPr>
                <w:color w:val="000000" w:themeColor="text1"/>
                <w:sz w:val="20"/>
              </w:rPr>
              <w:t>Easy level developed by the user</w:t>
            </w:r>
          </w:p>
        </w:tc>
        <w:tc>
          <w:tcPr>
            <w:tcW w:w="876" w:type="dxa"/>
            <w:tcBorders>
              <w:top w:val="single" w:sz="4" w:space="0" w:color="000000"/>
              <w:left w:val="nil"/>
              <w:bottom w:val="single" w:sz="4" w:space="0" w:color="000000"/>
              <w:right w:val="nil"/>
            </w:tcBorders>
            <w:vAlign w:val="center"/>
          </w:tcPr>
          <w:p w14:paraId="2ABF6638"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0BC1358F"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3589FA31" w14:textId="77777777" w:rsidTr="00A85300">
        <w:trPr>
          <w:trHeight w:val="20"/>
          <w:jc w:val="center"/>
        </w:trPr>
        <w:tc>
          <w:tcPr>
            <w:tcW w:w="510" w:type="dxa"/>
            <w:tcBorders>
              <w:top w:val="single" w:sz="4" w:space="0" w:color="000000"/>
              <w:left w:val="nil"/>
              <w:bottom w:val="single" w:sz="4" w:space="0" w:color="000000"/>
              <w:right w:val="nil"/>
            </w:tcBorders>
          </w:tcPr>
          <w:p w14:paraId="70D825CB" w14:textId="77777777" w:rsidR="00304D3F" w:rsidRPr="00E02B64" w:rsidRDefault="00304D3F" w:rsidP="00A85300">
            <w:pPr>
              <w:jc w:val="both"/>
              <w:rPr>
                <w:color w:val="000000" w:themeColor="text1"/>
                <w:sz w:val="20"/>
              </w:rPr>
            </w:pPr>
            <w:r w:rsidRPr="00E02B64">
              <w:rPr>
                <w:color w:val="000000" w:themeColor="text1"/>
                <w:sz w:val="20"/>
              </w:rPr>
              <w:t>6</w:t>
            </w:r>
          </w:p>
        </w:tc>
        <w:tc>
          <w:tcPr>
            <w:tcW w:w="4771" w:type="dxa"/>
            <w:tcBorders>
              <w:top w:val="single" w:sz="4" w:space="0" w:color="000000"/>
              <w:left w:val="nil"/>
              <w:bottom w:val="single" w:sz="4" w:space="0" w:color="000000"/>
              <w:right w:val="nil"/>
            </w:tcBorders>
          </w:tcPr>
          <w:p w14:paraId="2F2ED349" w14:textId="77777777" w:rsidR="00304D3F" w:rsidRPr="00E02B64" w:rsidRDefault="00304D3F" w:rsidP="00A85300">
            <w:pPr>
              <w:jc w:val="both"/>
              <w:rPr>
                <w:color w:val="000000" w:themeColor="text1"/>
                <w:sz w:val="20"/>
              </w:rPr>
            </w:pPr>
            <w:r w:rsidRPr="00E02B64">
              <w:rPr>
                <w:color w:val="000000" w:themeColor="text1"/>
                <w:sz w:val="20"/>
              </w:rPr>
              <w:t xml:space="preserve">Explanation of the toolbar and </w:t>
            </w:r>
            <w:proofErr w:type="spellStart"/>
            <w:r w:rsidRPr="00E02B64">
              <w:rPr>
                <w:color w:val="000000" w:themeColor="text1"/>
                <w:sz w:val="20"/>
              </w:rPr>
              <w:t>menubar</w:t>
            </w:r>
            <w:proofErr w:type="spellEnd"/>
            <w:r w:rsidRPr="00E02B64">
              <w:rPr>
                <w:color w:val="000000" w:themeColor="text1"/>
                <w:sz w:val="20"/>
              </w:rPr>
              <w:t xml:space="preserve"> as needed</w:t>
            </w:r>
          </w:p>
        </w:tc>
        <w:tc>
          <w:tcPr>
            <w:tcW w:w="876" w:type="dxa"/>
            <w:tcBorders>
              <w:top w:val="single" w:sz="4" w:space="0" w:color="000000"/>
              <w:left w:val="nil"/>
              <w:bottom w:val="single" w:sz="4" w:space="0" w:color="000000"/>
              <w:right w:val="nil"/>
            </w:tcBorders>
            <w:vAlign w:val="center"/>
          </w:tcPr>
          <w:p w14:paraId="326C58A2" w14:textId="77777777" w:rsidR="00304D3F" w:rsidRPr="00E02B64" w:rsidRDefault="00304D3F" w:rsidP="00A85300">
            <w:pPr>
              <w:jc w:val="center"/>
              <w:rPr>
                <w:color w:val="000000" w:themeColor="text1"/>
                <w:sz w:val="20"/>
              </w:rPr>
            </w:pPr>
            <w:r w:rsidRPr="00E02B64">
              <w:rPr>
                <w:color w:val="000000" w:themeColor="text1"/>
                <w:sz w:val="20"/>
              </w:rPr>
              <w:t>3.50</w:t>
            </w:r>
          </w:p>
        </w:tc>
        <w:tc>
          <w:tcPr>
            <w:tcW w:w="1028" w:type="dxa"/>
            <w:tcBorders>
              <w:top w:val="single" w:sz="4" w:space="0" w:color="000000"/>
              <w:left w:val="nil"/>
              <w:bottom w:val="single" w:sz="4" w:space="0" w:color="000000"/>
              <w:right w:val="nil"/>
            </w:tcBorders>
            <w:vAlign w:val="center"/>
          </w:tcPr>
          <w:p w14:paraId="019112C6" w14:textId="77777777" w:rsidR="00304D3F" w:rsidRPr="00E02B64" w:rsidRDefault="00304D3F" w:rsidP="00A85300">
            <w:pPr>
              <w:jc w:val="center"/>
              <w:rPr>
                <w:color w:val="000000" w:themeColor="text1"/>
                <w:sz w:val="20"/>
              </w:rPr>
            </w:pPr>
            <w:r w:rsidRPr="00E02B64">
              <w:rPr>
                <w:color w:val="000000" w:themeColor="text1"/>
                <w:sz w:val="20"/>
              </w:rPr>
              <w:t>87.50</w:t>
            </w:r>
          </w:p>
        </w:tc>
      </w:tr>
      <w:tr w:rsidR="00E02B64" w:rsidRPr="00E02B64" w14:paraId="1437E45B" w14:textId="77777777" w:rsidTr="00A85300">
        <w:trPr>
          <w:trHeight w:val="20"/>
          <w:jc w:val="center"/>
        </w:trPr>
        <w:tc>
          <w:tcPr>
            <w:tcW w:w="510" w:type="dxa"/>
            <w:tcBorders>
              <w:top w:val="single" w:sz="4" w:space="0" w:color="000000"/>
              <w:left w:val="nil"/>
              <w:bottom w:val="single" w:sz="4" w:space="0" w:color="000000"/>
              <w:right w:val="nil"/>
            </w:tcBorders>
          </w:tcPr>
          <w:p w14:paraId="094FEF7D" w14:textId="77777777" w:rsidR="00304D3F" w:rsidRPr="00E02B64" w:rsidRDefault="00304D3F" w:rsidP="00A85300">
            <w:pPr>
              <w:jc w:val="both"/>
              <w:rPr>
                <w:color w:val="000000" w:themeColor="text1"/>
                <w:sz w:val="20"/>
              </w:rPr>
            </w:pPr>
            <w:r w:rsidRPr="00E02B64">
              <w:rPr>
                <w:color w:val="000000" w:themeColor="text1"/>
                <w:sz w:val="20"/>
              </w:rPr>
              <w:t>7</w:t>
            </w:r>
          </w:p>
        </w:tc>
        <w:tc>
          <w:tcPr>
            <w:tcW w:w="4771" w:type="dxa"/>
            <w:tcBorders>
              <w:top w:val="single" w:sz="4" w:space="0" w:color="000000"/>
              <w:left w:val="nil"/>
              <w:bottom w:val="single" w:sz="4" w:space="0" w:color="000000"/>
              <w:right w:val="nil"/>
            </w:tcBorders>
          </w:tcPr>
          <w:p w14:paraId="5AA34A80" w14:textId="77777777" w:rsidR="00304D3F" w:rsidRPr="00E02B64" w:rsidRDefault="00304D3F" w:rsidP="00A85300">
            <w:pPr>
              <w:jc w:val="both"/>
              <w:rPr>
                <w:color w:val="000000" w:themeColor="text1"/>
                <w:sz w:val="20"/>
              </w:rPr>
            </w:pPr>
            <w:r w:rsidRPr="00E02B64">
              <w:rPr>
                <w:color w:val="000000" w:themeColor="text1"/>
                <w:sz w:val="20"/>
              </w:rPr>
              <w:t>Accuracy of color effects and background presentation on appropriate media</w:t>
            </w:r>
          </w:p>
        </w:tc>
        <w:tc>
          <w:tcPr>
            <w:tcW w:w="876" w:type="dxa"/>
            <w:tcBorders>
              <w:top w:val="single" w:sz="4" w:space="0" w:color="000000"/>
              <w:left w:val="nil"/>
              <w:bottom w:val="single" w:sz="4" w:space="0" w:color="000000"/>
              <w:right w:val="nil"/>
            </w:tcBorders>
            <w:vAlign w:val="center"/>
          </w:tcPr>
          <w:p w14:paraId="456E0444"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28A67088"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04F4F6F1" w14:textId="77777777" w:rsidTr="00A85300">
        <w:trPr>
          <w:trHeight w:val="20"/>
          <w:jc w:val="center"/>
        </w:trPr>
        <w:tc>
          <w:tcPr>
            <w:tcW w:w="510" w:type="dxa"/>
            <w:tcBorders>
              <w:top w:val="single" w:sz="4" w:space="0" w:color="000000"/>
              <w:left w:val="nil"/>
              <w:bottom w:val="single" w:sz="4" w:space="0" w:color="000000"/>
              <w:right w:val="nil"/>
            </w:tcBorders>
          </w:tcPr>
          <w:p w14:paraId="3F402D75" w14:textId="77777777" w:rsidR="00304D3F" w:rsidRPr="00E02B64" w:rsidRDefault="00304D3F" w:rsidP="00A85300">
            <w:pPr>
              <w:jc w:val="both"/>
              <w:rPr>
                <w:color w:val="000000" w:themeColor="text1"/>
                <w:sz w:val="20"/>
              </w:rPr>
            </w:pPr>
            <w:r w:rsidRPr="00E02B64">
              <w:rPr>
                <w:color w:val="000000" w:themeColor="text1"/>
                <w:sz w:val="20"/>
              </w:rPr>
              <w:t>8</w:t>
            </w:r>
          </w:p>
        </w:tc>
        <w:tc>
          <w:tcPr>
            <w:tcW w:w="4771" w:type="dxa"/>
            <w:tcBorders>
              <w:top w:val="single" w:sz="4" w:space="0" w:color="000000"/>
              <w:left w:val="nil"/>
              <w:bottom w:val="single" w:sz="4" w:space="0" w:color="000000"/>
              <w:right w:val="nil"/>
            </w:tcBorders>
          </w:tcPr>
          <w:p w14:paraId="1C1CB666" w14:textId="77777777" w:rsidR="00304D3F" w:rsidRPr="00E02B64" w:rsidRDefault="00304D3F" w:rsidP="00A85300">
            <w:pPr>
              <w:jc w:val="both"/>
              <w:rPr>
                <w:color w:val="000000" w:themeColor="text1"/>
                <w:sz w:val="20"/>
              </w:rPr>
            </w:pPr>
            <w:r w:rsidRPr="00E02B64">
              <w:rPr>
                <w:color w:val="000000" w:themeColor="text1"/>
                <w:sz w:val="20"/>
              </w:rPr>
              <w:t>Level of conformity with the character of students in the era of society 5.0</w:t>
            </w:r>
          </w:p>
        </w:tc>
        <w:tc>
          <w:tcPr>
            <w:tcW w:w="876" w:type="dxa"/>
            <w:tcBorders>
              <w:top w:val="single" w:sz="4" w:space="0" w:color="000000"/>
              <w:left w:val="nil"/>
              <w:bottom w:val="single" w:sz="4" w:space="0" w:color="000000"/>
              <w:right w:val="nil"/>
            </w:tcBorders>
            <w:vAlign w:val="center"/>
          </w:tcPr>
          <w:p w14:paraId="148E392E" w14:textId="77777777" w:rsidR="00304D3F" w:rsidRPr="00E02B64" w:rsidRDefault="00304D3F" w:rsidP="00A85300">
            <w:pPr>
              <w:jc w:val="center"/>
              <w:rPr>
                <w:color w:val="000000" w:themeColor="text1"/>
                <w:sz w:val="20"/>
              </w:rPr>
            </w:pPr>
            <w:r w:rsidRPr="00E02B64">
              <w:rPr>
                <w:color w:val="000000" w:themeColor="text1"/>
                <w:sz w:val="20"/>
              </w:rPr>
              <w:t>3.33</w:t>
            </w:r>
          </w:p>
        </w:tc>
        <w:tc>
          <w:tcPr>
            <w:tcW w:w="1028" w:type="dxa"/>
            <w:tcBorders>
              <w:top w:val="single" w:sz="4" w:space="0" w:color="000000"/>
              <w:left w:val="nil"/>
              <w:bottom w:val="single" w:sz="4" w:space="0" w:color="000000"/>
              <w:right w:val="nil"/>
            </w:tcBorders>
            <w:vAlign w:val="center"/>
          </w:tcPr>
          <w:p w14:paraId="2F34502F" w14:textId="77777777" w:rsidR="00304D3F" w:rsidRPr="00E02B64" w:rsidRDefault="00304D3F" w:rsidP="00A85300">
            <w:pPr>
              <w:jc w:val="center"/>
              <w:rPr>
                <w:color w:val="000000" w:themeColor="text1"/>
                <w:sz w:val="20"/>
              </w:rPr>
            </w:pPr>
            <w:r w:rsidRPr="00E02B64">
              <w:rPr>
                <w:color w:val="000000" w:themeColor="text1"/>
                <w:sz w:val="20"/>
              </w:rPr>
              <w:t>83.33</w:t>
            </w:r>
          </w:p>
        </w:tc>
      </w:tr>
      <w:tr w:rsidR="00E02B64" w:rsidRPr="00E02B64" w14:paraId="5BD3A3A6" w14:textId="77777777" w:rsidTr="00A85300">
        <w:trPr>
          <w:trHeight w:val="20"/>
          <w:jc w:val="center"/>
        </w:trPr>
        <w:tc>
          <w:tcPr>
            <w:tcW w:w="510" w:type="dxa"/>
            <w:tcBorders>
              <w:top w:val="single" w:sz="4" w:space="0" w:color="000000"/>
              <w:left w:val="nil"/>
              <w:bottom w:val="single" w:sz="4" w:space="0" w:color="000000"/>
              <w:right w:val="nil"/>
            </w:tcBorders>
          </w:tcPr>
          <w:p w14:paraId="44B22330" w14:textId="77777777" w:rsidR="00304D3F" w:rsidRPr="00E02B64" w:rsidRDefault="00304D3F" w:rsidP="00A85300">
            <w:pPr>
              <w:jc w:val="both"/>
              <w:rPr>
                <w:color w:val="000000" w:themeColor="text1"/>
                <w:sz w:val="20"/>
              </w:rPr>
            </w:pPr>
            <w:r w:rsidRPr="00E02B64">
              <w:rPr>
                <w:color w:val="000000" w:themeColor="text1"/>
                <w:sz w:val="20"/>
              </w:rPr>
              <w:t>9</w:t>
            </w:r>
          </w:p>
        </w:tc>
        <w:tc>
          <w:tcPr>
            <w:tcW w:w="4771" w:type="dxa"/>
            <w:tcBorders>
              <w:top w:val="single" w:sz="4" w:space="0" w:color="000000"/>
              <w:left w:val="nil"/>
              <w:bottom w:val="single" w:sz="4" w:space="0" w:color="000000"/>
              <w:right w:val="nil"/>
            </w:tcBorders>
          </w:tcPr>
          <w:p w14:paraId="00FCC5A7" w14:textId="77777777" w:rsidR="00304D3F" w:rsidRPr="00E02B64" w:rsidRDefault="00304D3F" w:rsidP="00A85300">
            <w:pPr>
              <w:jc w:val="both"/>
              <w:rPr>
                <w:color w:val="000000" w:themeColor="text1"/>
                <w:sz w:val="20"/>
              </w:rPr>
            </w:pPr>
            <w:r w:rsidRPr="00E02B64">
              <w:rPr>
                <w:color w:val="000000" w:themeColor="text1"/>
                <w:sz w:val="20"/>
              </w:rPr>
              <w:t>The attractiveness of the main menu display and the material menu</w:t>
            </w:r>
          </w:p>
        </w:tc>
        <w:tc>
          <w:tcPr>
            <w:tcW w:w="876" w:type="dxa"/>
            <w:tcBorders>
              <w:top w:val="single" w:sz="4" w:space="0" w:color="000000"/>
              <w:left w:val="nil"/>
              <w:bottom w:val="single" w:sz="4" w:space="0" w:color="000000"/>
              <w:right w:val="nil"/>
            </w:tcBorders>
            <w:vAlign w:val="center"/>
          </w:tcPr>
          <w:p w14:paraId="7C3749A4" w14:textId="77777777" w:rsidR="00304D3F" w:rsidRPr="00E02B64" w:rsidRDefault="00304D3F" w:rsidP="00A85300">
            <w:pPr>
              <w:jc w:val="center"/>
              <w:rPr>
                <w:color w:val="000000" w:themeColor="text1"/>
                <w:sz w:val="20"/>
              </w:rPr>
            </w:pPr>
            <w:r w:rsidRPr="00E02B64">
              <w:rPr>
                <w:color w:val="000000" w:themeColor="text1"/>
                <w:sz w:val="20"/>
              </w:rPr>
              <w:t>4.00</w:t>
            </w:r>
          </w:p>
        </w:tc>
        <w:tc>
          <w:tcPr>
            <w:tcW w:w="1028" w:type="dxa"/>
            <w:tcBorders>
              <w:top w:val="single" w:sz="4" w:space="0" w:color="000000"/>
              <w:left w:val="nil"/>
              <w:bottom w:val="single" w:sz="4" w:space="0" w:color="000000"/>
              <w:right w:val="nil"/>
            </w:tcBorders>
            <w:vAlign w:val="center"/>
          </w:tcPr>
          <w:p w14:paraId="70111EB3" w14:textId="77777777" w:rsidR="00304D3F" w:rsidRPr="00E02B64" w:rsidRDefault="00304D3F" w:rsidP="00A85300">
            <w:pPr>
              <w:jc w:val="center"/>
              <w:rPr>
                <w:color w:val="000000" w:themeColor="text1"/>
                <w:sz w:val="20"/>
              </w:rPr>
            </w:pPr>
            <w:r w:rsidRPr="00E02B64">
              <w:rPr>
                <w:color w:val="000000" w:themeColor="text1"/>
                <w:sz w:val="20"/>
              </w:rPr>
              <w:t>100.00</w:t>
            </w:r>
          </w:p>
        </w:tc>
      </w:tr>
      <w:tr w:rsidR="00E02B64" w:rsidRPr="00E02B64" w14:paraId="511556F0" w14:textId="77777777" w:rsidTr="00A85300">
        <w:trPr>
          <w:trHeight w:val="20"/>
          <w:jc w:val="center"/>
        </w:trPr>
        <w:tc>
          <w:tcPr>
            <w:tcW w:w="510" w:type="dxa"/>
            <w:tcBorders>
              <w:top w:val="single" w:sz="4" w:space="0" w:color="000000"/>
              <w:left w:val="nil"/>
              <w:bottom w:val="single" w:sz="4" w:space="0" w:color="000000"/>
              <w:right w:val="nil"/>
            </w:tcBorders>
          </w:tcPr>
          <w:p w14:paraId="613A036D" w14:textId="77777777" w:rsidR="00304D3F" w:rsidRPr="00E02B64" w:rsidRDefault="00304D3F" w:rsidP="00A85300">
            <w:pPr>
              <w:jc w:val="both"/>
              <w:rPr>
                <w:color w:val="000000" w:themeColor="text1"/>
                <w:sz w:val="20"/>
              </w:rPr>
            </w:pPr>
            <w:r w:rsidRPr="00E02B64">
              <w:rPr>
                <w:color w:val="000000" w:themeColor="text1"/>
                <w:sz w:val="20"/>
              </w:rPr>
              <w:t>10</w:t>
            </w:r>
          </w:p>
        </w:tc>
        <w:tc>
          <w:tcPr>
            <w:tcW w:w="4771" w:type="dxa"/>
            <w:tcBorders>
              <w:top w:val="single" w:sz="4" w:space="0" w:color="000000"/>
              <w:left w:val="nil"/>
              <w:bottom w:val="single" w:sz="4" w:space="0" w:color="000000"/>
              <w:right w:val="nil"/>
            </w:tcBorders>
          </w:tcPr>
          <w:p w14:paraId="09A24A90" w14:textId="77777777" w:rsidR="00304D3F" w:rsidRPr="00E02B64" w:rsidRDefault="00304D3F" w:rsidP="00A85300">
            <w:pPr>
              <w:jc w:val="both"/>
              <w:rPr>
                <w:color w:val="000000" w:themeColor="text1"/>
                <w:sz w:val="20"/>
              </w:rPr>
            </w:pPr>
            <w:r w:rsidRPr="00E02B64">
              <w:rPr>
                <w:color w:val="000000" w:themeColor="text1"/>
                <w:sz w:val="20"/>
              </w:rPr>
              <w:t>Ease of users in overcoming errors</w:t>
            </w:r>
          </w:p>
        </w:tc>
        <w:tc>
          <w:tcPr>
            <w:tcW w:w="876" w:type="dxa"/>
            <w:tcBorders>
              <w:top w:val="single" w:sz="4" w:space="0" w:color="000000"/>
              <w:left w:val="nil"/>
              <w:bottom w:val="single" w:sz="4" w:space="0" w:color="000000"/>
              <w:right w:val="nil"/>
            </w:tcBorders>
            <w:vAlign w:val="center"/>
          </w:tcPr>
          <w:p w14:paraId="3213213F" w14:textId="77777777" w:rsidR="00304D3F" w:rsidRPr="00E02B64" w:rsidRDefault="00304D3F" w:rsidP="00A85300">
            <w:pPr>
              <w:jc w:val="center"/>
              <w:rPr>
                <w:color w:val="000000" w:themeColor="text1"/>
                <w:sz w:val="20"/>
              </w:rPr>
            </w:pPr>
            <w:r w:rsidRPr="00E02B64">
              <w:rPr>
                <w:color w:val="000000" w:themeColor="text1"/>
                <w:sz w:val="20"/>
              </w:rPr>
              <w:t>3.33</w:t>
            </w:r>
          </w:p>
        </w:tc>
        <w:tc>
          <w:tcPr>
            <w:tcW w:w="1028" w:type="dxa"/>
            <w:tcBorders>
              <w:top w:val="single" w:sz="4" w:space="0" w:color="000000"/>
              <w:left w:val="nil"/>
              <w:bottom w:val="single" w:sz="4" w:space="0" w:color="000000"/>
              <w:right w:val="nil"/>
            </w:tcBorders>
            <w:vAlign w:val="center"/>
          </w:tcPr>
          <w:p w14:paraId="22EF4ACD" w14:textId="77777777" w:rsidR="00304D3F" w:rsidRPr="00E02B64" w:rsidRDefault="00304D3F" w:rsidP="00A85300">
            <w:pPr>
              <w:jc w:val="center"/>
              <w:rPr>
                <w:color w:val="000000" w:themeColor="text1"/>
                <w:sz w:val="20"/>
              </w:rPr>
            </w:pPr>
            <w:r w:rsidRPr="00E02B64">
              <w:rPr>
                <w:color w:val="000000" w:themeColor="text1"/>
                <w:sz w:val="20"/>
              </w:rPr>
              <w:t>83.33</w:t>
            </w:r>
          </w:p>
        </w:tc>
      </w:tr>
    </w:tbl>
    <w:p w14:paraId="3AB5256E" w14:textId="77777777" w:rsidR="00304D3F" w:rsidRPr="00E02B64" w:rsidRDefault="00304D3F" w:rsidP="00304D3F">
      <w:pPr>
        <w:pBdr>
          <w:top w:val="nil"/>
          <w:left w:val="nil"/>
          <w:bottom w:val="nil"/>
          <w:right w:val="nil"/>
          <w:between w:val="nil"/>
        </w:pBdr>
        <w:ind w:firstLine="284"/>
        <w:jc w:val="both"/>
        <w:rPr>
          <w:color w:val="000000" w:themeColor="text1"/>
          <w:sz w:val="20"/>
        </w:rPr>
      </w:pPr>
    </w:p>
    <w:p w14:paraId="6A6640CF" w14:textId="4E2B458F" w:rsidR="002924DB" w:rsidRPr="00E02B64" w:rsidRDefault="00304D3F" w:rsidP="00304D3F">
      <w:pPr>
        <w:pStyle w:val="Paragraph"/>
        <w:rPr>
          <w:color w:val="000000" w:themeColor="text1"/>
        </w:rPr>
      </w:pPr>
      <w:r w:rsidRPr="00E02B64">
        <w:rPr>
          <w:color w:val="000000" w:themeColor="text1"/>
        </w:rPr>
        <w:t xml:space="preserve">From Table 3 above, the results of the e-learning expert validation in terms of the level of using the program or application get a score of 4 or 100%, the compatibility of the design and appearance gets a score of 4 or 100%, the accuracy of the page and the appearance of the content gets a score of 3.33 or 83.33%, access easy and unrestricted users get a score of 4 or 100%, the level of ease developed by the user gets a score of 4 or 100%, the explanation of the toolbar and </w:t>
      </w:r>
      <w:proofErr w:type="spellStart"/>
      <w:r w:rsidRPr="00E02B64">
        <w:rPr>
          <w:color w:val="000000" w:themeColor="text1"/>
        </w:rPr>
        <w:t>menubar</w:t>
      </w:r>
      <w:proofErr w:type="spellEnd"/>
      <w:r w:rsidRPr="00E02B64">
        <w:rPr>
          <w:color w:val="000000" w:themeColor="text1"/>
        </w:rPr>
        <w:t xml:space="preserve"> according to the needs gets a score of 3.50 or 87.50, the accuracy of color effects and background menus according to get a score of 4 or 100%, the level of conformity with the character of students in the era of society 5.0 is 3.33 or 83.33%, the attractiveness of the main menu display and the material menu gets a score of 4 or 100%</w:t>
      </w:r>
      <w:r w:rsidR="00D353D9">
        <w:rPr>
          <w:color w:val="000000" w:themeColor="text1"/>
        </w:rPr>
        <w:t>. T</w:t>
      </w:r>
      <w:r w:rsidRPr="00E02B64">
        <w:rPr>
          <w:color w:val="000000" w:themeColor="text1"/>
        </w:rPr>
        <w:t xml:space="preserve">he ease of users in overcoming errors gets a score of 3.33 or 83.33%. </w:t>
      </w:r>
      <w:proofErr w:type="gramStart"/>
      <w:r w:rsidRPr="00E02B64">
        <w:rPr>
          <w:color w:val="000000" w:themeColor="text1"/>
        </w:rPr>
        <w:t>So</w:t>
      </w:r>
      <w:proofErr w:type="gramEnd"/>
      <w:r w:rsidRPr="00E02B64">
        <w:rPr>
          <w:color w:val="000000" w:themeColor="text1"/>
        </w:rPr>
        <w:t xml:space="preserve"> it can be concluded that the TVET-based e-training system innovation has a high feasibility value based on the results analysis e-learning media expert validation data</w:t>
      </w:r>
      <w:r w:rsidR="00ED020B" w:rsidRPr="00E02B64">
        <w:rPr>
          <w:color w:val="000000" w:themeColor="text1"/>
          <w:lang w:val="en-GB" w:eastAsia="en-GB"/>
        </w:rPr>
        <w:t xml:space="preserve">. </w:t>
      </w:r>
    </w:p>
    <w:p w14:paraId="08EB945A" w14:textId="2F179419" w:rsidR="00272C1C" w:rsidRPr="00E02B64" w:rsidRDefault="00304D3F" w:rsidP="00272C1C">
      <w:pPr>
        <w:pStyle w:val="Heading2"/>
        <w:rPr>
          <w:color w:val="000000" w:themeColor="text1"/>
        </w:rPr>
      </w:pPr>
      <w:r w:rsidRPr="00E02B64">
        <w:rPr>
          <w:color w:val="000000" w:themeColor="text1"/>
        </w:rPr>
        <w:t>Significance Test Results</w:t>
      </w:r>
    </w:p>
    <w:p w14:paraId="28EDCE15" w14:textId="787A5C1D" w:rsidR="000450B4" w:rsidRDefault="000450B4" w:rsidP="000450B4">
      <w:pPr>
        <w:pBdr>
          <w:top w:val="nil"/>
          <w:left w:val="nil"/>
          <w:bottom w:val="nil"/>
          <w:right w:val="nil"/>
          <w:between w:val="nil"/>
        </w:pBdr>
        <w:ind w:firstLine="284"/>
        <w:jc w:val="both"/>
        <w:rPr>
          <w:color w:val="000000" w:themeColor="text1"/>
          <w:sz w:val="20"/>
        </w:rPr>
      </w:pPr>
      <w:r w:rsidRPr="00E02B64">
        <w:rPr>
          <w:color w:val="000000" w:themeColor="text1"/>
          <w:sz w:val="20"/>
        </w:rPr>
        <w:t>From the results of data analysis in the form of parametric inferential statistics with a t-test which includes the results of the initial ability test and final ability data obtained from the ability of the two groups before and after treatment or testing of TVET-based e-training system innovation products in the experimental class, the details are shown in Table 4 below.</w:t>
      </w:r>
    </w:p>
    <w:p w14:paraId="092CC14B" w14:textId="15001E5C" w:rsidR="00D353D9" w:rsidRDefault="00D353D9" w:rsidP="000450B4">
      <w:pPr>
        <w:pBdr>
          <w:top w:val="nil"/>
          <w:left w:val="nil"/>
          <w:bottom w:val="nil"/>
          <w:right w:val="nil"/>
          <w:between w:val="nil"/>
        </w:pBdr>
        <w:ind w:firstLine="284"/>
        <w:jc w:val="both"/>
        <w:rPr>
          <w:color w:val="000000" w:themeColor="text1"/>
          <w:sz w:val="20"/>
        </w:rPr>
      </w:pPr>
    </w:p>
    <w:p w14:paraId="4099672B" w14:textId="77777777" w:rsidR="00D353D9" w:rsidRDefault="00D353D9" w:rsidP="000450B4">
      <w:pPr>
        <w:pBdr>
          <w:top w:val="nil"/>
          <w:left w:val="nil"/>
          <w:bottom w:val="nil"/>
          <w:right w:val="nil"/>
          <w:between w:val="nil"/>
        </w:pBdr>
        <w:ind w:firstLine="284"/>
        <w:jc w:val="both"/>
        <w:rPr>
          <w:color w:val="000000" w:themeColor="text1"/>
          <w:sz w:val="20"/>
        </w:rPr>
      </w:pPr>
    </w:p>
    <w:p w14:paraId="0CF0B6D8" w14:textId="77777777" w:rsidR="008E72E8" w:rsidRPr="00E02B64" w:rsidRDefault="008E72E8" w:rsidP="000450B4">
      <w:pPr>
        <w:pBdr>
          <w:top w:val="nil"/>
          <w:left w:val="nil"/>
          <w:bottom w:val="nil"/>
          <w:right w:val="nil"/>
          <w:between w:val="nil"/>
        </w:pBdr>
        <w:ind w:firstLine="284"/>
        <w:jc w:val="both"/>
        <w:rPr>
          <w:color w:val="000000" w:themeColor="text1"/>
          <w:sz w:val="20"/>
        </w:rPr>
      </w:pPr>
    </w:p>
    <w:tbl>
      <w:tblPr>
        <w:tblStyle w:val="Table4"/>
        <w:tblW w:w="6975" w:type="dxa"/>
        <w:jc w:val="center"/>
        <w:tblBorders>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1016"/>
        <w:gridCol w:w="1016"/>
        <w:gridCol w:w="1909"/>
        <w:gridCol w:w="2126"/>
      </w:tblGrid>
      <w:tr w:rsidR="00E02B64" w:rsidRPr="00E02B64" w14:paraId="2BF1A1ED" w14:textId="77777777" w:rsidTr="00A85300">
        <w:trPr>
          <w:jc w:val="center"/>
        </w:trPr>
        <w:tc>
          <w:tcPr>
            <w:tcW w:w="6975" w:type="dxa"/>
            <w:gridSpan w:val="5"/>
          </w:tcPr>
          <w:p w14:paraId="4607BB8B" w14:textId="77777777" w:rsidR="000450B4" w:rsidRPr="00E02B64" w:rsidRDefault="000450B4" w:rsidP="00A85300">
            <w:pPr>
              <w:pBdr>
                <w:top w:val="nil"/>
                <w:left w:val="nil"/>
                <w:bottom w:val="nil"/>
                <w:right w:val="nil"/>
                <w:between w:val="nil"/>
              </w:pBdr>
              <w:spacing w:before="120"/>
              <w:jc w:val="center"/>
              <w:rPr>
                <w:i/>
                <w:color w:val="000000" w:themeColor="text1"/>
                <w:sz w:val="18"/>
                <w:szCs w:val="18"/>
              </w:rPr>
            </w:pPr>
            <w:r w:rsidRPr="00E02B64">
              <w:rPr>
                <w:b/>
                <w:color w:val="000000" w:themeColor="text1"/>
                <w:sz w:val="18"/>
                <w:szCs w:val="18"/>
              </w:rPr>
              <w:lastRenderedPageBreak/>
              <w:t>TABLE 4. Summary of preliminary test results</w:t>
            </w:r>
          </w:p>
          <w:p w14:paraId="31B29B03" w14:textId="77777777" w:rsidR="000450B4" w:rsidRPr="00E02B64" w:rsidRDefault="000450B4" w:rsidP="00A85300">
            <w:pPr>
              <w:jc w:val="center"/>
              <w:rPr>
                <w:b/>
                <w:color w:val="000000" w:themeColor="text1"/>
                <w:sz w:val="18"/>
                <w:szCs w:val="18"/>
              </w:rPr>
            </w:pPr>
          </w:p>
        </w:tc>
      </w:tr>
      <w:tr w:rsidR="00E02B64" w:rsidRPr="00E02B64" w14:paraId="2939C7FF" w14:textId="77777777" w:rsidTr="00A85300">
        <w:trPr>
          <w:jc w:val="center"/>
        </w:trPr>
        <w:tc>
          <w:tcPr>
            <w:tcW w:w="6975" w:type="dxa"/>
            <w:gridSpan w:val="5"/>
            <w:tcBorders>
              <w:bottom w:val="single" w:sz="4" w:space="0" w:color="000000"/>
            </w:tcBorders>
          </w:tcPr>
          <w:p w14:paraId="6FDDC0C9" w14:textId="77777777" w:rsidR="000450B4" w:rsidRPr="00E02B64" w:rsidRDefault="000450B4" w:rsidP="00A85300">
            <w:pPr>
              <w:jc w:val="center"/>
              <w:rPr>
                <w:b/>
                <w:color w:val="000000" w:themeColor="text1"/>
                <w:sz w:val="18"/>
                <w:szCs w:val="18"/>
              </w:rPr>
            </w:pPr>
            <w:r w:rsidRPr="00E02B64">
              <w:rPr>
                <w:b/>
                <w:color w:val="000000" w:themeColor="text1"/>
                <w:sz w:val="18"/>
                <w:szCs w:val="18"/>
              </w:rPr>
              <w:t>T-test for Equality of Means</w:t>
            </w:r>
          </w:p>
        </w:tc>
      </w:tr>
      <w:tr w:rsidR="00E02B64" w:rsidRPr="00E02B64" w14:paraId="59BAB7D6" w14:textId="77777777" w:rsidTr="00A85300">
        <w:trPr>
          <w:jc w:val="center"/>
        </w:trPr>
        <w:tc>
          <w:tcPr>
            <w:tcW w:w="908" w:type="dxa"/>
            <w:tcBorders>
              <w:top w:val="single" w:sz="4" w:space="0" w:color="000000"/>
              <w:right w:val="nil"/>
            </w:tcBorders>
          </w:tcPr>
          <w:p w14:paraId="28BA478C" w14:textId="77777777" w:rsidR="000450B4" w:rsidRPr="00E02B64" w:rsidRDefault="000450B4" w:rsidP="00A85300">
            <w:pPr>
              <w:jc w:val="center"/>
              <w:rPr>
                <w:color w:val="000000" w:themeColor="text1"/>
                <w:sz w:val="20"/>
              </w:rPr>
            </w:pPr>
            <w:r w:rsidRPr="00E02B64">
              <w:rPr>
                <w:color w:val="000000" w:themeColor="text1"/>
                <w:sz w:val="20"/>
              </w:rPr>
              <w:t>T</w:t>
            </w:r>
          </w:p>
        </w:tc>
        <w:tc>
          <w:tcPr>
            <w:tcW w:w="1016" w:type="dxa"/>
            <w:tcBorders>
              <w:top w:val="single" w:sz="4" w:space="0" w:color="000000"/>
              <w:left w:val="nil"/>
              <w:right w:val="nil"/>
            </w:tcBorders>
          </w:tcPr>
          <w:p w14:paraId="0D578B65" w14:textId="77777777" w:rsidR="000450B4" w:rsidRPr="00E02B64" w:rsidRDefault="000450B4" w:rsidP="00A85300">
            <w:pPr>
              <w:jc w:val="center"/>
              <w:rPr>
                <w:color w:val="000000" w:themeColor="text1"/>
                <w:sz w:val="20"/>
              </w:rPr>
            </w:pPr>
            <w:r w:rsidRPr="00E02B64">
              <w:rPr>
                <w:color w:val="000000" w:themeColor="text1"/>
                <w:sz w:val="20"/>
              </w:rPr>
              <w:t>df</w:t>
            </w:r>
          </w:p>
        </w:tc>
        <w:tc>
          <w:tcPr>
            <w:tcW w:w="1016" w:type="dxa"/>
            <w:tcBorders>
              <w:top w:val="single" w:sz="4" w:space="0" w:color="000000"/>
              <w:left w:val="nil"/>
              <w:right w:val="nil"/>
            </w:tcBorders>
          </w:tcPr>
          <w:p w14:paraId="728B6ABE" w14:textId="77777777" w:rsidR="000450B4" w:rsidRPr="00E02B64" w:rsidRDefault="000450B4" w:rsidP="00A85300">
            <w:pPr>
              <w:jc w:val="center"/>
              <w:rPr>
                <w:color w:val="000000" w:themeColor="text1"/>
                <w:sz w:val="20"/>
              </w:rPr>
            </w:pPr>
            <w:r w:rsidRPr="00E02B64">
              <w:rPr>
                <w:color w:val="000000" w:themeColor="text1"/>
                <w:sz w:val="20"/>
              </w:rPr>
              <w:t>Sig.</w:t>
            </w:r>
          </w:p>
        </w:tc>
        <w:tc>
          <w:tcPr>
            <w:tcW w:w="1909" w:type="dxa"/>
            <w:tcBorders>
              <w:top w:val="single" w:sz="4" w:space="0" w:color="000000"/>
              <w:left w:val="nil"/>
              <w:right w:val="nil"/>
            </w:tcBorders>
          </w:tcPr>
          <w:p w14:paraId="698AFF0B" w14:textId="77777777" w:rsidR="000450B4" w:rsidRPr="00E02B64" w:rsidRDefault="000450B4" w:rsidP="00A85300">
            <w:pPr>
              <w:jc w:val="center"/>
              <w:rPr>
                <w:color w:val="000000" w:themeColor="text1"/>
                <w:sz w:val="20"/>
              </w:rPr>
            </w:pPr>
            <w:r w:rsidRPr="00E02B64">
              <w:rPr>
                <w:color w:val="000000" w:themeColor="text1"/>
                <w:sz w:val="20"/>
              </w:rPr>
              <w:t>Mean Difference</w:t>
            </w:r>
          </w:p>
        </w:tc>
        <w:tc>
          <w:tcPr>
            <w:tcW w:w="2126" w:type="dxa"/>
            <w:tcBorders>
              <w:top w:val="single" w:sz="4" w:space="0" w:color="000000"/>
              <w:left w:val="nil"/>
            </w:tcBorders>
          </w:tcPr>
          <w:p w14:paraId="14674B26" w14:textId="77777777" w:rsidR="000450B4" w:rsidRPr="00E02B64" w:rsidRDefault="000450B4" w:rsidP="00A85300">
            <w:pPr>
              <w:jc w:val="center"/>
              <w:rPr>
                <w:color w:val="000000" w:themeColor="text1"/>
                <w:sz w:val="20"/>
              </w:rPr>
            </w:pPr>
            <w:r w:rsidRPr="00E02B64">
              <w:rPr>
                <w:color w:val="000000" w:themeColor="text1"/>
                <w:sz w:val="20"/>
              </w:rPr>
              <w:t>Std. Error Difference</w:t>
            </w:r>
          </w:p>
        </w:tc>
      </w:tr>
      <w:tr w:rsidR="00E02B64" w:rsidRPr="00E02B64" w14:paraId="0A663E91" w14:textId="77777777" w:rsidTr="00A85300">
        <w:trPr>
          <w:jc w:val="center"/>
        </w:trPr>
        <w:tc>
          <w:tcPr>
            <w:tcW w:w="908" w:type="dxa"/>
            <w:tcBorders>
              <w:top w:val="single" w:sz="4" w:space="0" w:color="000000"/>
              <w:right w:val="nil"/>
            </w:tcBorders>
          </w:tcPr>
          <w:p w14:paraId="6B2B6E12" w14:textId="77777777" w:rsidR="000450B4" w:rsidRPr="00E02B64" w:rsidRDefault="000450B4" w:rsidP="00A85300">
            <w:pPr>
              <w:jc w:val="center"/>
              <w:rPr>
                <w:color w:val="000000" w:themeColor="text1"/>
                <w:sz w:val="20"/>
              </w:rPr>
            </w:pPr>
            <w:r w:rsidRPr="00E02B64">
              <w:rPr>
                <w:color w:val="000000" w:themeColor="text1"/>
                <w:sz w:val="20"/>
              </w:rPr>
              <w:t>-1.11</w:t>
            </w:r>
          </w:p>
          <w:p w14:paraId="7C2AA6DD" w14:textId="77777777" w:rsidR="000450B4" w:rsidRPr="00E02B64" w:rsidRDefault="000450B4" w:rsidP="00A85300">
            <w:pPr>
              <w:jc w:val="center"/>
              <w:rPr>
                <w:color w:val="000000" w:themeColor="text1"/>
                <w:sz w:val="20"/>
              </w:rPr>
            </w:pPr>
            <w:r w:rsidRPr="00E02B64">
              <w:rPr>
                <w:color w:val="000000" w:themeColor="text1"/>
                <w:sz w:val="20"/>
              </w:rPr>
              <w:t>-1.11</w:t>
            </w:r>
          </w:p>
        </w:tc>
        <w:tc>
          <w:tcPr>
            <w:tcW w:w="1016" w:type="dxa"/>
            <w:tcBorders>
              <w:top w:val="single" w:sz="4" w:space="0" w:color="000000"/>
              <w:left w:val="nil"/>
              <w:right w:val="nil"/>
            </w:tcBorders>
          </w:tcPr>
          <w:p w14:paraId="0B5075EF" w14:textId="77777777" w:rsidR="000450B4" w:rsidRPr="00E02B64" w:rsidRDefault="000450B4" w:rsidP="00A85300">
            <w:pPr>
              <w:jc w:val="center"/>
              <w:rPr>
                <w:color w:val="000000" w:themeColor="text1"/>
                <w:sz w:val="20"/>
              </w:rPr>
            </w:pPr>
            <w:r w:rsidRPr="00E02B64">
              <w:rPr>
                <w:color w:val="000000" w:themeColor="text1"/>
                <w:sz w:val="20"/>
              </w:rPr>
              <w:t>54</w:t>
            </w:r>
          </w:p>
          <w:p w14:paraId="28C8F8DD" w14:textId="77777777" w:rsidR="000450B4" w:rsidRPr="00E02B64" w:rsidRDefault="000450B4" w:rsidP="00A85300">
            <w:pPr>
              <w:jc w:val="center"/>
              <w:rPr>
                <w:color w:val="000000" w:themeColor="text1"/>
                <w:sz w:val="20"/>
              </w:rPr>
            </w:pPr>
            <w:r w:rsidRPr="00E02B64">
              <w:rPr>
                <w:color w:val="000000" w:themeColor="text1"/>
                <w:sz w:val="20"/>
              </w:rPr>
              <w:t>54.4</w:t>
            </w:r>
          </w:p>
        </w:tc>
        <w:tc>
          <w:tcPr>
            <w:tcW w:w="1016" w:type="dxa"/>
            <w:tcBorders>
              <w:top w:val="single" w:sz="4" w:space="0" w:color="000000"/>
              <w:left w:val="nil"/>
              <w:right w:val="nil"/>
            </w:tcBorders>
          </w:tcPr>
          <w:p w14:paraId="4100021D" w14:textId="77777777" w:rsidR="000450B4" w:rsidRPr="00E02B64" w:rsidRDefault="000450B4" w:rsidP="00A85300">
            <w:pPr>
              <w:jc w:val="center"/>
              <w:rPr>
                <w:color w:val="000000" w:themeColor="text1"/>
                <w:sz w:val="20"/>
              </w:rPr>
            </w:pPr>
            <w:r w:rsidRPr="00E02B64">
              <w:rPr>
                <w:color w:val="000000" w:themeColor="text1"/>
                <w:sz w:val="20"/>
              </w:rPr>
              <w:t>.27</w:t>
            </w:r>
          </w:p>
          <w:p w14:paraId="385DE57B" w14:textId="77777777" w:rsidR="000450B4" w:rsidRPr="00E02B64" w:rsidRDefault="000450B4" w:rsidP="00A85300">
            <w:pPr>
              <w:jc w:val="center"/>
              <w:rPr>
                <w:color w:val="000000" w:themeColor="text1"/>
                <w:sz w:val="20"/>
              </w:rPr>
            </w:pPr>
            <w:r w:rsidRPr="00E02B64">
              <w:rPr>
                <w:color w:val="000000" w:themeColor="text1"/>
                <w:sz w:val="20"/>
              </w:rPr>
              <w:t>.27</w:t>
            </w:r>
          </w:p>
        </w:tc>
        <w:tc>
          <w:tcPr>
            <w:tcW w:w="1909" w:type="dxa"/>
            <w:tcBorders>
              <w:top w:val="single" w:sz="4" w:space="0" w:color="000000"/>
              <w:left w:val="nil"/>
              <w:right w:val="nil"/>
            </w:tcBorders>
          </w:tcPr>
          <w:p w14:paraId="05397C73" w14:textId="77777777" w:rsidR="000450B4" w:rsidRPr="00E02B64" w:rsidRDefault="000450B4" w:rsidP="00A85300">
            <w:pPr>
              <w:jc w:val="center"/>
              <w:rPr>
                <w:color w:val="000000" w:themeColor="text1"/>
                <w:sz w:val="20"/>
              </w:rPr>
            </w:pPr>
            <w:r w:rsidRPr="00E02B64">
              <w:rPr>
                <w:color w:val="000000" w:themeColor="text1"/>
                <w:sz w:val="20"/>
              </w:rPr>
              <w:t>-1.84</w:t>
            </w:r>
          </w:p>
          <w:p w14:paraId="0967F650" w14:textId="77777777" w:rsidR="000450B4" w:rsidRPr="00E02B64" w:rsidRDefault="000450B4" w:rsidP="00A85300">
            <w:pPr>
              <w:jc w:val="center"/>
              <w:rPr>
                <w:color w:val="000000" w:themeColor="text1"/>
                <w:sz w:val="20"/>
              </w:rPr>
            </w:pPr>
            <w:r w:rsidRPr="00E02B64">
              <w:rPr>
                <w:color w:val="000000" w:themeColor="text1"/>
                <w:sz w:val="20"/>
              </w:rPr>
              <w:t>-1.84</w:t>
            </w:r>
          </w:p>
        </w:tc>
        <w:tc>
          <w:tcPr>
            <w:tcW w:w="2126" w:type="dxa"/>
            <w:tcBorders>
              <w:top w:val="single" w:sz="4" w:space="0" w:color="000000"/>
              <w:left w:val="nil"/>
            </w:tcBorders>
          </w:tcPr>
          <w:p w14:paraId="746106D1" w14:textId="77777777" w:rsidR="000450B4" w:rsidRPr="00E02B64" w:rsidRDefault="000450B4" w:rsidP="00A85300">
            <w:pPr>
              <w:jc w:val="center"/>
              <w:rPr>
                <w:color w:val="000000" w:themeColor="text1"/>
                <w:sz w:val="20"/>
              </w:rPr>
            </w:pPr>
            <w:r w:rsidRPr="00E02B64">
              <w:rPr>
                <w:color w:val="000000" w:themeColor="text1"/>
                <w:sz w:val="20"/>
              </w:rPr>
              <w:t>1.68</w:t>
            </w:r>
          </w:p>
          <w:p w14:paraId="494F8320" w14:textId="77777777" w:rsidR="000450B4" w:rsidRPr="00E02B64" w:rsidRDefault="000450B4" w:rsidP="00A85300">
            <w:pPr>
              <w:jc w:val="center"/>
              <w:rPr>
                <w:color w:val="000000" w:themeColor="text1"/>
                <w:sz w:val="20"/>
              </w:rPr>
            </w:pPr>
            <w:r w:rsidRPr="00E02B64">
              <w:rPr>
                <w:color w:val="000000" w:themeColor="text1"/>
                <w:sz w:val="20"/>
              </w:rPr>
              <w:t>1.67</w:t>
            </w:r>
          </w:p>
        </w:tc>
      </w:tr>
    </w:tbl>
    <w:p w14:paraId="0F7AEF49" w14:textId="77777777" w:rsidR="000450B4" w:rsidRPr="00E02B64" w:rsidRDefault="000450B4" w:rsidP="000450B4">
      <w:pPr>
        <w:pBdr>
          <w:top w:val="nil"/>
          <w:left w:val="nil"/>
          <w:bottom w:val="nil"/>
          <w:right w:val="nil"/>
          <w:between w:val="nil"/>
        </w:pBdr>
        <w:ind w:firstLine="284"/>
        <w:jc w:val="both"/>
        <w:rPr>
          <w:color w:val="000000" w:themeColor="text1"/>
          <w:sz w:val="20"/>
        </w:rPr>
      </w:pPr>
    </w:p>
    <w:p w14:paraId="7A3A763E" w14:textId="7B8AA4C2" w:rsidR="000450B4" w:rsidRPr="00E02B64" w:rsidRDefault="000450B4" w:rsidP="000450B4">
      <w:pPr>
        <w:pBdr>
          <w:top w:val="nil"/>
          <w:left w:val="nil"/>
          <w:bottom w:val="nil"/>
          <w:right w:val="nil"/>
          <w:between w:val="nil"/>
        </w:pBdr>
        <w:ind w:firstLine="284"/>
        <w:jc w:val="both"/>
        <w:rPr>
          <w:color w:val="000000" w:themeColor="text1"/>
          <w:sz w:val="20"/>
        </w:rPr>
      </w:pPr>
      <w:r w:rsidRPr="00E02B64">
        <w:rPr>
          <w:color w:val="000000" w:themeColor="text1"/>
          <w:sz w:val="20"/>
        </w:rPr>
        <w:t>From Table 4 above, the results of the t-test analysis of the initial ability of the two classes get a significance value of 0.27</w:t>
      </w:r>
      <w:r w:rsidR="00D353D9">
        <w:rPr>
          <w:color w:val="000000" w:themeColor="text1"/>
          <w:sz w:val="20"/>
        </w:rPr>
        <w:t>. T</w:t>
      </w:r>
      <w:r w:rsidRPr="00E02B64">
        <w:rPr>
          <w:color w:val="000000" w:themeColor="text1"/>
          <w:sz w:val="20"/>
        </w:rPr>
        <w:t xml:space="preserve">he two classes do not have different initial abilities because the significance value is above 0.05. </w:t>
      </w:r>
      <w:proofErr w:type="gramStart"/>
      <w:r w:rsidRPr="00E02B64">
        <w:rPr>
          <w:color w:val="000000" w:themeColor="text1"/>
          <w:sz w:val="20"/>
        </w:rPr>
        <w:t>So</w:t>
      </w:r>
      <w:proofErr w:type="gramEnd"/>
      <w:r w:rsidRPr="00E02B64">
        <w:rPr>
          <w:color w:val="000000" w:themeColor="text1"/>
          <w:sz w:val="20"/>
        </w:rPr>
        <w:t xml:space="preserve"> it can be concluded that the two classes that are the subject of the study do not have differences in initial abilities. Meanwhile, the </w:t>
      </w:r>
      <w:r w:rsidR="00D353D9">
        <w:rPr>
          <w:color w:val="000000" w:themeColor="text1"/>
          <w:sz w:val="20"/>
        </w:rPr>
        <w:t>final ability t-test analysis result</w:t>
      </w:r>
      <w:r w:rsidRPr="00E02B64">
        <w:rPr>
          <w:color w:val="000000" w:themeColor="text1"/>
          <w:sz w:val="20"/>
        </w:rPr>
        <w:t>s of the two classes are shown in Table 5 below.</w:t>
      </w:r>
    </w:p>
    <w:tbl>
      <w:tblPr>
        <w:tblStyle w:val="Table5"/>
        <w:tblW w:w="6975" w:type="dxa"/>
        <w:jc w:val="center"/>
        <w:tblBorders>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1016"/>
        <w:gridCol w:w="1016"/>
        <w:gridCol w:w="1909"/>
        <w:gridCol w:w="2126"/>
      </w:tblGrid>
      <w:tr w:rsidR="00E02B64" w:rsidRPr="00E02B64" w14:paraId="4D7AA48D" w14:textId="77777777" w:rsidTr="00A85300">
        <w:trPr>
          <w:jc w:val="center"/>
        </w:trPr>
        <w:tc>
          <w:tcPr>
            <w:tcW w:w="6975" w:type="dxa"/>
            <w:gridSpan w:val="5"/>
          </w:tcPr>
          <w:p w14:paraId="2FD7279A" w14:textId="77777777" w:rsidR="000450B4" w:rsidRPr="00E02B64" w:rsidRDefault="000450B4" w:rsidP="00A85300">
            <w:pPr>
              <w:pBdr>
                <w:top w:val="nil"/>
                <w:left w:val="nil"/>
                <w:bottom w:val="nil"/>
                <w:right w:val="nil"/>
                <w:between w:val="nil"/>
              </w:pBdr>
              <w:spacing w:before="120"/>
              <w:jc w:val="center"/>
              <w:rPr>
                <w:i/>
                <w:color w:val="000000" w:themeColor="text1"/>
                <w:sz w:val="18"/>
                <w:szCs w:val="18"/>
              </w:rPr>
            </w:pPr>
            <w:r w:rsidRPr="00E02B64">
              <w:rPr>
                <w:b/>
                <w:color w:val="000000" w:themeColor="text1"/>
                <w:sz w:val="18"/>
                <w:szCs w:val="18"/>
              </w:rPr>
              <w:t>TABLE 5. Summary of final ability test results</w:t>
            </w:r>
          </w:p>
          <w:p w14:paraId="6C171B2E" w14:textId="77777777" w:rsidR="000450B4" w:rsidRPr="00E02B64" w:rsidRDefault="000450B4" w:rsidP="00A85300">
            <w:pPr>
              <w:jc w:val="center"/>
              <w:rPr>
                <w:b/>
                <w:color w:val="000000" w:themeColor="text1"/>
                <w:sz w:val="18"/>
                <w:szCs w:val="18"/>
              </w:rPr>
            </w:pPr>
          </w:p>
        </w:tc>
      </w:tr>
      <w:tr w:rsidR="00E02B64" w:rsidRPr="00E02B64" w14:paraId="4132C604" w14:textId="77777777" w:rsidTr="00A85300">
        <w:trPr>
          <w:jc w:val="center"/>
        </w:trPr>
        <w:tc>
          <w:tcPr>
            <w:tcW w:w="6975" w:type="dxa"/>
            <w:gridSpan w:val="5"/>
            <w:tcBorders>
              <w:bottom w:val="single" w:sz="4" w:space="0" w:color="000000"/>
            </w:tcBorders>
          </w:tcPr>
          <w:p w14:paraId="7507A430" w14:textId="77777777" w:rsidR="000450B4" w:rsidRPr="00E02B64" w:rsidRDefault="000450B4" w:rsidP="00A85300">
            <w:pPr>
              <w:jc w:val="center"/>
              <w:rPr>
                <w:b/>
                <w:color w:val="000000" w:themeColor="text1"/>
                <w:sz w:val="18"/>
                <w:szCs w:val="18"/>
              </w:rPr>
            </w:pPr>
            <w:r w:rsidRPr="00E02B64">
              <w:rPr>
                <w:b/>
                <w:color w:val="000000" w:themeColor="text1"/>
                <w:sz w:val="18"/>
                <w:szCs w:val="18"/>
              </w:rPr>
              <w:t>T-test for Equality of Means</w:t>
            </w:r>
          </w:p>
        </w:tc>
      </w:tr>
      <w:tr w:rsidR="00E02B64" w:rsidRPr="00E02B64" w14:paraId="0FF95609" w14:textId="77777777" w:rsidTr="00A85300">
        <w:trPr>
          <w:jc w:val="center"/>
        </w:trPr>
        <w:tc>
          <w:tcPr>
            <w:tcW w:w="908" w:type="dxa"/>
            <w:tcBorders>
              <w:top w:val="single" w:sz="4" w:space="0" w:color="000000"/>
              <w:right w:val="nil"/>
            </w:tcBorders>
          </w:tcPr>
          <w:p w14:paraId="53E3559A" w14:textId="77777777" w:rsidR="000450B4" w:rsidRPr="00E02B64" w:rsidRDefault="000450B4" w:rsidP="00A85300">
            <w:pPr>
              <w:jc w:val="center"/>
              <w:rPr>
                <w:color w:val="000000" w:themeColor="text1"/>
                <w:sz w:val="20"/>
              </w:rPr>
            </w:pPr>
            <w:r w:rsidRPr="00E02B64">
              <w:rPr>
                <w:color w:val="000000" w:themeColor="text1"/>
                <w:sz w:val="20"/>
              </w:rPr>
              <w:t>T</w:t>
            </w:r>
          </w:p>
        </w:tc>
        <w:tc>
          <w:tcPr>
            <w:tcW w:w="1016" w:type="dxa"/>
            <w:tcBorders>
              <w:top w:val="single" w:sz="4" w:space="0" w:color="000000"/>
              <w:left w:val="nil"/>
              <w:right w:val="nil"/>
            </w:tcBorders>
          </w:tcPr>
          <w:p w14:paraId="5357E018" w14:textId="77777777" w:rsidR="000450B4" w:rsidRPr="00E02B64" w:rsidRDefault="000450B4" w:rsidP="00A85300">
            <w:pPr>
              <w:jc w:val="center"/>
              <w:rPr>
                <w:color w:val="000000" w:themeColor="text1"/>
                <w:sz w:val="20"/>
              </w:rPr>
            </w:pPr>
            <w:r w:rsidRPr="00E02B64">
              <w:rPr>
                <w:color w:val="000000" w:themeColor="text1"/>
                <w:sz w:val="20"/>
              </w:rPr>
              <w:t>df</w:t>
            </w:r>
          </w:p>
        </w:tc>
        <w:tc>
          <w:tcPr>
            <w:tcW w:w="1016" w:type="dxa"/>
            <w:tcBorders>
              <w:top w:val="single" w:sz="4" w:space="0" w:color="000000"/>
              <w:left w:val="nil"/>
              <w:right w:val="nil"/>
            </w:tcBorders>
          </w:tcPr>
          <w:p w14:paraId="6D3CC8D1" w14:textId="77777777" w:rsidR="000450B4" w:rsidRPr="00E02B64" w:rsidRDefault="000450B4" w:rsidP="00A85300">
            <w:pPr>
              <w:jc w:val="center"/>
              <w:rPr>
                <w:color w:val="000000" w:themeColor="text1"/>
                <w:sz w:val="20"/>
              </w:rPr>
            </w:pPr>
            <w:r w:rsidRPr="00E02B64">
              <w:rPr>
                <w:color w:val="000000" w:themeColor="text1"/>
                <w:sz w:val="20"/>
              </w:rPr>
              <w:t>Sig.</w:t>
            </w:r>
          </w:p>
        </w:tc>
        <w:tc>
          <w:tcPr>
            <w:tcW w:w="1909" w:type="dxa"/>
            <w:tcBorders>
              <w:top w:val="single" w:sz="4" w:space="0" w:color="000000"/>
              <w:left w:val="nil"/>
              <w:right w:val="nil"/>
            </w:tcBorders>
          </w:tcPr>
          <w:p w14:paraId="4FF0DA6F" w14:textId="77777777" w:rsidR="000450B4" w:rsidRPr="00E02B64" w:rsidRDefault="000450B4" w:rsidP="00A85300">
            <w:pPr>
              <w:jc w:val="center"/>
              <w:rPr>
                <w:color w:val="000000" w:themeColor="text1"/>
                <w:sz w:val="20"/>
              </w:rPr>
            </w:pPr>
            <w:r w:rsidRPr="00E02B64">
              <w:rPr>
                <w:color w:val="000000" w:themeColor="text1"/>
                <w:sz w:val="20"/>
              </w:rPr>
              <w:t>Mean Difference</w:t>
            </w:r>
          </w:p>
        </w:tc>
        <w:tc>
          <w:tcPr>
            <w:tcW w:w="2126" w:type="dxa"/>
            <w:tcBorders>
              <w:top w:val="single" w:sz="4" w:space="0" w:color="000000"/>
              <w:left w:val="nil"/>
            </w:tcBorders>
          </w:tcPr>
          <w:p w14:paraId="65F8AC5D" w14:textId="77777777" w:rsidR="000450B4" w:rsidRPr="00E02B64" w:rsidRDefault="000450B4" w:rsidP="00A85300">
            <w:pPr>
              <w:jc w:val="center"/>
              <w:rPr>
                <w:color w:val="000000" w:themeColor="text1"/>
                <w:sz w:val="20"/>
              </w:rPr>
            </w:pPr>
            <w:r w:rsidRPr="00E02B64">
              <w:rPr>
                <w:color w:val="000000" w:themeColor="text1"/>
                <w:sz w:val="20"/>
              </w:rPr>
              <w:t>Std. Error Difference</w:t>
            </w:r>
          </w:p>
        </w:tc>
      </w:tr>
      <w:tr w:rsidR="00E02B64" w:rsidRPr="00E02B64" w14:paraId="551E13F5" w14:textId="77777777" w:rsidTr="00A85300">
        <w:trPr>
          <w:jc w:val="center"/>
        </w:trPr>
        <w:tc>
          <w:tcPr>
            <w:tcW w:w="908" w:type="dxa"/>
            <w:tcBorders>
              <w:top w:val="single" w:sz="4" w:space="0" w:color="000000"/>
              <w:right w:val="nil"/>
            </w:tcBorders>
          </w:tcPr>
          <w:p w14:paraId="6B666079" w14:textId="77777777" w:rsidR="000450B4" w:rsidRPr="00E02B64" w:rsidRDefault="000450B4" w:rsidP="00A85300">
            <w:pPr>
              <w:jc w:val="center"/>
              <w:rPr>
                <w:color w:val="000000" w:themeColor="text1"/>
                <w:sz w:val="20"/>
              </w:rPr>
            </w:pPr>
            <w:r w:rsidRPr="00E02B64">
              <w:rPr>
                <w:color w:val="000000" w:themeColor="text1"/>
                <w:sz w:val="20"/>
              </w:rPr>
              <w:t>7.63</w:t>
            </w:r>
          </w:p>
          <w:p w14:paraId="518FED8E" w14:textId="77777777" w:rsidR="000450B4" w:rsidRPr="00E02B64" w:rsidRDefault="000450B4" w:rsidP="00A85300">
            <w:pPr>
              <w:jc w:val="center"/>
              <w:rPr>
                <w:color w:val="000000" w:themeColor="text1"/>
                <w:sz w:val="20"/>
              </w:rPr>
            </w:pPr>
            <w:r w:rsidRPr="00E02B64">
              <w:rPr>
                <w:color w:val="000000" w:themeColor="text1"/>
                <w:sz w:val="20"/>
              </w:rPr>
              <w:t>7.60</w:t>
            </w:r>
          </w:p>
        </w:tc>
        <w:tc>
          <w:tcPr>
            <w:tcW w:w="1016" w:type="dxa"/>
            <w:tcBorders>
              <w:top w:val="single" w:sz="4" w:space="0" w:color="000000"/>
              <w:left w:val="nil"/>
              <w:right w:val="nil"/>
            </w:tcBorders>
          </w:tcPr>
          <w:p w14:paraId="19993422" w14:textId="77777777" w:rsidR="000450B4" w:rsidRPr="00E02B64" w:rsidRDefault="000450B4" w:rsidP="00A85300">
            <w:pPr>
              <w:jc w:val="center"/>
              <w:rPr>
                <w:color w:val="000000" w:themeColor="text1"/>
                <w:sz w:val="20"/>
              </w:rPr>
            </w:pPr>
            <w:r w:rsidRPr="00E02B64">
              <w:rPr>
                <w:color w:val="000000" w:themeColor="text1"/>
                <w:sz w:val="20"/>
              </w:rPr>
              <w:t>54</w:t>
            </w:r>
          </w:p>
          <w:p w14:paraId="2571C423" w14:textId="77777777" w:rsidR="000450B4" w:rsidRPr="00E02B64" w:rsidRDefault="000450B4" w:rsidP="00A85300">
            <w:pPr>
              <w:jc w:val="center"/>
              <w:rPr>
                <w:color w:val="000000" w:themeColor="text1"/>
                <w:sz w:val="20"/>
              </w:rPr>
            </w:pPr>
            <w:r w:rsidRPr="00E02B64">
              <w:rPr>
                <w:color w:val="000000" w:themeColor="text1"/>
                <w:sz w:val="20"/>
              </w:rPr>
              <w:t>53.1</w:t>
            </w:r>
          </w:p>
        </w:tc>
        <w:tc>
          <w:tcPr>
            <w:tcW w:w="1016" w:type="dxa"/>
            <w:tcBorders>
              <w:top w:val="single" w:sz="4" w:space="0" w:color="000000"/>
              <w:left w:val="nil"/>
              <w:right w:val="nil"/>
            </w:tcBorders>
          </w:tcPr>
          <w:p w14:paraId="187E26A5" w14:textId="77777777" w:rsidR="000450B4" w:rsidRPr="00E02B64" w:rsidRDefault="000450B4" w:rsidP="00A85300">
            <w:pPr>
              <w:jc w:val="center"/>
              <w:rPr>
                <w:color w:val="000000" w:themeColor="text1"/>
                <w:sz w:val="20"/>
              </w:rPr>
            </w:pPr>
            <w:r w:rsidRPr="00E02B64">
              <w:rPr>
                <w:color w:val="000000" w:themeColor="text1"/>
                <w:sz w:val="20"/>
              </w:rPr>
              <w:t>.004</w:t>
            </w:r>
          </w:p>
          <w:p w14:paraId="3A9D36B3" w14:textId="77777777" w:rsidR="000450B4" w:rsidRPr="00E02B64" w:rsidRDefault="000450B4" w:rsidP="00A85300">
            <w:pPr>
              <w:jc w:val="center"/>
              <w:rPr>
                <w:color w:val="000000" w:themeColor="text1"/>
                <w:sz w:val="20"/>
              </w:rPr>
            </w:pPr>
            <w:r w:rsidRPr="00E02B64">
              <w:rPr>
                <w:color w:val="000000" w:themeColor="text1"/>
                <w:sz w:val="20"/>
              </w:rPr>
              <w:t>.004</w:t>
            </w:r>
          </w:p>
        </w:tc>
        <w:tc>
          <w:tcPr>
            <w:tcW w:w="1909" w:type="dxa"/>
            <w:tcBorders>
              <w:top w:val="single" w:sz="4" w:space="0" w:color="000000"/>
              <w:left w:val="nil"/>
              <w:right w:val="nil"/>
            </w:tcBorders>
          </w:tcPr>
          <w:p w14:paraId="3C4831B1" w14:textId="77777777" w:rsidR="000450B4" w:rsidRPr="00E02B64" w:rsidRDefault="000450B4" w:rsidP="00A85300">
            <w:pPr>
              <w:jc w:val="center"/>
              <w:rPr>
                <w:color w:val="000000" w:themeColor="text1"/>
                <w:sz w:val="20"/>
              </w:rPr>
            </w:pPr>
            <w:r w:rsidRPr="00E02B64">
              <w:rPr>
                <w:color w:val="000000" w:themeColor="text1"/>
                <w:sz w:val="20"/>
              </w:rPr>
              <w:t>11.99</w:t>
            </w:r>
          </w:p>
          <w:p w14:paraId="38A723C6" w14:textId="77777777" w:rsidR="000450B4" w:rsidRPr="00E02B64" w:rsidRDefault="000450B4" w:rsidP="00A85300">
            <w:pPr>
              <w:jc w:val="center"/>
              <w:rPr>
                <w:color w:val="000000" w:themeColor="text1"/>
                <w:sz w:val="20"/>
              </w:rPr>
            </w:pPr>
            <w:r w:rsidRPr="00E02B64">
              <w:rPr>
                <w:color w:val="000000" w:themeColor="text1"/>
                <w:sz w:val="20"/>
              </w:rPr>
              <w:t>11.99</w:t>
            </w:r>
          </w:p>
        </w:tc>
        <w:tc>
          <w:tcPr>
            <w:tcW w:w="2126" w:type="dxa"/>
            <w:tcBorders>
              <w:top w:val="single" w:sz="4" w:space="0" w:color="000000"/>
              <w:left w:val="nil"/>
            </w:tcBorders>
          </w:tcPr>
          <w:p w14:paraId="7F143FEA" w14:textId="77777777" w:rsidR="000450B4" w:rsidRPr="00E02B64" w:rsidRDefault="000450B4" w:rsidP="00A85300">
            <w:pPr>
              <w:jc w:val="center"/>
              <w:rPr>
                <w:color w:val="000000" w:themeColor="text1"/>
                <w:sz w:val="20"/>
              </w:rPr>
            </w:pPr>
            <w:r w:rsidRPr="00E02B64">
              <w:rPr>
                <w:color w:val="000000" w:themeColor="text1"/>
                <w:sz w:val="20"/>
              </w:rPr>
              <w:t>1.58</w:t>
            </w:r>
          </w:p>
          <w:p w14:paraId="46E4DDCE" w14:textId="77777777" w:rsidR="000450B4" w:rsidRPr="00E02B64" w:rsidRDefault="000450B4" w:rsidP="00A85300">
            <w:pPr>
              <w:jc w:val="center"/>
              <w:rPr>
                <w:color w:val="000000" w:themeColor="text1"/>
                <w:sz w:val="20"/>
              </w:rPr>
            </w:pPr>
            <w:r w:rsidRPr="00E02B64">
              <w:rPr>
                <w:color w:val="000000" w:themeColor="text1"/>
                <w:sz w:val="20"/>
              </w:rPr>
              <w:t>1.58</w:t>
            </w:r>
          </w:p>
        </w:tc>
      </w:tr>
    </w:tbl>
    <w:p w14:paraId="7DF07BF6" w14:textId="77777777" w:rsidR="000450B4" w:rsidRPr="00E02B64" w:rsidRDefault="000450B4" w:rsidP="000450B4">
      <w:pPr>
        <w:pBdr>
          <w:top w:val="nil"/>
          <w:left w:val="nil"/>
          <w:bottom w:val="nil"/>
          <w:right w:val="nil"/>
          <w:between w:val="nil"/>
        </w:pBdr>
        <w:ind w:firstLine="284"/>
        <w:jc w:val="both"/>
        <w:rPr>
          <w:color w:val="000000" w:themeColor="text1"/>
          <w:sz w:val="20"/>
        </w:rPr>
      </w:pPr>
    </w:p>
    <w:p w14:paraId="30C75577" w14:textId="2C455996" w:rsidR="00D94399" w:rsidRPr="008E72E8" w:rsidRDefault="000450B4" w:rsidP="008E72E8">
      <w:pPr>
        <w:pStyle w:val="Paragraph"/>
        <w:rPr>
          <w:color w:val="000000" w:themeColor="text1"/>
        </w:rPr>
      </w:pPr>
      <w:r w:rsidRPr="00E02B64">
        <w:rPr>
          <w:color w:val="000000" w:themeColor="text1"/>
        </w:rPr>
        <w:t>From Table 5 above, the results of the t-test analysis of the final ability of the two classes get a significance value of 0.004</w:t>
      </w:r>
      <w:r w:rsidR="00D353D9">
        <w:rPr>
          <w:color w:val="000000" w:themeColor="text1"/>
        </w:rPr>
        <w:t>. T</w:t>
      </w:r>
      <w:r w:rsidRPr="00E02B64">
        <w:rPr>
          <w:color w:val="000000" w:themeColor="text1"/>
        </w:rPr>
        <w:t xml:space="preserve">his means that the two classes have different final abilities because the significance value is below 0.05. </w:t>
      </w:r>
      <w:proofErr w:type="gramStart"/>
      <w:r w:rsidRPr="00E02B64">
        <w:rPr>
          <w:color w:val="000000" w:themeColor="text1"/>
        </w:rPr>
        <w:t>So</w:t>
      </w:r>
      <w:proofErr w:type="gramEnd"/>
      <w:r w:rsidRPr="00E02B64">
        <w:rPr>
          <w:color w:val="000000" w:themeColor="text1"/>
        </w:rPr>
        <w:t xml:space="preserve"> it can be concluded that the experimental class has the final ability result above class control In other words, the effectiveness of the TVET-based e-training system innovation media is achieved</w:t>
      </w:r>
      <w:r w:rsidR="00D94399" w:rsidRPr="00E02B64">
        <w:rPr>
          <w:color w:val="000000" w:themeColor="text1"/>
          <w:lang w:val="en-GB"/>
        </w:rPr>
        <w:t>.</w:t>
      </w:r>
    </w:p>
    <w:p w14:paraId="06EA89DE" w14:textId="77777777" w:rsidR="00691089" w:rsidRPr="00E02B64" w:rsidRDefault="00691089" w:rsidP="00691089">
      <w:pPr>
        <w:pStyle w:val="Heading10"/>
        <w:rPr>
          <w:color w:val="000000" w:themeColor="text1"/>
        </w:rPr>
      </w:pPr>
      <w:r w:rsidRPr="00E02B64">
        <w:rPr>
          <w:color w:val="000000" w:themeColor="text1"/>
        </w:rPr>
        <w:t>DISCUSSION</w:t>
      </w:r>
    </w:p>
    <w:p w14:paraId="32F1AE04" w14:textId="52BED3AF" w:rsidR="000B1B74" w:rsidRPr="00E02B64" w:rsidRDefault="00CA2081" w:rsidP="008E72E8">
      <w:pPr>
        <w:pStyle w:val="Paragraph"/>
        <w:rPr>
          <w:color w:val="000000" w:themeColor="text1"/>
        </w:rPr>
      </w:pPr>
      <w:r w:rsidRPr="00E02B64">
        <w:rPr>
          <w:color w:val="000000" w:themeColor="text1"/>
        </w:rPr>
        <w:t>The discussion in this study is translated into three discussions which include: 1) increasing the level of human resources for vocational education in the era of society 5.0, 2) e-training innovation emulation digital on vocational educators, 3) TVET-based e-training system innovation as a facility for forming high human resources. The details are explained in the subject below</w:t>
      </w:r>
      <w:r w:rsidR="000B0C27" w:rsidRPr="00E02B64">
        <w:rPr>
          <w:color w:val="000000" w:themeColor="text1"/>
        </w:rPr>
        <w:t>.</w:t>
      </w:r>
    </w:p>
    <w:p w14:paraId="6221DD63" w14:textId="77777777" w:rsidR="00CA2081" w:rsidRPr="00E02B64" w:rsidRDefault="00CA2081" w:rsidP="00CA2081">
      <w:pPr>
        <w:pStyle w:val="Heading20"/>
        <w:rPr>
          <w:color w:val="000000" w:themeColor="text1"/>
        </w:rPr>
      </w:pPr>
      <w:r w:rsidRPr="00E02B64">
        <w:rPr>
          <w:color w:val="000000" w:themeColor="text1"/>
        </w:rPr>
        <w:t>Increasing the Level of Human Resources for Vocational Education in the Era of Society 5.0</w:t>
      </w:r>
    </w:p>
    <w:p w14:paraId="2170BE66" w14:textId="3B5B1578" w:rsidR="00CA2081" w:rsidRPr="00AB5B40" w:rsidRDefault="00CA2081" w:rsidP="00CA2081">
      <w:pPr>
        <w:pBdr>
          <w:top w:val="nil"/>
          <w:left w:val="nil"/>
          <w:bottom w:val="nil"/>
          <w:right w:val="nil"/>
          <w:between w:val="nil"/>
        </w:pBdr>
        <w:ind w:firstLine="284"/>
        <w:jc w:val="both"/>
        <w:rPr>
          <w:color w:val="000000" w:themeColor="text1"/>
          <w:sz w:val="20"/>
        </w:rPr>
      </w:pPr>
      <w:r w:rsidRPr="00AB5B40">
        <w:rPr>
          <w:color w:val="000000" w:themeColor="text1"/>
          <w:sz w:val="20"/>
        </w:rPr>
        <w:t>The educational community in the era of society 5.0 is required to be able to solve various educational challenges and problems by optimizing the use of educational technology in the education 4.0 era as a response to the disruptive era (industry 4.0). This means that educators in the era of society 5.0 must understand the artificial intelligence system as one of the characteristics of quality educators</w:t>
      </w:r>
      <w:r w:rsidR="00D44DC1" w:rsidRPr="00AB5B40">
        <w:rPr>
          <w:color w:val="000000" w:themeColor="text1"/>
          <w:sz w:val="20"/>
        </w:rPr>
        <w:t xml:space="preserve"> </w:t>
      </w:r>
      <w:r w:rsidR="00D44DC1" w:rsidRPr="00AB5B40">
        <w:rPr>
          <w:color w:val="000000" w:themeColor="text1"/>
          <w:sz w:val="20"/>
        </w:rPr>
        <w:fldChar w:fldCharType="begin" w:fldLock="1"/>
      </w:r>
      <w:r w:rsidR="00AE0CA0">
        <w:rPr>
          <w:color w:val="000000" w:themeColor="text1"/>
          <w:sz w:val="20"/>
        </w:rPr>
        <w:instrText>ADDIN CSL_CITATION {"citationItems":[{"id":"ITEM-1","itemData":{"DOI":"10.51773/ajrs.v1i1.31","abstract":"Technology and communication usage is identifiable with people of the 4.0 revolution era and is necessary for the 5.0 era that affects life aspects, such as urban planning, industry, health, transportation, agriculture, and education. This study investigates Islamic education for early childhood, especially of Qur’an learning in the era of society 5.0. The topic is significant for teachers, especially in playgroups, kindergartens, Qur’an Learning Center for Children, and parents, as it describes the urgency of technology in society 5.0 era in the educational field, especially for early childhood. As library research, this study collects and analyzes various relevant and credible data related to the issue. The study results prove that artificial intelligence, one of the characteristics of the society 5.0 era, provides significant assistance in solving various issues in the society related to Islamic education for early childhoods.","author":[{"dropping-particle":"","family":"El-Laudza","given":"Chissya","non-dropping-particle":"","parse-names":false,"suffix":""}],"container-title":"AMCA Journal of Religion and Society","id":"ITEM-1","issue":"1","issued":{"date-parts":[["2021"]]},"page":"1-3","title":"Islamic education for early childhood in the era of society 5.0","type":"article-journal","volume":"1"},"uris":["http://www.mendeley.com/documents/?uuid=10209b26-4123-4439-9bf8-6eafce22a73b","http://www.mendeley.com/documents/?uuid=ab312c58-0646-446a-b737-ff36058eac8e","http://www.mendeley.com/documents/?uuid=ba8115db-7bc7-4497-b224-e6570c76d454"]},{"id":"ITEM-2","itemData":{"DOI":"10.31857/s032150750011289-9","ISSN":"0321-5075","abstract":"… Edition. Issue 1. Pages. 30-36. Abstract. In Japan full-scale digitalization of school education is being carried out from April 2020 as part of educational reform, aiming to provide access for all children to personal computers and net resources …","author":[{"dropping-particle":"","family":"Nafikova","given":"Marina","non-dropping-particle":"","parse-names":false,"suffix":""}],"container-title":"Asia and Africa Today","id":"ITEM-2","issue":"1","issued":{"date-parts":[["2021"]]},"page":"30","title":"Japan. School education reforms for integration into society 5.0","type":"article-journal"},"uris":["http://www.mendeley.com/documents/?uuid=e0f52224-cd0c-4176-887e-a2e6ca672eb7","http://www.mendeley.com/documents/?uuid=c76b8a2b-c8fb-4e24-9d96-0514a438ad78","http://www.mendeley.com/documents/?uuid=1a8ee5d6-7f29-4ece-aca2-1a44d0e30fe4"]}],"mendeley":{"formattedCitation":"[24], [25]","plainTextFormattedCitation":"[24], [25]","previouslyFormattedCitation":"[24], [25]"},"properties":{"noteIndex":0},"schema":"https://github.com/citation-style-language/schema/raw/master/csl-citation.json"}</w:instrText>
      </w:r>
      <w:r w:rsidR="00D44DC1" w:rsidRPr="00AB5B40">
        <w:rPr>
          <w:color w:val="000000" w:themeColor="text1"/>
          <w:sz w:val="20"/>
        </w:rPr>
        <w:fldChar w:fldCharType="separate"/>
      </w:r>
      <w:r w:rsidR="00AE0CA0" w:rsidRPr="00AE0CA0">
        <w:rPr>
          <w:noProof/>
          <w:color w:val="000000" w:themeColor="text1"/>
          <w:sz w:val="20"/>
        </w:rPr>
        <w:t>[24], [25]</w:t>
      </w:r>
      <w:r w:rsidR="00D44DC1" w:rsidRPr="00AB5B40">
        <w:rPr>
          <w:color w:val="000000" w:themeColor="text1"/>
          <w:sz w:val="20"/>
        </w:rPr>
        <w:fldChar w:fldCharType="end"/>
      </w:r>
      <w:r w:rsidR="003E7C74" w:rsidRPr="00AB5B40">
        <w:rPr>
          <w:color w:val="000000" w:themeColor="text1"/>
          <w:sz w:val="20"/>
        </w:rPr>
        <w:t xml:space="preserve">. </w:t>
      </w:r>
      <w:r w:rsidRPr="00AB5B40">
        <w:rPr>
          <w:color w:val="000000" w:themeColor="text1"/>
          <w:sz w:val="20"/>
        </w:rPr>
        <w:t xml:space="preserve">Vocational educators in the era of society 5.0 can increase their level of competence by mastering digitalization in learning. </w:t>
      </w:r>
      <w:r w:rsidR="00D353D9" w:rsidRPr="00854D19">
        <w:rPr>
          <w:color w:val="000000"/>
          <w:sz w:val="20"/>
        </w:rPr>
        <w:t xml:space="preserve">This is intended to answer the new paradigm of the world of education. Currently, the world of education requires regulations that have the development of skills and competencies of vocational educators. Therefore, </w:t>
      </w:r>
      <w:r w:rsidR="00D353D9">
        <w:rPr>
          <w:color w:val="000000"/>
          <w:sz w:val="20"/>
        </w:rPr>
        <w:t>synergy is needed between education policymakers, education implementers, and education supervisors to achieve thi</w:t>
      </w:r>
      <w:r w:rsidR="00D353D9" w:rsidRPr="00854D19">
        <w:rPr>
          <w:color w:val="000000"/>
          <w:sz w:val="20"/>
        </w:rPr>
        <w:t>s</w:t>
      </w:r>
      <w:r w:rsidR="00D353D9">
        <w:rPr>
          <w:color w:val="000000"/>
          <w:sz w:val="20"/>
        </w:rPr>
        <w:t xml:space="preserve">. </w:t>
      </w:r>
      <w:r w:rsidRPr="00AB5B40">
        <w:rPr>
          <w:color w:val="000000" w:themeColor="text1"/>
          <w:sz w:val="20"/>
        </w:rPr>
        <w:t xml:space="preserve">This synergy will encourage an increase in level human resources vocational educators by optimizing the role of various </w:t>
      </w:r>
      <w:r w:rsidR="00D353D9">
        <w:rPr>
          <w:color w:val="000000" w:themeColor="text1"/>
          <w:sz w:val="20"/>
        </w:rPr>
        <w:t>education components</w:t>
      </w:r>
      <w:r w:rsidRPr="00AB5B40">
        <w:rPr>
          <w:color w:val="000000" w:themeColor="text1"/>
          <w:sz w:val="20"/>
        </w:rPr>
        <w:t>. Especially in higher education which has the duty and function to produce education</w:t>
      </w:r>
      <w:r w:rsidR="00D353D9">
        <w:rPr>
          <w:color w:val="000000" w:themeColor="text1"/>
          <w:sz w:val="20"/>
        </w:rPr>
        <w:t>,</w:t>
      </w:r>
      <w:r w:rsidRPr="00AB5B40">
        <w:rPr>
          <w:color w:val="000000" w:themeColor="text1"/>
          <w:sz w:val="20"/>
        </w:rPr>
        <w:t xml:space="preserve"> Quality professionals must strive to integrate various digital technologies in the planning, </w:t>
      </w:r>
      <w:r w:rsidR="00D353D9">
        <w:rPr>
          <w:color w:val="000000" w:themeColor="text1"/>
          <w:sz w:val="20"/>
        </w:rPr>
        <w:t>to implement, and evaluate</w:t>
      </w:r>
      <w:r w:rsidRPr="00AB5B40">
        <w:rPr>
          <w:color w:val="000000" w:themeColor="text1"/>
          <w:sz w:val="20"/>
        </w:rPr>
        <w:t xml:space="preserve"> their learning systems</w:t>
      </w:r>
      <w:r w:rsidR="00AE0CA0">
        <w:rPr>
          <w:color w:val="000000" w:themeColor="text1"/>
          <w:sz w:val="20"/>
        </w:rPr>
        <w:t xml:space="preserve"> </w:t>
      </w:r>
      <w:r w:rsidR="00AE0CA0">
        <w:rPr>
          <w:color w:val="000000" w:themeColor="text1"/>
          <w:sz w:val="20"/>
        </w:rPr>
        <w:fldChar w:fldCharType="begin" w:fldLock="1"/>
      </w:r>
      <w:r w:rsidR="00AE0CA0">
        <w:rPr>
          <w:color w:val="000000" w:themeColor="text1"/>
          <w:sz w:val="20"/>
        </w:rPr>
        <w:instrText>ADDIN CSL_CITATION {"citationItems":[{"id":"ITEM-1","itemData":{"DOI":"10.17977/um047v27i22020p065","abstract":"The purpose of this research is to develop a Project Based Learning model assisted by the Massive Open Online Course. The research design uses Research and Development. The results of the feasibility study of PjBL-MOOCs products include: a) design of 93.75%, b) …","author":[{"dropping-particle":"","family":"Subandi","given":"Mahfudi","non-dropping-particle":"","parse-names":false,"suffix":""},{"dropping-particle":"","family":"Suhartadi","given":"Syarif","non-dropping-particle":"","parse-names":false,"suffix":""},{"dropping-particle":"","family":"Partono","given":"Partono","non-dropping-particle":"","parse-names":false,"suffix":""},{"dropping-particle":"","family":"Putra","given":"Andika","non-dropping-particle":"","parse-names":false,"suffix":""}],"container-title":"JPP (Jurnal Pendidikan dan Pembelajaran)","id":"ITEM-1","issue":"2","issued":{"date-parts":[["2021"]]},"page":"65-72","title":"PjBL-MOOCs As Future Models for Vocational High Schools","type":"article-journal","volume":"27"},"uris":["http://www.mendeley.com/documents/?uuid=fea26620-ef29-4db0-8ba6-edc332f42ef8"]},{"id":"ITEM-2","itemData":{"author":[{"dropping-particle":"","family":"Putra","given":"Andika Bagus Rahma Nur","non-dropping-particle":"","parse-names":false,"suffix":""},{"dropping-particle":"","family":"Ihwanudin","given":"M","non-dropping-particle":"","parse-names":false,"suffix":""},{"dropping-particle":"","family":"Mindarta","given":"Erwin Komara","non-dropping-particle":"","parse-names":false,"suffix":""},{"dropping-particle":"","family":"Puspitasari","given":"Poppy","non-dropping-particle":"","parse-names":false,"suffix":""},{"dropping-particle":"","family":"Pratama","given":"Mirza Abdillah","non-dropping-particle":"","parse-names":false,"suffix":""}],"container-title":"MATEC Web of Conferences","id":"ITEM-2","issued":{"date-parts":[["2018"]]},"page":"1-6","title":"Occupational Health And Safety ( OHS ) management for employees on the risk of diseases due to the intensity of computer use in the workplace/industry","type":"paper-conference","volume":"01016"},"uris":["http://www.mendeley.com/documents/?uuid=00eba682-faf2-4c5a-8e7a-e153b9f473ea"]}],"mendeley":{"formattedCitation":"[26], [27]","plainTextFormattedCitation":"[26], [27]"},"properties":{"noteIndex":0},"schema":"https://github.com/citation-style-language/schema/raw/master/csl-citation.json"}</w:instrText>
      </w:r>
      <w:r w:rsidR="00AE0CA0">
        <w:rPr>
          <w:color w:val="000000" w:themeColor="text1"/>
          <w:sz w:val="20"/>
        </w:rPr>
        <w:fldChar w:fldCharType="separate"/>
      </w:r>
      <w:r w:rsidR="00AE0CA0" w:rsidRPr="00AE0CA0">
        <w:rPr>
          <w:noProof/>
          <w:color w:val="000000" w:themeColor="text1"/>
          <w:sz w:val="20"/>
        </w:rPr>
        <w:t>[26], [27]</w:t>
      </w:r>
      <w:r w:rsidR="00AE0CA0">
        <w:rPr>
          <w:color w:val="000000" w:themeColor="text1"/>
          <w:sz w:val="20"/>
        </w:rPr>
        <w:fldChar w:fldCharType="end"/>
      </w:r>
      <w:r w:rsidRPr="00AB5B40">
        <w:rPr>
          <w:color w:val="000000" w:themeColor="text1"/>
          <w:sz w:val="20"/>
        </w:rPr>
        <w:t>.</w:t>
      </w:r>
    </w:p>
    <w:p w14:paraId="49078009" w14:textId="265EF433" w:rsidR="00CA2081" w:rsidRPr="00AB5B40" w:rsidRDefault="00CA2081" w:rsidP="00CA2081">
      <w:pPr>
        <w:pBdr>
          <w:top w:val="nil"/>
          <w:left w:val="nil"/>
          <w:bottom w:val="nil"/>
          <w:right w:val="nil"/>
          <w:between w:val="nil"/>
        </w:pBdr>
        <w:ind w:firstLine="284"/>
        <w:jc w:val="both"/>
        <w:rPr>
          <w:color w:val="000000" w:themeColor="text1"/>
          <w:sz w:val="20"/>
        </w:rPr>
      </w:pPr>
      <w:r w:rsidRPr="00AB5B40">
        <w:rPr>
          <w:color w:val="000000" w:themeColor="text1"/>
          <w:sz w:val="20"/>
        </w:rPr>
        <w:t xml:space="preserve">Vocational educators who can adapt and innovate are the hallmarks of success in the education of prospective vocational teachers. Educators must continue to develop by the demands of the development of learning theory and the needs of students </w:t>
      </w:r>
      <w:r w:rsidR="00E2523B" w:rsidRPr="00AB5B40">
        <w:rPr>
          <w:color w:val="000000" w:themeColor="text1"/>
          <w:sz w:val="20"/>
        </w:rPr>
        <w:fldChar w:fldCharType="begin" w:fldLock="1"/>
      </w:r>
      <w:r w:rsidR="00AE0CA0">
        <w:rPr>
          <w:color w:val="000000" w:themeColor="text1"/>
          <w:sz w:val="20"/>
        </w:rPr>
        <w:instrText>ADDIN CSL_CITATION {"citationItems":[{"id":"ITEM-1","itemData":{"ISSN":"2688-7061","abstract":"It is known that most of learning theories recommended developing the whole personality of learner in all school levels. Integrating among applications and recommendations of several learning theories can create better and effective varied learning environments for all learners. So educators should continue to develop learning and teaching models based on learning theories to help engage learners and develop their achievement, attitudes, interests, skills, multiple intelligences...etc. Accordingly, the main purpose of this study was to identify the effect of using Hendy's 4Cs Model on acquiring some vocational concepts and social skills for primary school learners in Mid-Egypt. Hendy's 4Cs Model is based on four learning theories; contextualism, connectivism, constructivism, and cognitivism. So it took its name (4Cs Model) to include 4 phases; contextualizing, connecting, constructing, and cognitivizing; with several roles of teacher and learners through each phase of the model. To investigate the main purpose of this study, tow research statistical hypotheses were set regarding two dependent variables; vocational concepts and social skills. Research treatment materials and instruments were developed and controlled to be administered with a random sample of primary fifth grade students in Beni-Suef city, Mid Egypt according to the quasi-experimental research design. The data were collected and analyzed using SPSS techniques, then interpreted and presented through the study. The results referred that Hendy's 4Cs model has an effect on acquiring vocational concepts and social skills for the study sample. Based on those results, some recommendations were presented at the end of this study.","author":[{"dropping-particle":"","family":"Hendy","given":"M","non-dropping-particle":"","parse-names":false,"suffix":""}],"container-title":"International Journal on Social and Education Sciences","id":"ITEM-1","issue":"2","issued":{"date-parts":[["2020"]]},"page":"81-87","title":"The Effect of Using Hendy's 4Cs Model on Acquiring some Vocational Concepts and Social Skills for Primary School Students","type":"article-journal","volume":"2"},"uris":["http://www.mendeley.com/documents/?uuid=89cae0a4-bb5a-4b72-822c-845f264fc56a","http://www.mendeley.com/documents/?uuid=003d0b0c-6cf1-44c9-a5e6-240eb1443cd0","http://www.mendeley.com/documents/?uuid=7d80a72e-4d97-43fb-b288-c87ff7ee4fa8"]}],"mendeley":{"formattedCitation":"[28]","plainTextFormattedCitation":"[28]","previouslyFormattedCitation":"[26]"},"properties":{"noteIndex":0},"schema":"https://github.com/citation-style-language/schema/raw/master/csl-citation.json"}</w:instrText>
      </w:r>
      <w:r w:rsidR="00E2523B" w:rsidRPr="00AB5B40">
        <w:rPr>
          <w:color w:val="000000" w:themeColor="text1"/>
          <w:sz w:val="20"/>
        </w:rPr>
        <w:fldChar w:fldCharType="separate"/>
      </w:r>
      <w:r w:rsidR="00AE0CA0" w:rsidRPr="00AE0CA0">
        <w:rPr>
          <w:noProof/>
          <w:color w:val="000000" w:themeColor="text1"/>
          <w:sz w:val="20"/>
        </w:rPr>
        <w:t>[28]</w:t>
      </w:r>
      <w:r w:rsidR="00E2523B" w:rsidRPr="00AB5B40">
        <w:rPr>
          <w:color w:val="000000" w:themeColor="text1"/>
          <w:sz w:val="20"/>
        </w:rPr>
        <w:fldChar w:fldCharType="end"/>
      </w:r>
      <w:r w:rsidR="00E2523B" w:rsidRPr="00AB5B40">
        <w:rPr>
          <w:color w:val="000000" w:themeColor="text1"/>
          <w:sz w:val="20"/>
        </w:rPr>
        <w:t xml:space="preserve">. </w:t>
      </w:r>
      <w:r w:rsidRPr="00AB5B40">
        <w:rPr>
          <w:color w:val="000000" w:themeColor="text1"/>
          <w:sz w:val="20"/>
        </w:rPr>
        <w:t>Vocational educators have a central role in improving the thinking power and skills of students. Thinking power</w:t>
      </w:r>
      <w:r w:rsidR="00D353D9">
        <w:rPr>
          <w:color w:val="000000" w:themeColor="text1"/>
          <w:sz w:val="20"/>
        </w:rPr>
        <w:t>, commonly referred to as the current level of student knowledge,</w:t>
      </w:r>
      <w:r w:rsidRPr="00AB5B40">
        <w:rPr>
          <w:color w:val="000000" w:themeColor="text1"/>
          <w:sz w:val="20"/>
        </w:rPr>
        <w:t xml:space="preserve"> must be emphasized on the ability to be creative by utilizing existing technology. This means it can be said that increasing the level of human resources for vocational education begins with optimizing the role of vocational educators. Therefore, the education and training of vocational educators is the main driving force that must be renewed. This update is based </w:t>
      </w:r>
      <w:r w:rsidRPr="00AB5B40">
        <w:rPr>
          <w:color w:val="000000" w:themeColor="text1"/>
          <w:sz w:val="20"/>
        </w:rPr>
        <w:lastRenderedPageBreak/>
        <w:t>on the learning paradigm of society 5.0 era based on mastery of learning technology. Learning technology in this era includes the internet of things, big data, and artificial intelligence.</w:t>
      </w:r>
    </w:p>
    <w:p w14:paraId="52E743CE" w14:textId="404D2984" w:rsidR="00CA2081" w:rsidRPr="00AB5B40" w:rsidRDefault="00CA2081" w:rsidP="00CA2081">
      <w:pPr>
        <w:pBdr>
          <w:top w:val="nil"/>
          <w:left w:val="nil"/>
          <w:bottom w:val="nil"/>
          <w:right w:val="nil"/>
          <w:between w:val="nil"/>
        </w:pBdr>
        <w:ind w:firstLine="284"/>
        <w:jc w:val="both"/>
        <w:rPr>
          <w:color w:val="000000" w:themeColor="text1"/>
          <w:sz w:val="20"/>
        </w:rPr>
      </w:pPr>
      <w:r w:rsidRPr="00AB5B40">
        <w:rPr>
          <w:color w:val="000000" w:themeColor="text1"/>
          <w:sz w:val="20"/>
        </w:rPr>
        <w:t>The continuing development of vocational educators' abilities is tailored to the needs of industry and students</w:t>
      </w:r>
      <w:r w:rsidR="00842330" w:rsidRPr="00AB5B40">
        <w:rPr>
          <w:color w:val="000000" w:themeColor="text1"/>
          <w:sz w:val="20"/>
        </w:rPr>
        <w:t xml:space="preserve"> </w:t>
      </w:r>
      <w:r w:rsidR="00842330" w:rsidRPr="00AB5B40">
        <w:rPr>
          <w:color w:val="000000" w:themeColor="text1"/>
          <w:sz w:val="20"/>
        </w:rPr>
        <w:fldChar w:fldCharType="begin" w:fldLock="1"/>
      </w:r>
      <w:r w:rsidR="00AE0CA0">
        <w:rPr>
          <w:color w:val="000000" w:themeColor="text1"/>
          <w:sz w:val="20"/>
        </w:rPr>
        <w:instrText>ADDIN CSL_CITATION {"citationItems":[{"id":"ITEM-1","itemData":{"DOI":"10.13152/IJRVET.6.3.3","ISSN":"21978646","abstract":"Context: In Finland, vocational education has been competence-based and learner-orientated since the beginning of 2018. Teachers' work has changed because there is a need to pay more attention to students and their specific personal needs. Learning processes are planned individually and more learning options are offered in the workplace. Approach: In this article we ask the following: What kind of teachers' competencies can be identified in Finland? The metadata comprises twelve recent pieces of research on teachers' competencies in the field of Vocational Education and Training (VET) in Finland. We apply data-driven content analysis. Findings: According to our results, the work of vocational teachers included 53 separate skills comprising seven categories of competencies and three main categories of scholarships as follows: Scholarship in teaching and learning relating to pedagogy, guidance and counselling, and interaction, Scholarship in authentic learning and development referring to pedagogical leadership, partnership and innovator competency, and Scholarship in evaluation and monitoring associated with assessment. Conclusion: The work of vocational teachers in Finland has become fragmented. The fragmented work of a vocational teacher may influence the teacher's identity. The fragmented nature of the work of vocational teachers also raises the need to share expertise in educational institutions. Scholarship in teaching and learning, as well as evaluation and monitoring, are related to the more traditional way to be a teacher. The main challenge for teachers in vocational education in Finland is to adopt ways of authentic learning and development.","author":[{"dropping-particle":"","family":"Tapani","given":"Annukka","non-dropping-particle":"","parse-names":false,"suffix":""},{"dropping-particle":"","family":"Salonen","given":"Arto O.","non-dropping-particle":"","parse-names":false,"suffix":""}],"container-title":"International Journal for Research in Vocational Education and Training","id":"ITEM-1","issue":"3","issued":{"date-parts":[["2019"]]},"page":"243-260","title":"Identifying teachers' competencies in Finnish vocational education","type":"article-journal","volume":"6"},"uris":["http://www.mendeley.com/documents/?uuid=6a3f55e2-e861-4eca-931e-635bd5df1216","http://www.mendeley.com/documents/?uuid=e1ee055f-57a0-4321-94b8-e18cf284dc9d"]},{"id":"ITEM-2","itemData":{"DOI":"10.31838/jcr.07.04.76","ISSN":"23945125","abstract":"The article considers the speech component of the professional culture of the future teacher of vocational education, and also defines the means of its formation on the basis of the analysis of the typical tasks of professional pedagogical activity and the content of the skills of the future teacher of vocational education.","author":[{"dropping-particle":"","family":"Shadiev","given":"Rizamat","non-dropping-particle":"","parse-names":false,"suffix":""},{"dropping-particle":"","family":"Khimmataliev","given":"Dustnazar","non-dropping-particle":"","parse-names":false,"suffix":""},{"dropping-particle":"","family":"Fayzullaev","given":"Rustam","non-dropping-particle":"","parse-names":false,"suffix":""},{"dropping-particle":"","family":"Chorshanbiev","given":"Zafar","non-dropping-particle":"","parse-names":false,"suffix":""}],"container-title":"Journal of Critical Reviews","id":"ITEM-2","issue":"4","issued":{"date-parts":[["2020"]]},"page":"399-400","title":"Professional culture of the future teacher of vocational education: A communicative aspect","type":"article","volume":"7"},"uris":["http://www.mendeley.com/documents/?uuid=4b737f12-1eae-47a8-8445-b6fd778a187f","http://www.mendeley.com/documents/?uuid=0b8cb37a-0076-4b89-9e26-300e3eafd280","http://www.mendeley.com/documents/?uuid=02a895df-5188-48d2-a6cc-4b8d0bf2195d"]},{"id":"ITEM-3","itemData":{"DOI":"10.34044/j.kjss.2019.40.2.16","ISSN":"24523151","abstract":"In this research, the established objectives were to develop and validate a causal model of professional vocational education teachers using empirical data and to study the direct and indirect effect of factors that affected professional vocational education teachers. The quantitative and qualitative methodology used in this research comprised 4 steps: 1) studying factors affecting professional vocational education teachers, 2) constructing a causal model of professional vocational education teachers, 3) examining the factors and causal model of professional vocational education teachers using focus group discussion, and 4) investigating the relevant of model and empirical data. The sample of 338 teachers from vocational colleges under The Office of the Vocational Education Commission, was obtained using multi-stage random sampling. The data were analyzed using descriptive statistics, correlations, confirmatory factor analysis, and structural equation model analysis with the SSPS software package. It was found that the model of professional vocational education teachers had congruence with the empirical data (x = 98.57, df = 86, p = 0.17, RMSEA = 0.02, GFI = 0.98, AGFI = 0.91 and RMR = 0.02). Factors in the model could explain 93 percent of the variance of professional vocational education teachers. The direct factors affecting professional vocational education teachers were self and professional development, psychology, and college and colleagues, respectively, and the indirect factors affecting professional vocational education teachers were psychology, college and colleagues, and personal, respectively.","author":[{"dropping-particle":"","family":"Mekarkakorn","given":"Tawica","non-dropping-particle":"","parse-names":false,"suffix":""},{"dropping-particle":"","family":"Narkwiboonwong","given":"Suwanna","non-dropping-particle":"","parse-names":false,"suffix":""},{"dropping-particle":"","family":"Suthinarak","given":"Wandee","non-dropping-particle":"","parse-names":false,"suffix":""}],"container-title":"Kasetsart Journal of Social Sciences","id":"ITEM-3","issue":"2","issued":{"date-parts":[["2019"]]},"page":"509-518","title":"A causal model development of professional teachers in vocational education","type":"article-journal","volume":"40"},"uris":["http://www.mendeley.com/documents/?uuid=8f8483bb-789a-4e6b-9e99-66203ab26ffa","http://www.mendeley.com/documents/?uuid=6f497946-d9f1-418c-ad3b-eba9ee72e8ad","http://www.mendeley.com/documents/?uuid=cc04f681-8f3e-4aad-ad70-efefcf824e90"]}],"mendeley":{"formattedCitation":"[29]–[31]","plainTextFormattedCitation":"[29]–[31]","previouslyFormattedCitation":"[27]–[29]"},"properties":{"noteIndex":0},"schema":"https://github.com/citation-style-language/schema/raw/master/csl-citation.json"}</w:instrText>
      </w:r>
      <w:r w:rsidR="00842330" w:rsidRPr="00AB5B40">
        <w:rPr>
          <w:color w:val="000000" w:themeColor="text1"/>
          <w:sz w:val="20"/>
        </w:rPr>
        <w:fldChar w:fldCharType="separate"/>
      </w:r>
      <w:r w:rsidR="00AE0CA0" w:rsidRPr="00AE0CA0">
        <w:rPr>
          <w:noProof/>
          <w:color w:val="000000" w:themeColor="text1"/>
          <w:sz w:val="20"/>
        </w:rPr>
        <w:t>[29]–[31]</w:t>
      </w:r>
      <w:r w:rsidR="00842330" w:rsidRPr="00AB5B40">
        <w:rPr>
          <w:color w:val="000000" w:themeColor="text1"/>
          <w:sz w:val="20"/>
        </w:rPr>
        <w:fldChar w:fldCharType="end"/>
      </w:r>
      <w:r w:rsidR="00842330" w:rsidRPr="00AB5B40">
        <w:rPr>
          <w:color w:val="000000" w:themeColor="text1"/>
          <w:sz w:val="20"/>
        </w:rPr>
        <w:t xml:space="preserve">. </w:t>
      </w:r>
      <w:r w:rsidRPr="00AB5B40">
        <w:rPr>
          <w:color w:val="000000" w:themeColor="text1"/>
          <w:sz w:val="20"/>
        </w:rPr>
        <w:t xml:space="preserve">Level up </w:t>
      </w:r>
      <w:proofErr w:type="spellStart"/>
      <w:r w:rsidRPr="00AB5B40">
        <w:rPr>
          <w:color w:val="000000" w:themeColor="text1"/>
          <w:sz w:val="20"/>
        </w:rPr>
        <w:t>requirementresourceHuman</w:t>
      </w:r>
      <w:proofErr w:type="spellEnd"/>
      <w:r w:rsidRPr="00AB5B40">
        <w:rPr>
          <w:color w:val="000000" w:themeColor="text1"/>
          <w:sz w:val="20"/>
        </w:rPr>
        <w:t xml:space="preserve"> vocational education has a central role in achieving national education goals. </w:t>
      </w:r>
      <w:r w:rsidR="00D353D9">
        <w:rPr>
          <w:color w:val="000000" w:themeColor="text1"/>
          <w:sz w:val="20"/>
        </w:rPr>
        <w:t>Vocational educators must develop life and career skills, learning and innovation skills, information media and technology skills, inventive thinking, effective communication, logical thinking skills, teamwork and interconnectedness, civic and digital citizenship, and global</w:t>
      </w:r>
      <w:r w:rsidRPr="00AB5B40">
        <w:rPr>
          <w:color w:val="000000" w:themeColor="text1"/>
          <w:sz w:val="20"/>
        </w:rPr>
        <w:t xml:space="preserve"> and intercultural competence. This means that the development of the level of vocational educators must be designed in continuous education and training and using the latest technology. Especially in the field of vocational education, the aspect of mastering technology is not only at the stage of the ability to use it, but more at the stage of the ability to develop and create technology to answer the challenges of changing global industrial needs. Therefore, a training system based on the need for professional vocational educators is necessary to continue.</w:t>
      </w:r>
    </w:p>
    <w:p w14:paraId="716FCC5E" w14:textId="4464E73B" w:rsidR="00E2523B" w:rsidRPr="00E02B64" w:rsidRDefault="00CA2081" w:rsidP="008E72E8">
      <w:pPr>
        <w:pStyle w:val="Paragraph"/>
        <w:rPr>
          <w:color w:val="000000" w:themeColor="text1"/>
        </w:rPr>
      </w:pPr>
      <w:r w:rsidRPr="00AB5B40">
        <w:rPr>
          <w:color w:val="000000" w:themeColor="text1"/>
        </w:rPr>
        <w:t xml:space="preserve">In conclusion, vocational educators who can answer </w:t>
      </w:r>
      <w:r w:rsidR="00D353D9">
        <w:rPr>
          <w:color w:val="000000" w:themeColor="text1"/>
        </w:rPr>
        <w:t>society's challenges</w:t>
      </w:r>
      <w:r w:rsidRPr="00AB5B40">
        <w:rPr>
          <w:color w:val="000000" w:themeColor="text1"/>
        </w:rPr>
        <w:t xml:space="preserve"> in the era of society 5.0 are required to have a good mastery of the latest digital technology. This is more emphasized on self-development capabilities that are by the needs of the industry globally. In addition, </w:t>
      </w:r>
      <w:r w:rsidR="00D353D9">
        <w:rPr>
          <w:color w:val="000000" w:themeColor="text1"/>
        </w:rPr>
        <w:t>genuine</w:t>
      </w:r>
      <w:r w:rsidRPr="00AB5B40">
        <w:rPr>
          <w:color w:val="000000" w:themeColor="text1"/>
        </w:rPr>
        <w:t xml:space="preserve"> efforts are needed from education policymakers for the career development of vocational educators so that the needs of vocational students can be better served</w:t>
      </w:r>
      <w:r w:rsidR="00E45364" w:rsidRPr="00AB5B40">
        <w:rPr>
          <w:color w:val="000000" w:themeColor="text1"/>
          <w:lang w:val="en-GB" w:eastAsia="en-GB"/>
        </w:rPr>
        <w:t>.</w:t>
      </w:r>
    </w:p>
    <w:p w14:paraId="256CB39C" w14:textId="77777777" w:rsidR="00CA2081" w:rsidRPr="00E02B64" w:rsidRDefault="00CA2081" w:rsidP="00CA2081">
      <w:pPr>
        <w:pStyle w:val="Heading20"/>
        <w:rPr>
          <w:color w:val="000000" w:themeColor="text1"/>
        </w:rPr>
      </w:pPr>
      <w:r w:rsidRPr="00E02B64">
        <w:rPr>
          <w:color w:val="000000" w:themeColor="text1"/>
        </w:rPr>
        <w:t>Emulation of Digital E-Training Innovations for Vocational Educators</w:t>
      </w:r>
    </w:p>
    <w:p w14:paraId="630A9BFE" w14:textId="0FEE1924" w:rsidR="00CA2081" w:rsidRPr="00AB5B40" w:rsidRDefault="00CA2081" w:rsidP="00CA2081">
      <w:pPr>
        <w:pBdr>
          <w:top w:val="nil"/>
          <w:left w:val="nil"/>
          <w:bottom w:val="nil"/>
          <w:right w:val="nil"/>
          <w:between w:val="nil"/>
        </w:pBdr>
        <w:ind w:firstLine="284"/>
        <w:jc w:val="both"/>
        <w:rPr>
          <w:color w:val="000000" w:themeColor="text1"/>
          <w:sz w:val="20"/>
        </w:rPr>
      </w:pPr>
      <w:r w:rsidRPr="00AB5B40">
        <w:rPr>
          <w:color w:val="000000" w:themeColor="text1"/>
          <w:sz w:val="20"/>
        </w:rPr>
        <w:t xml:space="preserve">Emulation of digital e-training system innovation as an effort to optimize the role of vocational educators in the era of society 5.0 has a strategic function. This innovation has high feasibility by the principle of developing electronic-based learning media. The development of electronic-based learning media or e-learning must have a high level of ease of use. Vocational educators in today's era need to be trained to use e-learning applications. E-learning is an </w:t>
      </w:r>
      <w:r w:rsidR="00D353D9">
        <w:rPr>
          <w:color w:val="000000" w:themeColor="text1"/>
          <w:sz w:val="20"/>
        </w:rPr>
        <w:t>essential</w:t>
      </w:r>
      <w:r w:rsidRPr="00AB5B40">
        <w:rPr>
          <w:color w:val="000000" w:themeColor="text1"/>
          <w:sz w:val="20"/>
        </w:rPr>
        <w:t xml:space="preserve"> component of the professional development of vocational teachers</w:t>
      </w:r>
      <w:r w:rsidR="00C20465" w:rsidRPr="00AB5B40">
        <w:rPr>
          <w:color w:val="000000" w:themeColor="text1"/>
          <w:sz w:val="20"/>
        </w:rPr>
        <w:t xml:space="preserve"> </w:t>
      </w:r>
      <w:r w:rsidR="00C20465" w:rsidRPr="00AB5B40">
        <w:rPr>
          <w:color w:val="000000" w:themeColor="text1"/>
          <w:sz w:val="20"/>
        </w:rPr>
        <w:fldChar w:fldCharType="begin" w:fldLock="1"/>
      </w:r>
      <w:r w:rsidR="00AE0CA0">
        <w:rPr>
          <w:color w:val="000000" w:themeColor="text1"/>
          <w:sz w:val="20"/>
        </w:rPr>
        <w:instrText>ADDIN CSL_CITATION {"citationItems":[{"id":"ITEM-1","itemData":{"DOI":"10.1109/ICCCBDA.2018.8386581","ISBN":"9781538643006","abstract":"e-Learning is regarded as an important component of the vocational teachers' professional development providing opportunities for learning any employable skills, anyplace at anytime. Therefore, the outputs and outcomes of e-learning for vocational teachers (e-LVT) must be of a high quality and of attractiveness. To ensure this vision, performance evaluation of e-LVT is of importance and should be given priority. However, quite few studies are known about performance valuation of e-LVT. The aim of this paper is to present e-learning performance valuation system for vocational teachers. The research presents design of index items, index weights, determination of index system of performance evaluation in e-LVT and its applications.","author":[{"dropping-particle":"","family":"Zhan","given":"Qinglong","non-dropping-particle":"","parse-names":false,"suffix":""}],"container-title":"2018 3rd IEEE International Conference on Cloud Computing and Big Data Analysis, ICCCBDA 2018","id":"ITEM-1","issued":{"date-parts":[["2018"]]},"page":"573-577","title":"Index system design of performance evaluation of e-learning for vocational teachers","type":"paper-conference"},"uris":["http://www.mendeley.com/documents/?uuid=b308e5fc-f4d2-4b2b-99e4-eebeaa7db025","http://www.mendeley.com/documents/?uuid=25a47b6d-2092-4b30-9f16-fbfdc09549f4","http://www.mendeley.com/documents/?uuid=63e87aeb-9f01-481d-9ba6-05f2bdebe4f5"]}],"mendeley":{"formattedCitation":"[32]","plainTextFormattedCitation":"[32]","previouslyFormattedCitation":"[30]"},"properties":{"noteIndex":0},"schema":"https://github.com/citation-style-language/schema/raw/master/csl-citation.json"}</w:instrText>
      </w:r>
      <w:r w:rsidR="00C20465" w:rsidRPr="00AB5B40">
        <w:rPr>
          <w:color w:val="000000" w:themeColor="text1"/>
          <w:sz w:val="20"/>
        </w:rPr>
        <w:fldChar w:fldCharType="separate"/>
      </w:r>
      <w:r w:rsidR="00AE0CA0" w:rsidRPr="00AE0CA0">
        <w:rPr>
          <w:noProof/>
          <w:color w:val="000000" w:themeColor="text1"/>
          <w:sz w:val="20"/>
        </w:rPr>
        <w:t>[32]</w:t>
      </w:r>
      <w:r w:rsidR="00C20465" w:rsidRPr="00AB5B40">
        <w:rPr>
          <w:color w:val="000000" w:themeColor="text1"/>
          <w:sz w:val="20"/>
        </w:rPr>
        <w:fldChar w:fldCharType="end"/>
      </w:r>
      <w:r w:rsidR="00C20465" w:rsidRPr="00AB5B40">
        <w:rPr>
          <w:color w:val="000000" w:themeColor="text1"/>
          <w:sz w:val="20"/>
        </w:rPr>
        <w:t xml:space="preserve">. </w:t>
      </w:r>
      <w:r w:rsidRPr="00AB5B40">
        <w:rPr>
          <w:color w:val="000000" w:themeColor="text1"/>
          <w:sz w:val="20"/>
        </w:rPr>
        <w:t xml:space="preserve">The professionalism of vocational teachers can be increased through digital training. Therefore, it takes hard work </w:t>
      </w:r>
      <w:r w:rsidR="00D353D9">
        <w:rPr>
          <w:color w:val="000000" w:themeColor="text1"/>
          <w:sz w:val="20"/>
        </w:rPr>
        <w:t>to train</w:t>
      </w:r>
      <w:r w:rsidRPr="00AB5B40">
        <w:rPr>
          <w:color w:val="000000" w:themeColor="text1"/>
          <w:sz w:val="20"/>
        </w:rPr>
        <w:t xml:space="preserve"> vocational educators by mobilizing all the sophistication of digital technology.</w:t>
      </w:r>
    </w:p>
    <w:p w14:paraId="10A840DE" w14:textId="138470FD" w:rsidR="007522C1" w:rsidRPr="00AB5B40" w:rsidRDefault="00CA2081" w:rsidP="00CA2081">
      <w:pPr>
        <w:pStyle w:val="Paragraph"/>
        <w:rPr>
          <w:color w:val="000000" w:themeColor="text1"/>
        </w:rPr>
      </w:pPr>
      <w:bookmarkStart w:id="0" w:name="_heading=h.gjdgxs" w:colFirst="0" w:colLast="0"/>
      <w:bookmarkEnd w:id="0"/>
      <w:r w:rsidRPr="00AB5B40">
        <w:rPr>
          <w:color w:val="000000" w:themeColor="text1"/>
        </w:rPr>
        <w:t xml:space="preserve">The digital e-training innovation developed in this research is adapted to the latest developments in vocational education. Vocational education today </w:t>
      </w:r>
      <w:r w:rsidR="00D353D9">
        <w:rPr>
          <w:color w:val="000000" w:themeColor="text1"/>
        </w:rPr>
        <w:t>adheres to the old paradigm to produce work-ready graduates and</w:t>
      </w:r>
      <w:r w:rsidRPr="00AB5B40">
        <w:rPr>
          <w:color w:val="000000" w:themeColor="text1"/>
        </w:rPr>
        <w:t xml:space="preserve"> develops graduates' capabilities to be career-ready. Vocational education graduates have the potential to become agents of a country's development or even vice versa to become the </w:t>
      </w:r>
      <w:r w:rsidR="00D353D9">
        <w:rPr>
          <w:color w:val="000000" w:themeColor="text1"/>
        </w:rPr>
        <w:t>most significan</w:t>
      </w:r>
      <w:r w:rsidRPr="00AB5B40">
        <w:rPr>
          <w:color w:val="000000" w:themeColor="text1"/>
        </w:rPr>
        <w:t>t contributor to unemployment in a country. This should be a se</w:t>
      </w:r>
      <w:r w:rsidR="00D353D9">
        <w:rPr>
          <w:color w:val="000000" w:themeColor="text1"/>
        </w:rPr>
        <w:t>vere</w:t>
      </w:r>
      <w:r w:rsidRPr="00AB5B40">
        <w:rPr>
          <w:color w:val="000000" w:themeColor="text1"/>
        </w:rPr>
        <w:t xml:space="preserve"> concern to declare vocational education goals </w:t>
      </w:r>
      <w:r w:rsidR="00D353D9">
        <w:rPr>
          <w:color w:val="000000" w:themeColor="text1"/>
        </w:rPr>
        <w:t>oriented towards improving graduates' career</w:t>
      </w:r>
      <w:r w:rsidRPr="00AB5B40">
        <w:rPr>
          <w:color w:val="000000" w:themeColor="text1"/>
        </w:rPr>
        <w:t>s. So vocational educators must be able to develop students' technical competencies in their fields and students' competencies in mastering technology to increase work effectiveness in the industry in the future</w:t>
      </w:r>
      <w:r w:rsidR="008D1A55" w:rsidRPr="00AB5B40">
        <w:rPr>
          <w:color w:val="000000" w:themeColor="text1"/>
        </w:rPr>
        <w:t xml:space="preserve"> </w:t>
      </w:r>
      <w:r w:rsidR="008D1A55" w:rsidRPr="00AB5B40">
        <w:rPr>
          <w:color w:val="000000" w:themeColor="text1"/>
        </w:rPr>
        <w:fldChar w:fldCharType="begin" w:fldLock="1"/>
      </w:r>
      <w:r w:rsidR="00AE0CA0">
        <w:rPr>
          <w:color w:val="000000" w:themeColor="text1"/>
        </w:rPr>
        <w:instrText>ADDIN CSL_CITATION {"citationItems":[{"id":"ITEM-1","itemData":{"DOI":"10.9734/jesbs/2020/v33i230200","abstract":"Unemployment has been an issue yet unresolved in the minds of every citizen. However, the hope is that the Nigerian government should resolve it, but this plight still looms and stirs on the face of all. This however is the plight in sight and therefore this study investigated employers’ identification of skills needed by technical and vocational education (TVE) graduates for industrial work effectiveness. The study determined (a) Information Communication Technology (ICT) skills needed by TVE graduates as identified by employers with 0-10 years of work experience, (b) Problem-Solving skills needed by TVE graduates as identified by employers with 0-10 years of work experience, (c) Technical Skills needed by TVE graduates as identified by employers with 0-10 years of work experience. Three research questions and three null hypotheses guided the study. The study adopted the descriptive survey design, with a population of 260 managers. Data collected were analyzed using arithmetic mean and standard deviation for research questions and z-test to test the hypothesis. The study revealed that, problem solving skills, technical skills and information and communication technology (ICT) skills are highly needed by TVE graduates for improved industrial work effectiveness. Findings of the study revealed that in terms of information and communication technology skills and problem solving skills, there was no significant difference in the mean ratings of employers. The study also revealed that employers of 0-10years of operation differed significantly in their mean ratings on technical skills needed by TVE graduates for industrial work effectiveness. Based on the findings, the researchers recommends that every effort should be made to ensure that machinery to enhance the acquisition of employability skills by TVE scholars be put in place during their days in school. There should be re-training scheme arranged by Nigerian government for TVE graduates after school.","author":[{"dropping-particle":"","family":"Okoye","given":"K. R. E.","non-dropping-particle":"","parse-names":false,"suffix":""},{"dropping-particle":"","family":"Nkanu","given":"S. M.","non-dropping-particle":"","parse-names":false,"suffix":""}],"container-title":"Journal of Education, Society and Behavioural Science","id":"ITEM-1","issued":{"date-parts":[["2020"]]},"page":"32-41","title":"Employers’ Identification of Skills Needed by Technical and Vocational Education Graduates for Industrial Work Effectiveness","type":"article-journal"},"uris":["http://www.mendeley.com/documents/?uuid=c7dc4072-93d3-4145-8663-c3324ab173f6","http://www.mendeley.com/documents/?uuid=29353916-8973-4059-834e-8f9d14b1ece1","http://www.mendeley.com/documents/?uuid=6e302345-65cb-40e4-8cf5-13f2c7faf75b"]},{"id":"ITEM-2","itemData":{"DOI":"10.9734/air/2019/v18i230087","abstract":"Aims: The study aimed at determining employers’ perceptions about the employability of Technical, Vocational Education and Training (TVET) graduates in Uganda. Determining employability skills from the employer’s perspective is crucial to develop these skills among the students while at the training institutions.\r Study Design: Survey.\r Place and Duration of Study: Sample: Employers of TVET graduates in Uganda. Between February 2018 to August 2018.\r Methodology: The study adopted and modified a SCANS (Secretary's Commission on Achieving Necessary Skills) questionnaire. Sample: The study involved 50 respondents selected from different employing organizations.\r Results: The findings indicated that most employers agreed that the graduates possessed the basic skills (average mean=3.91), ICT skills (average mean=3.87), and interpersonal skills required for work (average mean=3.61). However, there were negative perceptions regarding their decision making (mean= 2.39), reasoning (mean=2.96), self-esteem (mean=2.92), sociability’ (mean=2.90), integrity/honesty (mean= 2.60), money (mean=2.57), materials and facilities management (mean=2.67); understanding systems (mean=2.79), monitoring and correcting performance (mean=2.40), and improving systems (mean=2.24). Further, that most employers don’t participate in curriculum design (50%).\r Conclusion: TVET institutions should endeavor to improve on the negatively perceived aspects to instill the necessary employability skills among the graduates to make them readily employable.","author":[{"dropping-particle":"","family":"Kintu","given":"Denis","non-dropping-particle":"","parse-names":false,"suffix":""},{"dropping-particle":"","family":"Kitainge","given":"Kisilu. M.","non-dropping-particle":"","parse-names":false,"suffix":""},{"dropping-particle":"","family":"Ferej","given":"Ahmed","non-dropping-particle":"","parse-names":false,"suffix":""}],"container-title":"Advances in Research","id":"ITEM-2","issued":{"date-parts":[["2019"]]},"page":"1-17","title":"Employers’ Perceptions about the Employability of Technical, Vocational Education and Training Graduates in Uganda","type":"article-journal"},"uris":["http://www.mendeley.com/documents/?uuid=c379ddc3-a063-4a90-8810-834505474907"]}],"mendeley":{"formattedCitation":"[33], [34]","plainTextFormattedCitation":"[33], [34]","previouslyFormattedCitation":"[31], [32]"},"properties":{"noteIndex":0},"schema":"https://github.com/citation-style-language/schema/raw/master/csl-citation.json"}</w:instrText>
      </w:r>
      <w:r w:rsidR="008D1A55" w:rsidRPr="00AB5B40">
        <w:rPr>
          <w:color w:val="000000" w:themeColor="text1"/>
        </w:rPr>
        <w:fldChar w:fldCharType="separate"/>
      </w:r>
      <w:r w:rsidR="00AE0CA0" w:rsidRPr="00AE0CA0">
        <w:rPr>
          <w:noProof/>
          <w:color w:val="000000" w:themeColor="text1"/>
        </w:rPr>
        <w:t>[33], [34]</w:t>
      </w:r>
      <w:r w:rsidR="008D1A55" w:rsidRPr="00AB5B40">
        <w:rPr>
          <w:color w:val="000000" w:themeColor="text1"/>
        </w:rPr>
        <w:fldChar w:fldCharType="end"/>
      </w:r>
      <w:r w:rsidR="00872B27" w:rsidRPr="00AB5B40">
        <w:rPr>
          <w:color w:val="000000" w:themeColor="text1"/>
        </w:rPr>
        <w:t>.</w:t>
      </w:r>
    </w:p>
    <w:p w14:paraId="76C1A1AA" w14:textId="76704615" w:rsidR="001E5C0F" w:rsidRPr="00AB5B40" w:rsidRDefault="00CA2081" w:rsidP="00E07C9C">
      <w:pPr>
        <w:pStyle w:val="Paragraph"/>
        <w:rPr>
          <w:color w:val="000000" w:themeColor="text1"/>
        </w:rPr>
      </w:pPr>
      <w:r w:rsidRPr="00AB5B40">
        <w:rPr>
          <w:color w:val="000000" w:themeColor="text1"/>
        </w:rPr>
        <w:t xml:space="preserve">The development of e-training learning technology for vocational educators needs to pay attention to the depth of the material and its sophistication. This research focuses on the aspects of the accuracy of the content of the material contained in the media with the curriculum, the accuracy of the material with the objectives of vocational education policies, the level of material delivery according to the character needs of educators in the era of society 5.0, conformity with the latest vocational education developments (laws and policy </w:t>
      </w:r>
      <w:proofErr w:type="gramStart"/>
      <w:r w:rsidRPr="00AB5B40">
        <w:rPr>
          <w:color w:val="000000" w:themeColor="text1"/>
        </w:rPr>
        <w:t>regulations )</w:t>
      </w:r>
      <w:proofErr w:type="gramEnd"/>
      <w:r w:rsidRPr="00AB5B40">
        <w:rPr>
          <w:color w:val="000000" w:themeColor="text1"/>
        </w:rPr>
        <w:t xml:space="preserve">, and the delivery of up-to-date information that enhances new and relevant knowledge regarding TVET. This is by the principle of developing e-learning technology in the context of continuing education goals, namely for student learning satisfaction which is supported by the availability of internet facilities </w:t>
      </w:r>
      <w:r w:rsidR="001E5C0F" w:rsidRPr="00AB5B40">
        <w:rPr>
          <w:color w:val="000000" w:themeColor="text1"/>
        </w:rPr>
        <w:fldChar w:fldCharType="begin" w:fldLock="1"/>
      </w:r>
      <w:r w:rsidR="00AE0CA0">
        <w:rPr>
          <w:color w:val="000000" w:themeColor="text1"/>
        </w:rPr>
        <w:instrText>ADDIN CSL_CITATION {"citationItems":[{"id":"ITEM-1","itemData":{"DOI":"10.1080/1331677X.2021.1927789","ISSN":"1331677X","abstract":"The COVID-19 pandemic has had a thought-provoking impact on the Sustainable Development Goals (SDGs) that were approved by United Nations in the year 2015. Therefore, taking this very consideration forward, this study primarily explores the impact of COVID-19, particularly on the SDG number 4, i.e., education. Due to the COVID-19 contagion, given the unusual and never been experienced circumstances, educational institutions all over the world have been forced to establish their e-learning systems practically overnight. For this purpose, we collected the relevant data from middle school students, by using a technique known as convenience sampling. Furthermore, moving on in the same context, we also developed an integrated model with five dimensions, i.e., Learner, Design, Technology, Instructor, and Environment, in order to gauge this relationship in further detail. The empirical findings of the step-wise multiple regression analysis revealed that the learners’ attitude towards the computer, learners’ internet self-efficacy, usefulness, instructors’ response timelines, and the instructors’ attitude towards e-learning, positively and significantly tend to affect the middle school student's satisfaction with online. Whereas, learners’ computer anxiety, ease of use, system availability, internet availability, learning climate, and interactions negatively affects the middle school students’ satisfaction. These results imply that developing countries could possibly achieve goal number 4 (Education) of the Sustainable Development Goals, by improving the learner satisfaction, and further strengthening the implementation of their E-Learning practices.","author":[{"dropping-particle":"","family":"Wang","given":"Xin Yu","non-dropping-particle":"","parse-names":false,"suffix":""},{"dropping-particle":"","family":"Li","given":"Guang","non-dropping-particle":"","parse-names":false,"suffix":""},{"dropping-particle":"","family":"Malik","given":"Summaira","non-dropping-particle":"","parse-names":false,"suffix":""},{"dropping-particle":"","family":"Anwar","given":"Ahsan","non-dropping-particle":"","parse-names":false,"suffix":""}],"container-title":"Economic Research-Ekonomska Istrazivanja ","id":"ITEM-1","issued":{"date-parts":[["2021"]]},"title":"Impact of COVID-19 on achieving the goal of sustainable development: E-learning and educational productivity","type":"article-journal"},"uris":["http://www.mendeley.com/documents/?uuid=5e7bd041-a595-4655-a004-f570c7f44945","http://www.mendeley.com/documents/?uuid=b0ef3072-1686-4976-8ccb-bf700fd86a35","http://www.mendeley.com/documents/?uuid=61729933-c8a8-4b13-a9c0-098e3746cf30"]}],"mendeley":{"formattedCitation":"[35]","plainTextFormattedCitation":"[35]","previouslyFormattedCitation":"[33]"},"properties":{"noteIndex":0},"schema":"https://github.com/citation-style-language/schema/raw/master/csl-citation.json"}</w:instrText>
      </w:r>
      <w:r w:rsidR="001E5C0F" w:rsidRPr="00AB5B40">
        <w:rPr>
          <w:color w:val="000000" w:themeColor="text1"/>
        </w:rPr>
        <w:fldChar w:fldCharType="separate"/>
      </w:r>
      <w:r w:rsidR="00AE0CA0" w:rsidRPr="00AE0CA0">
        <w:rPr>
          <w:noProof/>
          <w:color w:val="000000" w:themeColor="text1"/>
        </w:rPr>
        <w:t>[35]</w:t>
      </w:r>
      <w:r w:rsidR="001E5C0F" w:rsidRPr="00AB5B40">
        <w:rPr>
          <w:color w:val="000000" w:themeColor="text1"/>
        </w:rPr>
        <w:fldChar w:fldCharType="end"/>
      </w:r>
      <w:r w:rsidR="001E5C0F" w:rsidRPr="00AB5B40">
        <w:rPr>
          <w:color w:val="000000" w:themeColor="text1"/>
        </w:rPr>
        <w:t>.</w:t>
      </w:r>
    </w:p>
    <w:p w14:paraId="75E32492" w14:textId="63FA2F0E" w:rsidR="001E5C0F" w:rsidRPr="00E02B64" w:rsidRDefault="00CA2081" w:rsidP="00E07C9C">
      <w:pPr>
        <w:pStyle w:val="Paragraph"/>
        <w:rPr>
          <w:color w:val="000000" w:themeColor="text1"/>
        </w:rPr>
      </w:pPr>
      <w:r w:rsidRPr="00AB5B40">
        <w:rPr>
          <w:color w:val="000000" w:themeColor="text1"/>
        </w:rPr>
        <w:t xml:space="preserve">In conclusion, the emulation of digital e-training system innovation as an effort to improve the quality of vocational educators in the era of society 5.0 has an important role. This role is </w:t>
      </w:r>
      <w:r w:rsidR="00D353D9">
        <w:rPr>
          <w:color w:val="000000" w:themeColor="text1"/>
        </w:rPr>
        <w:t>essential</w:t>
      </w:r>
      <w:r w:rsidRPr="00AB5B40">
        <w:rPr>
          <w:color w:val="000000" w:themeColor="text1"/>
        </w:rPr>
        <w:t xml:space="preserve"> to achieve the goals of national education and sustainable development of superior human resources. The development of electronic-based learning technology in addition to having a good depth of material</w:t>
      </w:r>
      <w:r w:rsidR="00D353D9">
        <w:rPr>
          <w:color w:val="000000" w:themeColor="text1"/>
        </w:rPr>
        <w:t>,</w:t>
      </w:r>
      <w:r w:rsidRPr="00AB5B40">
        <w:rPr>
          <w:color w:val="000000" w:themeColor="text1"/>
        </w:rPr>
        <w:t xml:space="preserve"> must also be easy to use to be more effective</w:t>
      </w:r>
      <w:r w:rsidR="00006748" w:rsidRPr="00AB5B40">
        <w:rPr>
          <w:color w:val="000000" w:themeColor="text1"/>
        </w:rPr>
        <w:t>.</w:t>
      </w:r>
    </w:p>
    <w:p w14:paraId="1321C898" w14:textId="77777777" w:rsidR="00CA2081" w:rsidRPr="00E02B64" w:rsidRDefault="00CA2081" w:rsidP="00CA2081">
      <w:pPr>
        <w:pStyle w:val="Heading20"/>
        <w:rPr>
          <w:color w:val="000000" w:themeColor="text1"/>
        </w:rPr>
      </w:pPr>
      <w:r w:rsidRPr="00E02B64">
        <w:rPr>
          <w:color w:val="000000" w:themeColor="text1"/>
        </w:rPr>
        <w:t>TVET-Based E-Training System Innovation as a Facility for Forming High Human Resources</w:t>
      </w:r>
    </w:p>
    <w:p w14:paraId="41DA1BCB" w14:textId="1C8A32AC" w:rsidR="00CA2081" w:rsidRPr="00D353D9" w:rsidRDefault="00CA2081" w:rsidP="00D353D9">
      <w:pPr>
        <w:pBdr>
          <w:top w:val="nil"/>
          <w:left w:val="nil"/>
          <w:bottom w:val="nil"/>
          <w:right w:val="nil"/>
          <w:between w:val="nil"/>
        </w:pBdr>
        <w:ind w:firstLine="284"/>
        <w:jc w:val="both"/>
        <w:rPr>
          <w:color w:val="000000"/>
          <w:sz w:val="20"/>
        </w:rPr>
      </w:pPr>
      <w:r w:rsidRPr="00AB5B40">
        <w:rPr>
          <w:color w:val="000000" w:themeColor="text1"/>
          <w:sz w:val="20"/>
        </w:rPr>
        <w:t xml:space="preserve">Multidisciplinary digital competence and vocational education curriculum development are the main focus for </w:t>
      </w:r>
      <w:r w:rsidR="00D353D9">
        <w:rPr>
          <w:color w:val="000000" w:themeColor="text1"/>
          <w:sz w:val="20"/>
        </w:rPr>
        <w:t>forming</w:t>
      </w:r>
      <w:r w:rsidRPr="00AB5B40">
        <w:rPr>
          <w:color w:val="000000" w:themeColor="text1"/>
          <w:sz w:val="20"/>
        </w:rPr>
        <w:t xml:space="preserve"> future vocational teachers</w:t>
      </w:r>
      <w:r w:rsidR="00157A8D" w:rsidRPr="00AB5B40">
        <w:rPr>
          <w:color w:val="000000" w:themeColor="text1"/>
          <w:sz w:val="20"/>
        </w:rPr>
        <w:t xml:space="preserve">  </w:t>
      </w:r>
      <w:r w:rsidR="00157A8D" w:rsidRPr="00AB5B40">
        <w:rPr>
          <w:color w:val="000000" w:themeColor="text1"/>
          <w:sz w:val="20"/>
        </w:rPr>
        <w:fldChar w:fldCharType="begin" w:fldLock="1"/>
      </w:r>
      <w:r w:rsidR="00AE0CA0">
        <w:rPr>
          <w:color w:val="000000" w:themeColor="text1"/>
          <w:sz w:val="20"/>
        </w:rPr>
        <w:instrText>ADDIN CSL_CITATION {"citationItems":[{"id":"ITEM-1","itemData":{"DOI":"10.1186/s40461-021-00112-4","ISSN":"18776345","abstract":"Developments of Industry 4.0 require a set of multidisciplinary digital competencies for future vocational teachers, consisting of specific knowledge, motivational aspects, cognitive abilities and skills to fulfill the demands of digitally interconnected work situations. The competence model that is adapted from future work scenarios of vocational apprentices in Industry 4.0 includes attitudes towards digitization and handling of digital devices, information literacy, application of digital security standards, virtual collaboration, digital problem solving as well as a demonstration of reflective judgment of one’s actions in an interconnected and digital environment. Structural equation modeling was used to assess N = 205 pre-service vocational teachers between 18 and 35 years of age. The findings indicate the relationship of the proposed dimensions, measured through external- and self-assessments validate the proposed structure of the multidisciplinary digital competencies. However, attitude towards digitization can predict the self-efficacy of the relevant Multidisciplinary Digital Competencies but not the actual achievement in an external assessed scenario. Nevertheless, this study confirms that self-assessed multidisciplinary digital competencies can predict achievement in an external and qualitative-assessed competence test. Fit indices show an acceptable model conception, the reliability and construct validity of the model were confirmed. Findings suggest that the attitude towards digitization and the application of digital security standards are important, whereas the ability to solve digital problems seems to have a weak relation to the general multidisciplinary digital competencies of pre-service vocational teachers.","author":[{"dropping-particle":"","family":"Roll","given":"Michael J.J.","non-dropping-particle":"","parse-names":false,"suffix":""},{"dropping-particle":"","family":"Ifenthaler","given":"Dirk","non-dropping-particle":"","parse-names":false,"suffix":""}],"container-title":"Empirical Research in Vocational Education and Training","id":"ITEM-1","issue":"1","issued":{"date-parts":[["2021"]]},"title":"Multidisciplinary digital competencies of pre-service vocational teachers","type":"article-journal","volume":"13"},"uris":["http://www.mendeley.com/documents/?uuid=c507c9bc-09d1-41ec-bfca-71fce64b9bb5","http://www.mendeley.com/documents/?uuid=17336b7c-afed-4fb0-bff2-7e6866221243","http://www.mendeley.com/documents/?uuid=61493444-2c08-4b33-8b80-ee1585c66111"]},{"id":"ITEM-2","itemData":{"DOI":"10.1007/s41297-018-0046-x","ISSN":"01597868","abstract":"The goal of attaining a sustainable future has become a global crusade of leading world organizations/institutions due to the persistent threats to the sustenance of our planet Earth. The concept of a sustainable future is often depicted as maintaining a balance in intergenerational equity, using resources prudently, maintaining the health of living systems, applying economic activities that ensure a balance between productivity and consumption, implementing environmental protection and preserving and accepting cultural diversity. Education for a sustainable future becomes the backbone by which to transform and develop the knowledge, skills and values of all working people for sustainable living and work practices. Hence, three aspects of educational change are needed for this transformation towards a sustainable future: curriculum reorientation, pedagogy and teacher education. The focus of this paper is on curriculum reorientation in a teacher education program setting by reporting the prospects of technical and vocational education (TVE) programs in preparing pre-service teachers for sustainability. In this study we utilized a triangulation design by integrating findings from a qualitative documentary analysis with those of a survey, which allowed us to draw conclusions regarding the prospects of the TVE programs studied to prepare pre-service teachers for sustainability. Our findings reveal that the TVE programs in our case study do not substantially reflect sustainability and as such limit the programs’ prospects to prepare teachers for efficiently undertaking teaching tasks for sustainability. The educators and students of the TVE programs also perceive that the TVE programs do not sufficiently prepare pre-service teachers for sustainability. The lack of sustainability integration across technical and vocational education and training (TVET) programs is worrisome, primarily because of the potential of such programs to provide education and training to skilled and semi-skilled professionals. Hence, we recommend that adequate and conscious efforts be taken to review existing TVE programs in order to increase the presence of sustainability education in these programs. We also recommend a number of useful strategies for implementing the needed changes within TVET programs for sustainability.","author":[{"dropping-particle":"","family":"Chinedu","given":"Caleb Chidozie","non-dropping-particle":"","parse-names":false,"suffix":""},{"dropping-particle":"","family":"Wan Mohamed","given":"Wan Azlinda","non-dropping-particle":"","parse-names":false,"suffix":""},{"dropping-particle":"","family":"Ajah","given":"Abdurrahman Ogbonnia","non-dropping-particle":"","parse-names":false,"suffix":""},{"dropping-particle":"","family":"Tukur","given":"Yalwa A.","non-dropping-particle":"","parse-names":false,"suffix":""}],"container-title":"Curriculum Perspectives","id":"ITEM-2","issue":"1","issued":{"date-parts":[["2019"]]},"page":"33-46","title":"Prospects of a technical and vocational education program in preparing pre-service teachers for sustainability: a case study of a TVE program in Kuala Lumpur, Malaysia","type":"article-journal","volume":"39"},"uris":["http://www.mendeley.com/documents/?uuid=dc245271-6dec-4563-aa24-a1343bf95ceb","http://www.mendeley.com/documents/?uuid=d2b4609e-e291-48a6-94f6-af4db4a72869","http://www.mendeley.com/documents/?uuid=6b9483be-73db-40ed-8ec1-040f56c7367a"]}],"mendeley":{"formattedCitation":"[36], [37]","plainTextFormattedCitation":"[36], [37]","previouslyFormattedCitation":"[34], [35]"},"properties":{"noteIndex":0},"schema":"https://github.com/citation-style-language/schema/raw/master/csl-citation.json"}</w:instrText>
      </w:r>
      <w:r w:rsidR="00157A8D" w:rsidRPr="00AB5B40">
        <w:rPr>
          <w:color w:val="000000" w:themeColor="text1"/>
          <w:sz w:val="20"/>
        </w:rPr>
        <w:fldChar w:fldCharType="separate"/>
      </w:r>
      <w:r w:rsidR="00AE0CA0" w:rsidRPr="00AE0CA0">
        <w:rPr>
          <w:noProof/>
          <w:color w:val="000000" w:themeColor="text1"/>
          <w:sz w:val="20"/>
        </w:rPr>
        <w:t>[36], [37]</w:t>
      </w:r>
      <w:r w:rsidR="00157A8D" w:rsidRPr="00AB5B40">
        <w:rPr>
          <w:color w:val="000000" w:themeColor="text1"/>
          <w:sz w:val="20"/>
        </w:rPr>
        <w:fldChar w:fldCharType="end"/>
      </w:r>
      <w:r w:rsidR="00851F92" w:rsidRPr="00AB5B40">
        <w:rPr>
          <w:color w:val="000000" w:themeColor="text1"/>
          <w:sz w:val="20"/>
        </w:rPr>
        <w:t xml:space="preserve">. </w:t>
      </w:r>
      <w:r w:rsidRPr="00AB5B40">
        <w:rPr>
          <w:color w:val="000000" w:themeColor="text1"/>
          <w:sz w:val="20"/>
        </w:rPr>
        <w:t>However, the education of prospective vocational educators has limited time for developing their capabilities. So that many vocational educators are not competent enough to play their role. This will lead to a loss of learning that has fatal consequences for the n</w:t>
      </w:r>
      <w:r w:rsidR="00D353D9">
        <w:rPr>
          <w:color w:val="000000" w:themeColor="text1"/>
          <w:sz w:val="20"/>
        </w:rPr>
        <w:t>ation's next gener</w:t>
      </w:r>
      <w:r w:rsidRPr="00AB5B40">
        <w:rPr>
          <w:color w:val="000000" w:themeColor="text1"/>
          <w:sz w:val="20"/>
        </w:rPr>
        <w:t xml:space="preserve">ation. </w:t>
      </w:r>
      <w:r w:rsidR="00D353D9">
        <w:rPr>
          <w:color w:val="000000"/>
          <w:sz w:val="20"/>
        </w:rPr>
        <w:t>A</w:t>
      </w:r>
      <w:r w:rsidR="00D353D9" w:rsidRPr="00854D19">
        <w:rPr>
          <w:color w:val="000000"/>
          <w:sz w:val="20"/>
        </w:rPr>
        <w:t xml:space="preserve"> </w:t>
      </w:r>
      <w:r w:rsidR="00D353D9" w:rsidRPr="00854D19">
        <w:rPr>
          <w:color w:val="000000"/>
          <w:sz w:val="20"/>
        </w:rPr>
        <w:lastRenderedPageBreak/>
        <w:t>vocational educator training model is needed to form high human resources in vocational education</w:t>
      </w:r>
      <w:r w:rsidR="00D353D9">
        <w:rPr>
          <w:color w:val="000000"/>
          <w:sz w:val="20"/>
        </w:rPr>
        <w:t>. Vocational educator training has the main goal of career development. The career development of vocational educators is formed in traditional education in the classroom and the use of digital technology.</w:t>
      </w:r>
    </w:p>
    <w:p w14:paraId="7CA02E49" w14:textId="09857036" w:rsidR="00851F92" w:rsidRPr="00AB5B40" w:rsidRDefault="00CA2081" w:rsidP="00CA2081">
      <w:pPr>
        <w:pStyle w:val="Paragraph"/>
        <w:rPr>
          <w:color w:val="000000" w:themeColor="text1"/>
        </w:rPr>
      </w:pPr>
      <w:r w:rsidRPr="00AB5B40">
        <w:rPr>
          <w:color w:val="000000" w:themeColor="text1"/>
        </w:rPr>
        <w:t xml:space="preserve">The TVET-based e-training system innovation is designed to develop academic skills, industrial skills, and technological literacy. The academic ability of vocational educators is </w:t>
      </w:r>
      <w:r w:rsidR="00D353D9">
        <w:rPr>
          <w:color w:val="000000" w:themeColor="text1"/>
        </w:rPr>
        <w:t>essential</w:t>
      </w:r>
      <w:r w:rsidRPr="00AB5B40">
        <w:rPr>
          <w:color w:val="000000" w:themeColor="text1"/>
        </w:rPr>
        <w:t xml:space="preserve"> for career development. This is inseparable from the meaning that logical thinking will affect the adaptability of an educator. In addition, industrial skills are needed</w:t>
      </w:r>
      <w:r w:rsidR="00D353D9">
        <w:rPr>
          <w:color w:val="000000" w:themeColor="text1"/>
        </w:rPr>
        <w:t>. Vocational educators must master that</w:t>
      </w:r>
      <w:r w:rsidRPr="00AB5B40">
        <w:rPr>
          <w:color w:val="000000" w:themeColor="text1"/>
        </w:rPr>
        <w:t xml:space="preserve">. These skills are built from knowledge of the </w:t>
      </w:r>
      <w:r w:rsidR="00D353D9">
        <w:rPr>
          <w:color w:val="000000" w:themeColor="text1"/>
        </w:rPr>
        <w:t>industry's work climate and work culture</w:t>
      </w:r>
      <w:r w:rsidRPr="00AB5B40">
        <w:rPr>
          <w:color w:val="000000" w:themeColor="text1"/>
        </w:rPr>
        <w:t xml:space="preserve">, both related to the need for competence and the need for reliable work characters in the era of society 5.0. The technological literacy ability of vocational educators means that educators must learn continuously regarding technological developments, both in their use and innovation of technology-based learning products. </w:t>
      </w:r>
      <w:proofErr w:type="gramStart"/>
      <w:r w:rsidRPr="00AB5B40">
        <w:rPr>
          <w:color w:val="000000" w:themeColor="text1"/>
        </w:rPr>
        <w:t>So</w:t>
      </w:r>
      <w:proofErr w:type="gramEnd"/>
      <w:r w:rsidRPr="00AB5B40">
        <w:rPr>
          <w:color w:val="000000" w:themeColor="text1"/>
        </w:rPr>
        <w:t xml:space="preserve"> it can be said that the formation of high human resources for vocational educators can be done by using e-training technology that focuses on individual career development. </w:t>
      </w:r>
      <w:r w:rsidR="00D353D9" w:rsidRPr="00854D19">
        <w:rPr>
          <w:color w:val="000000"/>
        </w:rPr>
        <w:t>This is in line with the training principle that</w:t>
      </w:r>
      <w:r w:rsidR="00D353D9">
        <w:rPr>
          <w:color w:val="000000"/>
        </w:rPr>
        <w:t xml:space="preserve"> profound arrangements are needed at their implementation's planning and implementation stages </w:t>
      </w:r>
      <w:r w:rsidR="001D7D5B" w:rsidRPr="00AB5B40">
        <w:rPr>
          <w:color w:val="000000" w:themeColor="text1"/>
        </w:rPr>
        <w:fldChar w:fldCharType="begin" w:fldLock="1"/>
      </w:r>
      <w:r w:rsidR="00AE0CA0">
        <w:rPr>
          <w:color w:val="000000" w:themeColor="text1"/>
        </w:rPr>
        <w:instrText>ADDIN CSL_CITATION {"citationItems":[{"id":"ITEM-1","itemData":{"DOI":"10.1080/0158037X.2019.1608940","ISSN":"1470126X","abstract":"The present study aimed at contributing to the science-practice gap regarding the application of evidence-based actions for maximising training effectiveness in corporate practice. Training and development professionals employed at companies from diverse branches of industry and among the best employers in Germany were assessed cross-sectionally regarding actions that foster transfer separately for e-learning and classroom training. Results showed that actions for maximising training effectiveness were almost always implemented in both training settings, especially before and during training. However, after training, such actions were least implemented in both training settings. Moreover, fewer actions were implemented in e-learning compared with classroom training settings before, during, and after training. Although companies implemented transfer-supportive actions to a great deal, we emphasise that there is room for improvement in corporate practice, especially in meeting the needs of older workers and evaluation training at multiple levels.","author":[{"dropping-particle":"","family":"Beinicke","given":"Andrea","non-dropping-particle":"","parse-names":false,"suffix":""},{"dropping-particle":"","family":"Kyndt","given":"Eva","non-dropping-particle":"","parse-names":false,"suffix":""}],"container-title":"Studies in Continuing Education","id":"ITEM-1","issue":"2","issued":{"date-parts":[["2020"]]},"page":"256-276","title":"Evidence-based actions for maximising training effectiveness in corporate E-learning and classroom training","type":"article-journal","volume":"42"},"uris":["http://www.mendeley.com/documents/?uuid=251448bd-0191-46e4-953d-1734f17e649b","http://www.mendeley.com/documents/?uuid=e37c8ad2-9c34-444c-9747-1e7c43d7afce","http://www.mendeley.com/documents/?uuid=b5f17947-ebeb-4665-afe4-d8ef06dc08ea"]}],"mendeley":{"formattedCitation":"[38]","plainTextFormattedCitation":"[38]","previouslyFormattedCitation":"[36]"},"properties":{"noteIndex":0},"schema":"https://github.com/citation-style-language/schema/raw/master/csl-citation.json"}</w:instrText>
      </w:r>
      <w:r w:rsidR="001D7D5B" w:rsidRPr="00AB5B40">
        <w:rPr>
          <w:color w:val="000000" w:themeColor="text1"/>
        </w:rPr>
        <w:fldChar w:fldCharType="separate"/>
      </w:r>
      <w:r w:rsidR="00AE0CA0" w:rsidRPr="00AE0CA0">
        <w:rPr>
          <w:noProof/>
          <w:color w:val="000000" w:themeColor="text1"/>
        </w:rPr>
        <w:t>[38]</w:t>
      </w:r>
      <w:r w:rsidR="001D7D5B" w:rsidRPr="00AB5B40">
        <w:rPr>
          <w:color w:val="000000" w:themeColor="text1"/>
        </w:rPr>
        <w:fldChar w:fldCharType="end"/>
      </w:r>
      <w:r w:rsidR="001D7D5B" w:rsidRPr="00AB5B40">
        <w:rPr>
          <w:color w:val="000000" w:themeColor="text1"/>
        </w:rPr>
        <w:t>.</w:t>
      </w:r>
    </w:p>
    <w:p w14:paraId="112F7A1B" w14:textId="7DCBD47C" w:rsidR="00E07C9C" w:rsidRPr="00E02B64" w:rsidRDefault="00CA2081" w:rsidP="008E72E8">
      <w:pPr>
        <w:pStyle w:val="Paragraph"/>
        <w:rPr>
          <w:color w:val="000000" w:themeColor="text1"/>
        </w:rPr>
      </w:pPr>
      <w:r w:rsidRPr="00AB5B40">
        <w:rPr>
          <w:color w:val="000000" w:themeColor="text1"/>
        </w:rPr>
        <w:t>In conclusion, superior vocational educators as a manifestation of a country's educational progress need to be a serious concern of all parties. Therefore, a system of education and training of vocational educators is needed by utilizing currently developing technology. In addition, in the development of e-training technology, appropriate material content is needed in the career development of vocational educators concerning high human resources</w:t>
      </w:r>
      <w:r w:rsidR="00877A04" w:rsidRPr="00AB5B40">
        <w:rPr>
          <w:color w:val="000000" w:themeColor="text1"/>
        </w:rPr>
        <w:t>.</w:t>
      </w:r>
    </w:p>
    <w:p w14:paraId="238F91B4" w14:textId="7573213A" w:rsidR="00D87E2A" w:rsidRPr="00E02B64" w:rsidRDefault="00B64C45" w:rsidP="00D87E2A">
      <w:pPr>
        <w:pStyle w:val="Heading1"/>
        <w:rPr>
          <w:b w:val="0"/>
          <w:caps w:val="0"/>
          <w:color w:val="000000" w:themeColor="text1"/>
          <w:sz w:val="20"/>
        </w:rPr>
      </w:pPr>
      <w:r w:rsidRPr="00E02B64">
        <w:rPr>
          <w:rFonts w:asciiTheme="majorBidi" w:hAnsiTheme="majorBidi" w:cstheme="majorBidi"/>
          <w:color w:val="000000" w:themeColor="text1"/>
        </w:rPr>
        <w:t>CONCLUSION</w:t>
      </w:r>
    </w:p>
    <w:p w14:paraId="55D56508" w14:textId="487C15FB" w:rsidR="00D87E2A" w:rsidRPr="00E02B64" w:rsidRDefault="00CA2081" w:rsidP="003B0050">
      <w:pPr>
        <w:pStyle w:val="Paragraph"/>
        <w:rPr>
          <w:color w:val="000000" w:themeColor="text1"/>
        </w:rPr>
      </w:pPr>
      <w:r w:rsidRPr="00E02B64">
        <w:rPr>
          <w:color w:val="000000" w:themeColor="text1"/>
        </w:rPr>
        <w:t xml:space="preserve">The need for increasing human resources for vocational educators is </w:t>
      </w:r>
      <w:r w:rsidR="00D353D9">
        <w:rPr>
          <w:color w:val="000000" w:themeColor="text1"/>
        </w:rPr>
        <w:t>essential</w:t>
      </w:r>
      <w:r w:rsidRPr="00E02B64">
        <w:rPr>
          <w:color w:val="000000" w:themeColor="text1"/>
        </w:rPr>
        <w:t xml:space="preserve"> in </w:t>
      </w:r>
      <w:r w:rsidR="00D353D9">
        <w:rPr>
          <w:color w:val="000000" w:themeColor="text1"/>
        </w:rPr>
        <w:t>developing</w:t>
      </w:r>
      <w:r w:rsidRPr="00E02B64">
        <w:rPr>
          <w:color w:val="000000" w:themeColor="text1"/>
        </w:rPr>
        <w:t xml:space="preserve"> a nation in the fields of education and industry. This is inseparable from the link between vocational education and industry</w:t>
      </w:r>
      <w:r w:rsidR="00D353D9">
        <w:rPr>
          <w:color w:val="000000" w:themeColor="text1"/>
        </w:rPr>
        <w:t>,</w:t>
      </w:r>
      <w:r w:rsidRPr="00E02B64">
        <w:rPr>
          <w:color w:val="000000" w:themeColor="text1"/>
        </w:rPr>
        <w:t xml:space="preserve"> which need each other. The development of TVET-based e-training system technology in this study has a high </w:t>
      </w:r>
      <w:r w:rsidR="00D353D9">
        <w:rPr>
          <w:color w:val="000000" w:themeColor="text1"/>
        </w:rPr>
        <w:t>feasibility level</w:t>
      </w:r>
      <w:r w:rsidRPr="00E02B64">
        <w:rPr>
          <w:color w:val="000000" w:themeColor="text1"/>
        </w:rPr>
        <w:t xml:space="preserve"> as an e-learning medium with a good content depth of material. In addition, in this study, the development of e-learning media in the form of an innovative TVET-based e-training system has a level of effectiveness to improve the capabilities of vocational educators in the era of society 5.0. It is recommended that technological innovations of similar e-training systems </w:t>
      </w:r>
      <w:r w:rsidR="00D353D9">
        <w:rPr>
          <w:color w:val="000000" w:themeColor="text1"/>
        </w:rPr>
        <w:t>be developed according to research subjects' need</w:t>
      </w:r>
      <w:r w:rsidRPr="00E02B64">
        <w:rPr>
          <w:color w:val="000000" w:themeColor="text1"/>
        </w:rPr>
        <w:t>s and support facilities to achieve product development effectiveness</w:t>
      </w:r>
      <w:r w:rsidR="002A1CC2" w:rsidRPr="00E02B64">
        <w:rPr>
          <w:color w:val="000000" w:themeColor="text1"/>
        </w:rPr>
        <w:t>.</w:t>
      </w:r>
    </w:p>
    <w:p w14:paraId="7691B80C" w14:textId="32077BF1" w:rsidR="00613B4D" w:rsidRPr="00E02B64" w:rsidRDefault="0016385D" w:rsidP="00613B4D">
      <w:pPr>
        <w:pStyle w:val="Heading1"/>
        <w:rPr>
          <w:color w:val="000000" w:themeColor="text1"/>
        </w:rPr>
      </w:pPr>
      <w:r w:rsidRPr="00E02B64">
        <w:rPr>
          <w:rFonts w:asciiTheme="majorBidi" w:hAnsiTheme="majorBidi" w:cstheme="majorBidi"/>
          <w:color w:val="000000" w:themeColor="text1"/>
        </w:rPr>
        <w:t>Acknowledgments</w:t>
      </w:r>
    </w:p>
    <w:p w14:paraId="4F4EA3E3" w14:textId="0AD00C82" w:rsidR="000B3A2D" w:rsidRPr="00E02B64" w:rsidRDefault="00B3570F" w:rsidP="000B3A2D">
      <w:pPr>
        <w:pStyle w:val="Paragraph"/>
        <w:rPr>
          <w:rFonts w:asciiTheme="majorBidi" w:hAnsiTheme="majorBidi" w:cstheme="majorBidi"/>
          <w:color w:val="000000" w:themeColor="text1"/>
        </w:rPr>
      </w:pPr>
      <w:r w:rsidRPr="00E31FEB">
        <w:rPr>
          <w:color w:val="000000" w:themeColor="text1"/>
        </w:rPr>
        <w:t xml:space="preserve">We express our gratitude to LP2M </w:t>
      </w:r>
      <w:r>
        <w:rPr>
          <w:color w:val="000000" w:themeColor="text1"/>
        </w:rPr>
        <w:t>Universitas Negeri Malang (</w:t>
      </w:r>
      <w:r w:rsidRPr="00E31FEB">
        <w:rPr>
          <w:color w:val="000000" w:themeColor="text1"/>
        </w:rPr>
        <w:t>UM</w:t>
      </w:r>
      <w:r>
        <w:rPr>
          <w:color w:val="000000" w:themeColor="text1"/>
        </w:rPr>
        <w:t>)</w:t>
      </w:r>
      <w:r w:rsidR="00D353D9">
        <w:rPr>
          <w:color w:val="000000" w:themeColor="text1"/>
        </w:rPr>
        <w:t>,</w:t>
      </w:r>
      <w:r w:rsidRPr="00E31FEB">
        <w:rPr>
          <w:color w:val="000000" w:themeColor="text1"/>
        </w:rPr>
        <w:t xml:space="preserve"> which has fully funded this research through the 2021 UM PNBP scheme. We also convey to all parties who help and support this research activity intensely</w:t>
      </w:r>
      <w:r w:rsidR="005E71ED" w:rsidRPr="00E02B64">
        <w:rPr>
          <w:rFonts w:asciiTheme="majorBidi" w:hAnsiTheme="majorBidi" w:cstheme="majorBidi"/>
          <w:color w:val="000000" w:themeColor="text1"/>
        </w:rPr>
        <w:t>.</w:t>
      </w:r>
    </w:p>
    <w:p w14:paraId="610E18A9" w14:textId="4A227C08" w:rsidR="00613B4D" w:rsidRPr="00E02B64" w:rsidRDefault="0016385D" w:rsidP="00B36D78">
      <w:pPr>
        <w:pStyle w:val="Heading1"/>
        <w:rPr>
          <w:rFonts w:asciiTheme="majorBidi" w:hAnsiTheme="majorBidi" w:cstheme="majorBidi"/>
          <w:color w:val="000000" w:themeColor="text1"/>
        </w:rPr>
      </w:pPr>
      <w:r w:rsidRPr="00E02B64">
        <w:rPr>
          <w:rFonts w:asciiTheme="majorBidi" w:hAnsiTheme="majorBidi" w:cstheme="majorBidi"/>
          <w:color w:val="000000" w:themeColor="text1"/>
        </w:rPr>
        <w:t>References</w:t>
      </w:r>
    </w:p>
    <w:p w14:paraId="74D4F45E" w14:textId="77777777" w:rsidR="00613B4D" w:rsidRPr="00E02B64" w:rsidRDefault="00613B4D" w:rsidP="003B0050">
      <w:pPr>
        <w:pStyle w:val="Paragraph"/>
        <w:rPr>
          <w:color w:val="000000" w:themeColor="text1"/>
        </w:rPr>
      </w:pPr>
    </w:p>
    <w:p w14:paraId="58A4D3C1" w14:textId="370AF2ED" w:rsidR="00AE0CA0" w:rsidRPr="00AE0CA0" w:rsidRDefault="0063322C" w:rsidP="00AE0CA0">
      <w:pPr>
        <w:widowControl w:val="0"/>
        <w:autoSpaceDE w:val="0"/>
        <w:autoSpaceDN w:val="0"/>
        <w:adjustRightInd w:val="0"/>
        <w:ind w:left="640" w:hanging="640"/>
        <w:rPr>
          <w:noProof/>
          <w:sz w:val="20"/>
          <w:szCs w:val="24"/>
        </w:rPr>
      </w:pPr>
      <w:r w:rsidRPr="00E02B64">
        <w:rPr>
          <w:color w:val="000000" w:themeColor="text1"/>
        </w:rPr>
        <w:fldChar w:fldCharType="begin" w:fldLock="1"/>
      </w:r>
      <w:r w:rsidRPr="00E02B64">
        <w:rPr>
          <w:color w:val="000000" w:themeColor="text1"/>
        </w:rPr>
        <w:instrText xml:space="preserve">ADDIN Mendeley Bibliography CSL_BIBLIOGRAPHY </w:instrText>
      </w:r>
      <w:r w:rsidRPr="00E02B64">
        <w:rPr>
          <w:color w:val="000000" w:themeColor="text1"/>
        </w:rPr>
        <w:fldChar w:fldCharType="separate"/>
      </w:r>
      <w:r w:rsidR="00AE0CA0" w:rsidRPr="00AE0CA0">
        <w:rPr>
          <w:noProof/>
          <w:sz w:val="20"/>
          <w:szCs w:val="24"/>
        </w:rPr>
        <w:t>[1]</w:t>
      </w:r>
      <w:r w:rsidR="00AE0CA0" w:rsidRPr="00AE0CA0">
        <w:rPr>
          <w:noProof/>
          <w:sz w:val="20"/>
          <w:szCs w:val="24"/>
        </w:rPr>
        <w:tab/>
        <w:t xml:space="preserve">M. Ghobakhloo, “Industry 4.0, digitization, and opportunities for sustainability,” </w:t>
      </w:r>
      <w:r w:rsidR="00AE0CA0" w:rsidRPr="00AE0CA0">
        <w:rPr>
          <w:i/>
          <w:iCs/>
          <w:noProof/>
          <w:sz w:val="20"/>
          <w:szCs w:val="24"/>
        </w:rPr>
        <w:t>Journal of Cleaner Production</w:t>
      </w:r>
      <w:r w:rsidR="00AE0CA0" w:rsidRPr="00AE0CA0">
        <w:rPr>
          <w:noProof/>
          <w:sz w:val="20"/>
          <w:szCs w:val="24"/>
        </w:rPr>
        <w:t>. 2020, doi: 10.1016/j.jclepro.2019.119869.</w:t>
      </w:r>
    </w:p>
    <w:p w14:paraId="465C7246"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w:t>
      </w:r>
      <w:r w:rsidRPr="00AE0CA0">
        <w:rPr>
          <w:noProof/>
          <w:sz w:val="20"/>
          <w:szCs w:val="24"/>
        </w:rPr>
        <w:tab/>
        <w:t xml:space="preserve">F. Rosin, P. Forget, S. Lamouri, and R. Pellerin, “Impacts of Industry 4.0 technologies on Lean principles,” </w:t>
      </w:r>
      <w:r w:rsidRPr="00AE0CA0">
        <w:rPr>
          <w:i/>
          <w:iCs/>
          <w:noProof/>
          <w:sz w:val="20"/>
          <w:szCs w:val="24"/>
        </w:rPr>
        <w:t>Int. J. Prod. Res.</w:t>
      </w:r>
      <w:r w:rsidRPr="00AE0CA0">
        <w:rPr>
          <w:noProof/>
          <w:sz w:val="20"/>
          <w:szCs w:val="24"/>
        </w:rPr>
        <w:t>, vol. 58, no. 6, pp. 1644–1661, 2020, doi: 10.1080/00207543.2019.1672902.</w:t>
      </w:r>
    </w:p>
    <w:p w14:paraId="6398B521"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w:t>
      </w:r>
      <w:r w:rsidRPr="00AE0CA0">
        <w:rPr>
          <w:noProof/>
          <w:sz w:val="20"/>
          <w:szCs w:val="24"/>
        </w:rPr>
        <w:tab/>
        <w:t xml:space="preserve">J. Oláh, N. Aburumman, J. Popp, M. A. Khan, H. Haddad, and N. Kitukutha, “Impact of industry 4.0 on environmental sustainability,” </w:t>
      </w:r>
      <w:r w:rsidRPr="00AE0CA0">
        <w:rPr>
          <w:i/>
          <w:iCs/>
          <w:noProof/>
          <w:sz w:val="20"/>
          <w:szCs w:val="24"/>
        </w:rPr>
        <w:t>Sustain.</w:t>
      </w:r>
      <w:r w:rsidRPr="00AE0CA0">
        <w:rPr>
          <w:noProof/>
          <w:sz w:val="20"/>
          <w:szCs w:val="24"/>
        </w:rPr>
        <w:t>, vol. 12, no. 11, 2020, doi: 10.3390/su12114674.</w:t>
      </w:r>
    </w:p>
    <w:p w14:paraId="74699AB0"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[4]</w:t>
      </w:r>
      <w:r w:rsidRPr="00AE0CA0">
        <w:rPr>
          <w:noProof/>
          <w:sz w:val="20"/>
          <w:szCs w:val="24"/>
        </w:rPr>
        <w:tab/>
        <w:t xml:space="preserve">Y. Zengin, S. Naktiyok, E. Kaygın, O. Kavak, and E. Topçuoğlu, “An investigation upon industry 4.0 and society 5.0 within the context of sustainable development goals,” </w:t>
      </w:r>
      <w:r w:rsidRPr="00AE0CA0">
        <w:rPr>
          <w:i/>
          <w:iCs/>
          <w:noProof/>
          <w:sz w:val="20"/>
          <w:szCs w:val="24"/>
        </w:rPr>
        <w:t>Sustain.</w:t>
      </w:r>
      <w:r w:rsidRPr="00AE0CA0">
        <w:rPr>
          <w:noProof/>
          <w:sz w:val="20"/>
          <w:szCs w:val="24"/>
        </w:rPr>
        <w:t>, vol. 13, no. 5, pp. 1–16, 2021, doi: 10.3390/su13052682.</w:t>
      </w:r>
    </w:p>
    <w:p w14:paraId="12603AC4"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[5]</w:t>
      </w:r>
      <w:r w:rsidRPr="00AE0CA0">
        <w:rPr>
          <w:noProof/>
          <w:sz w:val="20"/>
          <w:szCs w:val="24"/>
        </w:rPr>
        <w:tab/>
        <w:t xml:space="preserve">V. Roblek, M. Meško, M. P. Bach, O. Thorpe, and P. Šprajc, “The interaction between internet, sustainable development, and emergence of society 5.0,” </w:t>
      </w:r>
      <w:r w:rsidRPr="00AE0CA0">
        <w:rPr>
          <w:i/>
          <w:iCs/>
          <w:noProof/>
          <w:sz w:val="20"/>
          <w:szCs w:val="24"/>
        </w:rPr>
        <w:t>Data</w:t>
      </w:r>
      <w:r w:rsidRPr="00AE0CA0">
        <w:rPr>
          <w:noProof/>
          <w:sz w:val="20"/>
          <w:szCs w:val="24"/>
        </w:rPr>
        <w:t>, vol. 5, no. 3. pp. 1–27, 2020, doi: 10.3390/data5030080.</w:t>
      </w:r>
    </w:p>
    <w:p w14:paraId="10BB292E"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[6]</w:t>
      </w:r>
      <w:r w:rsidRPr="00AE0CA0">
        <w:rPr>
          <w:noProof/>
          <w:sz w:val="20"/>
          <w:szCs w:val="24"/>
        </w:rPr>
        <w:tab/>
        <w:t xml:space="preserve">C. Holroyd, “Technological innovation and building a ‘super smart’ society: Japan’s vision of society 5.0,” </w:t>
      </w:r>
      <w:r w:rsidRPr="00AE0CA0">
        <w:rPr>
          <w:i/>
          <w:iCs/>
          <w:noProof/>
          <w:sz w:val="20"/>
          <w:szCs w:val="24"/>
        </w:rPr>
        <w:t>J. Asian Public Policy</w:t>
      </w:r>
      <w:r w:rsidRPr="00AE0CA0">
        <w:rPr>
          <w:noProof/>
          <w:sz w:val="20"/>
          <w:szCs w:val="24"/>
        </w:rPr>
        <w:t>, 2020, doi: 10.1080/17516234.2020.1749340.</w:t>
      </w:r>
    </w:p>
    <w:p w14:paraId="7727711F"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[7]</w:t>
      </w:r>
      <w:r w:rsidRPr="00AE0CA0">
        <w:rPr>
          <w:noProof/>
          <w:sz w:val="20"/>
          <w:szCs w:val="24"/>
        </w:rPr>
        <w:tab/>
        <w:t xml:space="preserve">K. Fukuda, “Science, technology and innovation ecosystem transformation toward society 5.0,” </w:t>
      </w:r>
      <w:r w:rsidRPr="00AE0CA0">
        <w:rPr>
          <w:i/>
          <w:iCs/>
          <w:noProof/>
          <w:sz w:val="20"/>
          <w:szCs w:val="24"/>
        </w:rPr>
        <w:t>Int. J. Prod. Econ.</w:t>
      </w:r>
      <w:r w:rsidRPr="00AE0CA0">
        <w:rPr>
          <w:noProof/>
          <w:sz w:val="20"/>
          <w:szCs w:val="24"/>
        </w:rPr>
        <w:t>, vol. 220, 2020, doi: 10.1016/j.ijpe.2019.07.033.</w:t>
      </w:r>
    </w:p>
    <w:p w14:paraId="3F2BA0EE"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[8]</w:t>
      </w:r>
      <w:r w:rsidRPr="00AE0CA0">
        <w:rPr>
          <w:noProof/>
          <w:sz w:val="20"/>
          <w:szCs w:val="24"/>
        </w:rPr>
        <w:tab/>
        <w:t xml:space="preserve">M. E. Gladden, “Who will be the members of Society 5.0? Towards an anthropology of technologically </w:t>
      </w:r>
      <w:r w:rsidRPr="00AE0CA0">
        <w:rPr>
          <w:noProof/>
          <w:sz w:val="20"/>
          <w:szCs w:val="24"/>
        </w:rPr>
        <w:lastRenderedPageBreak/>
        <w:t xml:space="preserve">posthumanized future societies,” </w:t>
      </w:r>
      <w:r w:rsidRPr="00AE0CA0">
        <w:rPr>
          <w:i/>
          <w:iCs/>
          <w:noProof/>
          <w:sz w:val="20"/>
          <w:szCs w:val="24"/>
        </w:rPr>
        <w:t>Soc. Sci.</w:t>
      </w:r>
      <w:r w:rsidRPr="00AE0CA0">
        <w:rPr>
          <w:noProof/>
          <w:sz w:val="20"/>
          <w:szCs w:val="24"/>
        </w:rPr>
        <w:t>, vol. 8, no. 5, 2019, doi: 10.3390/socsci8050148.</w:t>
      </w:r>
    </w:p>
    <w:p w14:paraId="07C9AF3E"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[9]</w:t>
      </w:r>
      <w:r w:rsidRPr="00AE0CA0">
        <w:rPr>
          <w:noProof/>
          <w:sz w:val="20"/>
          <w:szCs w:val="24"/>
        </w:rPr>
        <w:tab/>
        <w:t xml:space="preserve">A. B. N. R. Putra </w:t>
      </w:r>
      <w:r w:rsidRPr="00AE0CA0">
        <w:rPr>
          <w:i/>
          <w:iCs/>
          <w:noProof/>
          <w:sz w:val="20"/>
          <w:szCs w:val="24"/>
        </w:rPr>
        <w:t>et al.</w:t>
      </w:r>
      <w:r w:rsidRPr="00AE0CA0">
        <w:rPr>
          <w:noProof/>
          <w:sz w:val="20"/>
          <w:szCs w:val="24"/>
        </w:rPr>
        <w:t xml:space="preserve">, “The Innovation of Disruptive Learning Media with Augmented Reality Based 3D Object Concept with Drill Machine Design to Improve Quality of Distance Learning in The Era of Education 4.0,” </w:t>
      </w:r>
      <w:r w:rsidRPr="00AE0CA0">
        <w:rPr>
          <w:i/>
          <w:iCs/>
          <w:noProof/>
          <w:sz w:val="20"/>
          <w:szCs w:val="24"/>
        </w:rPr>
        <w:t>Int. J. Interact. Mob. Technol.</w:t>
      </w:r>
      <w:r w:rsidRPr="00AE0CA0">
        <w:rPr>
          <w:noProof/>
          <w:sz w:val="20"/>
          <w:szCs w:val="24"/>
        </w:rPr>
        <w:t>, vol. 15, no. 12, p. 193, 2021, doi: 10.3991/ijim.v15i12.21579.</w:t>
      </w:r>
    </w:p>
    <w:p w14:paraId="5F549CC3"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[10]</w:t>
      </w:r>
      <w:r w:rsidRPr="00AE0CA0">
        <w:rPr>
          <w:noProof/>
          <w:sz w:val="20"/>
          <w:szCs w:val="24"/>
        </w:rPr>
        <w:tab/>
        <w:t xml:space="preserve">T. T. Kiong, K. E. Roslen, A. B. N. R. Putra, and Y. M. Heong, “Sains Insani eISSN : [ 0127-7871 ] Pembangunan Modul Pengajaran Berasaskan Permainan Digital Bagi,” </w:t>
      </w:r>
      <w:r w:rsidRPr="00AE0CA0">
        <w:rPr>
          <w:i/>
          <w:iCs/>
          <w:noProof/>
          <w:sz w:val="20"/>
          <w:szCs w:val="24"/>
        </w:rPr>
        <w:t>Sains Insa.</w:t>
      </w:r>
      <w:r w:rsidRPr="00AE0CA0">
        <w:rPr>
          <w:noProof/>
          <w:sz w:val="20"/>
          <w:szCs w:val="24"/>
        </w:rPr>
        <w:t>, vol. 6, no. 1988, pp. 139–143, 2021.</w:t>
      </w:r>
    </w:p>
    <w:p w14:paraId="4C0ECA5E"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[11]</w:t>
      </w:r>
      <w:r w:rsidRPr="00AE0CA0">
        <w:rPr>
          <w:noProof/>
          <w:sz w:val="20"/>
          <w:szCs w:val="24"/>
        </w:rPr>
        <w:tab/>
        <w:t xml:space="preserve">D. H. Sato, “Reform and Development in Teacher Education for the Digital Society,” </w:t>
      </w:r>
      <w:r w:rsidRPr="00AE0CA0">
        <w:rPr>
          <w:i/>
          <w:iCs/>
          <w:noProof/>
          <w:sz w:val="20"/>
          <w:szCs w:val="24"/>
        </w:rPr>
        <w:t>J. Southeast Asian Educ. Off. J. SEAMEO</w:t>
      </w:r>
      <w:r w:rsidRPr="00AE0CA0">
        <w:rPr>
          <w:noProof/>
          <w:sz w:val="20"/>
          <w:szCs w:val="24"/>
        </w:rPr>
        <w:t>, vol. 1, no. August, 2020.</w:t>
      </w:r>
    </w:p>
    <w:p w14:paraId="6E7656B5"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[12]</w:t>
      </w:r>
      <w:r w:rsidRPr="00AE0CA0">
        <w:rPr>
          <w:noProof/>
          <w:sz w:val="20"/>
          <w:szCs w:val="24"/>
        </w:rPr>
        <w:tab/>
        <w:t xml:space="preserve">G. Polizzi, “Digital literacy and the national curriculum for England: Learning from how the experts engage with and evaluate online content,” </w:t>
      </w:r>
      <w:r w:rsidRPr="00AE0CA0">
        <w:rPr>
          <w:i/>
          <w:iCs/>
          <w:noProof/>
          <w:sz w:val="20"/>
          <w:szCs w:val="24"/>
        </w:rPr>
        <w:t>Comput. Educ.</w:t>
      </w:r>
      <w:r w:rsidRPr="00AE0CA0">
        <w:rPr>
          <w:noProof/>
          <w:sz w:val="20"/>
          <w:szCs w:val="24"/>
        </w:rPr>
        <w:t>, vol. 152, 2020, doi: 10.1016/j.compedu.2020.103859.</w:t>
      </w:r>
    </w:p>
    <w:p w14:paraId="4CE9406F"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[13]</w:t>
      </w:r>
      <w:r w:rsidRPr="00AE0CA0">
        <w:rPr>
          <w:noProof/>
          <w:sz w:val="20"/>
          <w:szCs w:val="24"/>
        </w:rPr>
        <w:tab/>
        <w:t xml:space="preserve">Y. Ocaña-Fernández, L. A. V. Fernández, W. E. M. Chiparra, and S. Gallarday-Morales, “Digital skills and digital literacy: New trends in vocational training,” </w:t>
      </w:r>
      <w:r w:rsidRPr="00AE0CA0">
        <w:rPr>
          <w:i/>
          <w:iCs/>
          <w:noProof/>
          <w:sz w:val="20"/>
          <w:szCs w:val="24"/>
        </w:rPr>
        <w:t>Int. J. Early Child. Spec. Educ.</w:t>
      </w:r>
      <w:r w:rsidRPr="00AE0CA0">
        <w:rPr>
          <w:noProof/>
          <w:sz w:val="20"/>
          <w:szCs w:val="24"/>
        </w:rPr>
        <w:t>, vol. 12, no. 1, pp. 370–377, 2020, doi: 10.9756/INT-JECSE/V12I1.201016.</w:t>
      </w:r>
    </w:p>
    <w:p w14:paraId="2B59C4B5"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[14]</w:t>
      </w:r>
      <w:r w:rsidRPr="00AE0CA0">
        <w:rPr>
          <w:noProof/>
          <w:sz w:val="20"/>
          <w:szCs w:val="24"/>
        </w:rPr>
        <w:tab/>
        <w:t xml:space="preserve">A. B. N. R. Putra, A. Mukhadis, and N. Ulfatin, “Augmented Reality ( AR ) Press Machine as the application of the latest learning media technology in the XXI Century,” </w:t>
      </w:r>
      <w:r w:rsidRPr="00AE0CA0">
        <w:rPr>
          <w:i/>
          <w:iCs/>
          <w:noProof/>
          <w:sz w:val="20"/>
          <w:szCs w:val="24"/>
        </w:rPr>
        <w:t>J. Phys. Conf. Ser. Pap.</w:t>
      </w:r>
      <w:r w:rsidRPr="00AE0CA0">
        <w:rPr>
          <w:noProof/>
          <w:sz w:val="20"/>
          <w:szCs w:val="24"/>
        </w:rPr>
        <w:t>, vol. 19, no. 1, pp. 1–7, 2021, doi: 10.1088/1742-6596/1908/1/012011.</w:t>
      </w:r>
    </w:p>
    <w:p w14:paraId="2DDC1A30"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[15]</w:t>
      </w:r>
      <w:r w:rsidRPr="00AE0CA0">
        <w:rPr>
          <w:noProof/>
          <w:sz w:val="20"/>
          <w:szCs w:val="24"/>
        </w:rPr>
        <w:tab/>
        <w:t xml:space="preserve">Tuwoso, A. B. N. R. Putra, A. Mukhadis, Purnomo, A. K. Bin Mahamad, and M. S. Subandi, “The technology of augmented reality based on 3D modeling to improve special skills for vocational students in the era of industrial revolution 4.0,” </w:t>
      </w:r>
      <w:r w:rsidRPr="00AE0CA0">
        <w:rPr>
          <w:i/>
          <w:iCs/>
          <w:noProof/>
          <w:sz w:val="20"/>
          <w:szCs w:val="24"/>
        </w:rPr>
        <w:t>J. Phys. Conf. Ser.</w:t>
      </w:r>
      <w:r w:rsidRPr="00AE0CA0">
        <w:rPr>
          <w:noProof/>
          <w:sz w:val="20"/>
          <w:szCs w:val="24"/>
        </w:rPr>
        <w:t>, vol. 1833, no. 1, pp. 1–7, 2021, doi: 10.1088/1742-6596/1833/1/012010.</w:t>
      </w:r>
    </w:p>
    <w:p w14:paraId="6FE57362"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[16]</w:t>
      </w:r>
      <w:r w:rsidRPr="00AE0CA0">
        <w:rPr>
          <w:noProof/>
          <w:sz w:val="20"/>
          <w:szCs w:val="24"/>
        </w:rPr>
        <w:tab/>
        <w:t xml:space="preserve">T. Schröder, “A regional approach for the development of TVET systems in the light of the 4th industrial revolution: the regional association of vocational and technical education in Asia,” </w:t>
      </w:r>
      <w:r w:rsidRPr="00AE0CA0">
        <w:rPr>
          <w:i/>
          <w:iCs/>
          <w:noProof/>
          <w:sz w:val="20"/>
          <w:szCs w:val="24"/>
        </w:rPr>
        <w:t>Int. J. Train. Res.</w:t>
      </w:r>
      <w:r w:rsidRPr="00AE0CA0">
        <w:rPr>
          <w:noProof/>
          <w:sz w:val="20"/>
          <w:szCs w:val="24"/>
        </w:rPr>
        <w:t>, vol. 17, no. sup1, pp. 83–95, 2019, doi: 10.1080/14480220.2019.1629728.</w:t>
      </w:r>
    </w:p>
    <w:p w14:paraId="50886F89"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[17]</w:t>
      </w:r>
      <w:r w:rsidRPr="00AE0CA0">
        <w:rPr>
          <w:noProof/>
          <w:sz w:val="20"/>
          <w:szCs w:val="24"/>
        </w:rPr>
        <w:tab/>
        <w:t xml:space="preserve">C. S. Lai, M. A. Hamisu, and K. M. Salleh, “Development of competency framework for nigerian TVET teachers in tertiary TVET institutions,” </w:t>
      </w:r>
      <w:r w:rsidRPr="00AE0CA0">
        <w:rPr>
          <w:i/>
          <w:iCs/>
          <w:noProof/>
          <w:sz w:val="20"/>
          <w:szCs w:val="24"/>
        </w:rPr>
        <w:t>J. Tech. Educ. Train.</w:t>
      </w:r>
      <w:r w:rsidRPr="00AE0CA0">
        <w:rPr>
          <w:noProof/>
          <w:sz w:val="20"/>
          <w:szCs w:val="24"/>
        </w:rPr>
        <w:t>, vol. 11, no. 1, pp. 11–18, 2019, doi: 10.30880/jtet.2019.11.01.002.</w:t>
      </w:r>
    </w:p>
    <w:p w14:paraId="1D2BBB34"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[18]</w:t>
      </w:r>
      <w:r w:rsidRPr="00AE0CA0">
        <w:rPr>
          <w:noProof/>
          <w:sz w:val="20"/>
          <w:szCs w:val="24"/>
        </w:rPr>
        <w:tab/>
        <w:t xml:space="preserve">U. C. Okolie, E. N. Elom, P. A. Igwe, C. A. Nwajiuba, M. O. Binuomote, and N. Igu, “How TVET teachers foster employability skills: insights from developing countries,” </w:t>
      </w:r>
      <w:r w:rsidRPr="00AE0CA0">
        <w:rPr>
          <w:i/>
          <w:iCs/>
          <w:noProof/>
          <w:sz w:val="20"/>
          <w:szCs w:val="24"/>
        </w:rPr>
        <w:t>Int. J. Train. Res.</w:t>
      </w:r>
      <w:r w:rsidRPr="00AE0CA0">
        <w:rPr>
          <w:noProof/>
          <w:sz w:val="20"/>
          <w:szCs w:val="24"/>
        </w:rPr>
        <w:t>, 2020, doi: 10.1080/14480220.2020.1860301.</w:t>
      </w:r>
    </w:p>
    <w:p w14:paraId="31B98AF7"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[19]</w:t>
      </w:r>
      <w:r w:rsidRPr="00AE0CA0">
        <w:rPr>
          <w:noProof/>
          <w:sz w:val="20"/>
          <w:szCs w:val="24"/>
        </w:rPr>
        <w:tab/>
        <w:t xml:space="preserve">A. Khan, S. H. Siddiqui, and M. I. Abbasi, “Professional Development as a Determinant of Self-efficacy of TVET Teachers, under the Mediating &amp; Moderating Effect of Technology Training and Work Culture,” </w:t>
      </w:r>
      <w:r w:rsidRPr="00AE0CA0">
        <w:rPr>
          <w:i/>
          <w:iCs/>
          <w:noProof/>
          <w:sz w:val="20"/>
          <w:szCs w:val="24"/>
        </w:rPr>
        <w:t>Pakistan J. Soc. Sci.</w:t>
      </w:r>
      <w:r w:rsidRPr="00AE0CA0">
        <w:rPr>
          <w:noProof/>
          <w:sz w:val="20"/>
          <w:szCs w:val="24"/>
        </w:rPr>
        <w:t>, 2020.</w:t>
      </w:r>
    </w:p>
    <w:p w14:paraId="3614EDBD"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[20]</w:t>
      </w:r>
      <w:r w:rsidRPr="00AE0CA0">
        <w:rPr>
          <w:noProof/>
          <w:sz w:val="20"/>
          <w:szCs w:val="24"/>
        </w:rPr>
        <w:tab/>
        <w:t xml:space="preserve">M. K. Omar, F. N. Zahar, and A. M. Rashid, “Knowledge, skills, and attitudes as predictors in determining teachers’ competency in Malaysian TVET institutions,” </w:t>
      </w:r>
      <w:r w:rsidRPr="00AE0CA0">
        <w:rPr>
          <w:i/>
          <w:iCs/>
          <w:noProof/>
          <w:sz w:val="20"/>
          <w:szCs w:val="24"/>
        </w:rPr>
        <w:t>Univers. J. Educ. Res.</w:t>
      </w:r>
      <w:r w:rsidRPr="00AE0CA0">
        <w:rPr>
          <w:noProof/>
          <w:sz w:val="20"/>
          <w:szCs w:val="24"/>
        </w:rPr>
        <w:t>, vol. 8, no. 3 3C, pp. 95–104, 2020, doi: 10.13189/ujer.2020.081612.</w:t>
      </w:r>
    </w:p>
    <w:p w14:paraId="5BF1347D"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[21]</w:t>
      </w:r>
      <w:r w:rsidRPr="00AE0CA0">
        <w:rPr>
          <w:noProof/>
          <w:sz w:val="20"/>
          <w:szCs w:val="24"/>
        </w:rPr>
        <w:tab/>
        <w:t xml:space="preserve">A. Mukhadis </w:t>
      </w:r>
      <w:r w:rsidRPr="00AE0CA0">
        <w:rPr>
          <w:i/>
          <w:iCs/>
          <w:noProof/>
          <w:sz w:val="20"/>
          <w:szCs w:val="24"/>
        </w:rPr>
        <w:t>et al.</w:t>
      </w:r>
      <w:r w:rsidRPr="00AE0CA0">
        <w:rPr>
          <w:noProof/>
          <w:sz w:val="20"/>
          <w:szCs w:val="24"/>
        </w:rPr>
        <w:t xml:space="preserve">, “The innovation of learning plan designer based mobile web to improve quality of learning media in vocational technology for education 4.0,” </w:t>
      </w:r>
      <w:r w:rsidRPr="00AE0CA0">
        <w:rPr>
          <w:i/>
          <w:iCs/>
          <w:noProof/>
          <w:sz w:val="20"/>
          <w:szCs w:val="24"/>
        </w:rPr>
        <w:t>J. Phys. Conf. Ser.</w:t>
      </w:r>
      <w:r w:rsidRPr="00AE0CA0">
        <w:rPr>
          <w:noProof/>
          <w:sz w:val="20"/>
          <w:szCs w:val="24"/>
        </w:rPr>
        <w:t>, vol. 1833, no. 1, pp. 1–7, 2021, doi: 10.1088/1742-6596/1833/1/012030.</w:t>
      </w:r>
    </w:p>
    <w:p w14:paraId="4F778E87"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[22]</w:t>
      </w:r>
      <w:r w:rsidRPr="00AE0CA0">
        <w:rPr>
          <w:noProof/>
          <w:sz w:val="20"/>
          <w:szCs w:val="24"/>
        </w:rPr>
        <w:tab/>
        <w:t xml:space="preserve">A. B. N. R. Putra </w:t>
      </w:r>
      <w:r w:rsidRPr="00AE0CA0">
        <w:rPr>
          <w:i/>
          <w:iCs/>
          <w:noProof/>
          <w:sz w:val="20"/>
          <w:szCs w:val="24"/>
        </w:rPr>
        <w:t>et al.</w:t>
      </w:r>
      <w:r w:rsidRPr="00AE0CA0">
        <w:rPr>
          <w:noProof/>
          <w:sz w:val="20"/>
          <w:szCs w:val="24"/>
        </w:rPr>
        <w:t xml:space="preserve">, “The innovation of module training based heutagogy as an acceleration for increasing pedagogical supremacy of vocational education lecturers in the industrial revolution 4.0,” </w:t>
      </w:r>
      <w:r w:rsidRPr="00AE0CA0">
        <w:rPr>
          <w:i/>
          <w:iCs/>
          <w:noProof/>
          <w:sz w:val="20"/>
          <w:szCs w:val="24"/>
        </w:rPr>
        <w:t>J. Phys. Conf. Ser.</w:t>
      </w:r>
      <w:r w:rsidRPr="00AE0CA0">
        <w:rPr>
          <w:noProof/>
          <w:sz w:val="20"/>
          <w:szCs w:val="24"/>
        </w:rPr>
        <w:t>, vol. 1456, no. 1, pp. 0–7, 2020, doi: 10.1088/1742-6596/1456/1/012043.</w:t>
      </w:r>
    </w:p>
    <w:p w14:paraId="38A3B932"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[23]</w:t>
      </w:r>
      <w:r w:rsidRPr="00AE0CA0">
        <w:rPr>
          <w:noProof/>
          <w:sz w:val="20"/>
          <w:szCs w:val="24"/>
        </w:rPr>
        <w:tab/>
        <w:t xml:space="preserve">Y. K. Chung, “Study on Active Learning &amp; Facilitation Convergence Education Program for Enhancing Core Competency (4C),” </w:t>
      </w:r>
      <w:r w:rsidRPr="00AE0CA0">
        <w:rPr>
          <w:i/>
          <w:iCs/>
          <w:noProof/>
          <w:sz w:val="20"/>
          <w:szCs w:val="24"/>
        </w:rPr>
        <w:t>Korean Inst. Smart Media</w:t>
      </w:r>
      <w:r w:rsidRPr="00AE0CA0">
        <w:rPr>
          <w:noProof/>
          <w:sz w:val="20"/>
          <w:szCs w:val="24"/>
        </w:rPr>
        <w:t>, vol. 8, no. 1, pp. 67–73, 2019, doi: 10.30693/smj.2019.8.1.67.</w:t>
      </w:r>
    </w:p>
    <w:p w14:paraId="7C047912"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[24]</w:t>
      </w:r>
      <w:r w:rsidRPr="00AE0CA0">
        <w:rPr>
          <w:noProof/>
          <w:sz w:val="20"/>
          <w:szCs w:val="24"/>
        </w:rPr>
        <w:tab/>
        <w:t xml:space="preserve">C. El-Laudza, “Islamic education for early childhood in the era of society 5.0,” </w:t>
      </w:r>
      <w:r w:rsidRPr="00AE0CA0">
        <w:rPr>
          <w:i/>
          <w:iCs/>
          <w:noProof/>
          <w:sz w:val="20"/>
          <w:szCs w:val="24"/>
        </w:rPr>
        <w:t>AMCA J. Relig. Soc.</w:t>
      </w:r>
      <w:r w:rsidRPr="00AE0CA0">
        <w:rPr>
          <w:noProof/>
          <w:sz w:val="20"/>
          <w:szCs w:val="24"/>
        </w:rPr>
        <w:t>, vol. 1, no. 1, pp. 1–3, 2021, doi: 10.51773/ajrs.v1i1.31.</w:t>
      </w:r>
    </w:p>
    <w:p w14:paraId="52A5936F"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[25]</w:t>
      </w:r>
      <w:r w:rsidRPr="00AE0CA0">
        <w:rPr>
          <w:noProof/>
          <w:sz w:val="20"/>
          <w:szCs w:val="24"/>
        </w:rPr>
        <w:tab/>
        <w:t xml:space="preserve">M. Nafikova, “Japan. School education reforms for integration into society 5.0,” </w:t>
      </w:r>
      <w:r w:rsidRPr="00AE0CA0">
        <w:rPr>
          <w:i/>
          <w:iCs/>
          <w:noProof/>
          <w:sz w:val="20"/>
          <w:szCs w:val="24"/>
        </w:rPr>
        <w:t>Asia Africa Today</w:t>
      </w:r>
      <w:r w:rsidRPr="00AE0CA0">
        <w:rPr>
          <w:noProof/>
          <w:sz w:val="20"/>
          <w:szCs w:val="24"/>
        </w:rPr>
        <w:t>, no. 1, p. 30, 2021, doi: 10.31857/s032150750011289-9.</w:t>
      </w:r>
    </w:p>
    <w:p w14:paraId="3515F8BE"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[26]</w:t>
      </w:r>
      <w:r w:rsidRPr="00AE0CA0">
        <w:rPr>
          <w:noProof/>
          <w:sz w:val="20"/>
          <w:szCs w:val="24"/>
        </w:rPr>
        <w:tab/>
        <w:t xml:space="preserve">M. Subandi, S. Suhartadi, P. Partono, and A. Putra, “PjBL-MOOCs As Future Models for Vocational High Schools,” </w:t>
      </w:r>
      <w:r w:rsidRPr="00AE0CA0">
        <w:rPr>
          <w:i/>
          <w:iCs/>
          <w:noProof/>
          <w:sz w:val="20"/>
          <w:szCs w:val="24"/>
        </w:rPr>
        <w:t>JPP (Jurnal Pendidik. dan Pembelajaran)</w:t>
      </w:r>
      <w:r w:rsidRPr="00AE0CA0">
        <w:rPr>
          <w:noProof/>
          <w:sz w:val="20"/>
          <w:szCs w:val="24"/>
        </w:rPr>
        <w:t>, vol. 27, no. 2, pp. 65–72, 2021, doi: 10.17977/um047v27i22020p065.</w:t>
      </w:r>
    </w:p>
    <w:p w14:paraId="26F46EB0"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[27]</w:t>
      </w:r>
      <w:r w:rsidRPr="00AE0CA0">
        <w:rPr>
          <w:noProof/>
          <w:sz w:val="20"/>
          <w:szCs w:val="24"/>
        </w:rPr>
        <w:tab/>
        <w:t xml:space="preserve">A. B. R. N. Putra, M. Ihwanudin, E. K. Mindarta, P. Puspitasari, and M. A. Pratama, “Occupational Health And Safety ( OHS ) management for employees on the risk of diseases due to the intensity of computer use </w:t>
      </w:r>
      <w:r w:rsidRPr="00AE0CA0">
        <w:rPr>
          <w:noProof/>
          <w:sz w:val="20"/>
          <w:szCs w:val="24"/>
        </w:rPr>
        <w:lastRenderedPageBreak/>
        <w:t xml:space="preserve">in the workplace/industry,” in </w:t>
      </w:r>
      <w:r w:rsidRPr="00AE0CA0">
        <w:rPr>
          <w:i/>
          <w:iCs/>
          <w:noProof/>
          <w:sz w:val="20"/>
          <w:szCs w:val="24"/>
        </w:rPr>
        <w:t>MATEC Web of Conferences</w:t>
      </w:r>
      <w:r w:rsidRPr="00AE0CA0">
        <w:rPr>
          <w:noProof/>
          <w:sz w:val="20"/>
          <w:szCs w:val="24"/>
        </w:rPr>
        <w:t>, 2018, vol. 01016, pp. 1–6.</w:t>
      </w:r>
    </w:p>
    <w:p w14:paraId="0A470B5D"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[28]</w:t>
      </w:r>
      <w:r w:rsidRPr="00AE0CA0">
        <w:rPr>
          <w:noProof/>
          <w:sz w:val="20"/>
          <w:szCs w:val="24"/>
        </w:rPr>
        <w:tab/>
        <w:t xml:space="preserve">M. Hendy, “The Effect of Using Hendy’s 4Cs Model on Acquiring some Vocational Concepts and Social Skills for Primary School Students,” </w:t>
      </w:r>
      <w:r w:rsidRPr="00AE0CA0">
        <w:rPr>
          <w:i/>
          <w:iCs/>
          <w:noProof/>
          <w:sz w:val="20"/>
          <w:szCs w:val="24"/>
        </w:rPr>
        <w:t>Int. J. Soc. Educ. Sci.</w:t>
      </w:r>
      <w:r w:rsidRPr="00AE0CA0">
        <w:rPr>
          <w:noProof/>
          <w:sz w:val="20"/>
          <w:szCs w:val="24"/>
        </w:rPr>
        <w:t>, vol. 2, no. 2, pp. 81–87, 2020.</w:t>
      </w:r>
    </w:p>
    <w:p w14:paraId="628BB5D1"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[29]</w:t>
      </w:r>
      <w:r w:rsidRPr="00AE0CA0">
        <w:rPr>
          <w:noProof/>
          <w:sz w:val="20"/>
          <w:szCs w:val="24"/>
        </w:rPr>
        <w:tab/>
        <w:t xml:space="preserve">A. Tapani and A. O. Salonen, “Identifying teachers’ competencies in Finnish vocational education,” </w:t>
      </w:r>
      <w:r w:rsidRPr="00AE0CA0">
        <w:rPr>
          <w:i/>
          <w:iCs/>
          <w:noProof/>
          <w:sz w:val="20"/>
          <w:szCs w:val="24"/>
        </w:rPr>
        <w:t>Int. J. Res. Vocat. Educ. Train.</w:t>
      </w:r>
      <w:r w:rsidRPr="00AE0CA0">
        <w:rPr>
          <w:noProof/>
          <w:sz w:val="20"/>
          <w:szCs w:val="24"/>
        </w:rPr>
        <w:t>, vol. 6, no. 3, pp. 243–260, 2019, doi: 10.13152/IJRVET.6.3.3.</w:t>
      </w:r>
    </w:p>
    <w:p w14:paraId="24CAF442"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[30]</w:t>
      </w:r>
      <w:r w:rsidRPr="00AE0CA0">
        <w:rPr>
          <w:noProof/>
          <w:sz w:val="20"/>
          <w:szCs w:val="24"/>
        </w:rPr>
        <w:tab/>
        <w:t xml:space="preserve">R. Shadiev, D. Khimmataliev, R. Fayzullaev, and Z. Chorshanbiev, “Professional culture of the future teacher of vocational education: A communicative aspect,” </w:t>
      </w:r>
      <w:r w:rsidRPr="00AE0CA0">
        <w:rPr>
          <w:i/>
          <w:iCs/>
          <w:noProof/>
          <w:sz w:val="20"/>
          <w:szCs w:val="24"/>
        </w:rPr>
        <w:t>Journal of Critical Reviews</w:t>
      </w:r>
      <w:r w:rsidRPr="00AE0CA0">
        <w:rPr>
          <w:noProof/>
          <w:sz w:val="20"/>
          <w:szCs w:val="24"/>
        </w:rPr>
        <w:t>, vol. 7, no. 4. pp. 399–400, 2020, doi: 10.31838/jcr.07.04.76.</w:t>
      </w:r>
    </w:p>
    <w:p w14:paraId="19095FF2"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[31]</w:t>
      </w:r>
      <w:r w:rsidRPr="00AE0CA0">
        <w:rPr>
          <w:noProof/>
          <w:sz w:val="20"/>
          <w:szCs w:val="24"/>
        </w:rPr>
        <w:tab/>
        <w:t xml:space="preserve">T. Mekarkakorn, S. Narkwiboonwong, and W. Suthinarak, “A causal model development of professional teachers in vocational education,” </w:t>
      </w:r>
      <w:r w:rsidRPr="00AE0CA0">
        <w:rPr>
          <w:i/>
          <w:iCs/>
          <w:noProof/>
          <w:sz w:val="20"/>
          <w:szCs w:val="24"/>
        </w:rPr>
        <w:t>Kasetsart J. Soc. Sci.</w:t>
      </w:r>
      <w:r w:rsidRPr="00AE0CA0">
        <w:rPr>
          <w:noProof/>
          <w:sz w:val="20"/>
          <w:szCs w:val="24"/>
        </w:rPr>
        <w:t>, vol. 40, no. 2, pp. 509–518, 2019, doi: 10.34044/j.kjss.2019.40.2.16.</w:t>
      </w:r>
    </w:p>
    <w:p w14:paraId="17B283D5"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[32]</w:t>
      </w:r>
      <w:r w:rsidRPr="00AE0CA0">
        <w:rPr>
          <w:noProof/>
          <w:sz w:val="20"/>
          <w:szCs w:val="24"/>
        </w:rPr>
        <w:tab/>
        <w:t xml:space="preserve">Q. Zhan, “Index system design of performance evaluation of e-learning for vocational teachers,” in </w:t>
      </w:r>
      <w:r w:rsidRPr="00AE0CA0">
        <w:rPr>
          <w:i/>
          <w:iCs/>
          <w:noProof/>
          <w:sz w:val="20"/>
          <w:szCs w:val="24"/>
        </w:rPr>
        <w:t>2018 3rd IEEE International Conference on Cloud Computing and Big Data Analysis, ICCCBDA 2018</w:t>
      </w:r>
      <w:r w:rsidRPr="00AE0CA0">
        <w:rPr>
          <w:noProof/>
          <w:sz w:val="20"/>
          <w:szCs w:val="24"/>
        </w:rPr>
        <w:t>, 2018, pp. 573–577, doi: 10.1109/ICCCBDA.2018.8386581.</w:t>
      </w:r>
    </w:p>
    <w:p w14:paraId="36784FB5"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[33]</w:t>
      </w:r>
      <w:r w:rsidRPr="00AE0CA0">
        <w:rPr>
          <w:noProof/>
          <w:sz w:val="20"/>
          <w:szCs w:val="24"/>
        </w:rPr>
        <w:tab/>
        <w:t xml:space="preserve">K. R. E. Okoye and S. M. Nkanu, “Employers’ Identification of Skills Needed by Technical and Vocational Education Graduates for Industrial Work Effectiveness,” </w:t>
      </w:r>
      <w:r w:rsidRPr="00AE0CA0">
        <w:rPr>
          <w:i/>
          <w:iCs/>
          <w:noProof/>
          <w:sz w:val="20"/>
          <w:szCs w:val="24"/>
        </w:rPr>
        <w:t>J. Educ. Soc. Behav. Sci.</w:t>
      </w:r>
      <w:r w:rsidRPr="00AE0CA0">
        <w:rPr>
          <w:noProof/>
          <w:sz w:val="20"/>
          <w:szCs w:val="24"/>
        </w:rPr>
        <w:t>, pp. 32–41, 2020, doi: 10.9734/jesbs/2020/v33i230200.</w:t>
      </w:r>
    </w:p>
    <w:p w14:paraId="4096979D"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[34]</w:t>
      </w:r>
      <w:r w:rsidRPr="00AE0CA0">
        <w:rPr>
          <w:noProof/>
          <w:sz w:val="20"/>
          <w:szCs w:val="24"/>
        </w:rPr>
        <w:tab/>
        <w:t xml:space="preserve">D. Kintu, K. M. Kitainge, and A. Ferej, “Employers’ Perceptions about the Employability of Technical, Vocational Education and Training Graduates in Uganda,” </w:t>
      </w:r>
      <w:r w:rsidRPr="00AE0CA0">
        <w:rPr>
          <w:i/>
          <w:iCs/>
          <w:noProof/>
          <w:sz w:val="20"/>
          <w:szCs w:val="24"/>
        </w:rPr>
        <w:t>Adv. Res.</w:t>
      </w:r>
      <w:r w:rsidRPr="00AE0CA0">
        <w:rPr>
          <w:noProof/>
          <w:sz w:val="20"/>
          <w:szCs w:val="24"/>
        </w:rPr>
        <w:t>, pp. 1–17, 2019, doi: 10.9734/air/2019/v18i230087.</w:t>
      </w:r>
    </w:p>
    <w:p w14:paraId="6C433919"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[35]</w:t>
      </w:r>
      <w:r w:rsidRPr="00AE0CA0">
        <w:rPr>
          <w:noProof/>
          <w:sz w:val="20"/>
          <w:szCs w:val="24"/>
        </w:rPr>
        <w:tab/>
        <w:t xml:space="preserve">X. Y. Wang, G. Li, S. Malik, and A. Anwar, “Impact of COVID-19 on achieving the goal of sustainable development: E-learning and educational productivity,” </w:t>
      </w:r>
      <w:r w:rsidRPr="00AE0CA0">
        <w:rPr>
          <w:i/>
          <w:iCs/>
          <w:noProof/>
          <w:sz w:val="20"/>
          <w:szCs w:val="24"/>
        </w:rPr>
        <w:t xml:space="preserve">Econ. Res. Istraz. </w:t>
      </w:r>
      <w:r w:rsidRPr="00AE0CA0">
        <w:rPr>
          <w:noProof/>
          <w:sz w:val="20"/>
          <w:szCs w:val="24"/>
        </w:rPr>
        <w:t>, 2021, doi: 10.1080/1331677X.2021.1927789.</w:t>
      </w:r>
    </w:p>
    <w:p w14:paraId="69F276D4"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[36]</w:t>
      </w:r>
      <w:r w:rsidRPr="00AE0CA0">
        <w:rPr>
          <w:noProof/>
          <w:sz w:val="20"/>
          <w:szCs w:val="24"/>
        </w:rPr>
        <w:tab/>
        <w:t xml:space="preserve">M. J. J. Roll and D. Ifenthaler, “Multidisciplinary digital competencies of pre-service vocational teachers,” </w:t>
      </w:r>
      <w:r w:rsidRPr="00AE0CA0">
        <w:rPr>
          <w:i/>
          <w:iCs/>
          <w:noProof/>
          <w:sz w:val="20"/>
          <w:szCs w:val="24"/>
        </w:rPr>
        <w:t>Empir. Res. Vocat. Educ. Train.</w:t>
      </w:r>
      <w:r w:rsidRPr="00AE0CA0">
        <w:rPr>
          <w:noProof/>
          <w:sz w:val="20"/>
          <w:szCs w:val="24"/>
        </w:rPr>
        <w:t>, vol. 13, no. 1, 2021, doi: 10.1186/s40461-021-00112-4.</w:t>
      </w:r>
    </w:p>
    <w:p w14:paraId="15C5A1DF" w14:textId="77777777" w:rsidR="00AE0CA0" w:rsidRPr="00AE0CA0" w:rsidRDefault="00AE0CA0" w:rsidP="00AE0CA0">
      <w:pPr>
        <w:widowControl w:val="0"/>
        <w:autoSpaceDE w:val="0"/>
        <w:autoSpaceDN w:val="0"/>
        <w:adjustRightInd w:val="0"/>
        <w:ind w:left="640" w:hanging="640"/>
        <w:rPr>
          <w:noProof/>
          <w:sz w:val="20"/>
          <w:szCs w:val="24"/>
        </w:rPr>
      </w:pPr>
      <w:r w:rsidRPr="00AE0CA0">
        <w:rPr>
          <w:noProof/>
          <w:sz w:val="20"/>
          <w:szCs w:val="24"/>
        </w:rPr>
        <w:t>[37]</w:t>
      </w:r>
      <w:r w:rsidRPr="00AE0CA0">
        <w:rPr>
          <w:noProof/>
          <w:sz w:val="20"/>
          <w:szCs w:val="24"/>
        </w:rPr>
        <w:tab/>
        <w:t xml:space="preserve">C. C. Chinedu, W. A. Wan Mohamed, A. O. Ajah, and Y. A. Tukur, “Prospects of a technical and vocational education program in preparing pre-service teachers for sustainability: a case study of a TVE program in Kuala Lumpur, Malaysia,” </w:t>
      </w:r>
      <w:r w:rsidRPr="00AE0CA0">
        <w:rPr>
          <w:i/>
          <w:iCs/>
          <w:noProof/>
          <w:sz w:val="20"/>
          <w:szCs w:val="24"/>
        </w:rPr>
        <w:t>Curric. Perspect.</w:t>
      </w:r>
      <w:r w:rsidRPr="00AE0CA0">
        <w:rPr>
          <w:noProof/>
          <w:sz w:val="20"/>
          <w:szCs w:val="24"/>
        </w:rPr>
        <w:t>, vol. 39, no. 1, pp. 33–46, 2019, doi: 10.1007/s41297-018-0046-x.</w:t>
      </w:r>
    </w:p>
    <w:p w14:paraId="59DFAF58" w14:textId="77777777" w:rsidR="00AE0CA0" w:rsidRPr="00AE0CA0" w:rsidRDefault="00AE0CA0" w:rsidP="00AE0CA0">
      <w:pPr>
        <w:widowControl w:val="0"/>
        <w:autoSpaceDE w:val="0"/>
        <w:autoSpaceDN w:val="0"/>
        <w:adjustRightInd w:val="0"/>
        <w:ind w:left="640" w:hanging="640"/>
        <w:rPr>
          <w:noProof/>
          <w:sz w:val="20"/>
        </w:rPr>
      </w:pPr>
      <w:r w:rsidRPr="00AE0CA0">
        <w:rPr>
          <w:noProof/>
          <w:sz w:val="20"/>
          <w:szCs w:val="24"/>
        </w:rPr>
        <w:t>[38]</w:t>
      </w:r>
      <w:r w:rsidRPr="00AE0CA0">
        <w:rPr>
          <w:noProof/>
          <w:sz w:val="20"/>
          <w:szCs w:val="24"/>
        </w:rPr>
        <w:tab/>
        <w:t xml:space="preserve">A. Beinicke and E. Kyndt, “Evidence-based actions for maximising training effectiveness in corporate E-learning and classroom training,” </w:t>
      </w:r>
      <w:r w:rsidRPr="00AE0CA0">
        <w:rPr>
          <w:i/>
          <w:iCs/>
          <w:noProof/>
          <w:sz w:val="20"/>
          <w:szCs w:val="24"/>
        </w:rPr>
        <w:t>Stud. Contin. Educ.</w:t>
      </w:r>
      <w:r w:rsidRPr="00AE0CA0">
        <w:rPr>
          <w:noProof/>
          <w:sz w:val="20"/>
          <w:szCs w:val="24"/>
        </w:rPr>
        <w:t>, vol. 42, no. 2, pp. 256–276, 2020, doi: 10.1080/0158037X.2019.1608940.</w:t>
      </w:r>
    </w:p>
    <w:p w14:paraId="5A9742DD" w14:textId="1532475C" w:rsidR="00B36D78" w:rsidRPr="00E02B64" w:rsidRDefault="0063322C" w:rsidP="00393605">
      <w:pPr>
        <w:widowControl w:val="0"/>
        <w:autoSpaceDE w:val="0"/>
        <w:autoSpaceDN w:val="0"/>
        <w:adjustRightInd w:val="0"/>
        <w:ind w:left="640" w:hanging="640"/>
        <w:rPr>
          <w:color w:val="000000" w:themeColor="text1"/>
        </w:rPr>
      </w:pPr>
      <w:r w:rsidRPr="00E02B64">
        <w:rPr>
          <w:color w:val="000000" w:themeColor="text1"/>
        </w:rPr>
        <w:fldChar w:fldCharType="end"/>
      </w:r>
    </w:p>
    <w:p w14:paraId="5A92D458" w14:textId="2B300ABA" w:rsidR="00326AE0" w:rsidRPr="00E02B64" w:rsidRDefault="002B5648" w:rsidP="00B36D78">
      <w:pPr>
        <w:pStyle w:val="Reference"/>
        <w:numPr>
          <w:ilvl w:val="0"/>
          <w:numId w:val="0"/>
        </w:numPr>
        <w:ind w:left="426"/>
        <w:rPr>
          <w:color w:val="000000" w:themeColor="text1"/>
        </w:rPr>
      </w:pPr>
      <w:r w:rsidRPr="00E02B64">
        <w:rPr>
          <w:color w:val="000000" w:themeColor="text1"/>
        </w:rPr>
        <w:br/>
      </w:r>
    </w:p>
    <w:p w14:paraId="4DE91CCB" w14:textId="77777777" w:rsidR="00326AE0" w:rsidRPr="00E02B64" w:rsidRDefault="00326AE0" w:rsidP="003B0050">
      <w:pPr>
        <w:pStyle w:val="Paragraphbulleted"/>
        <w:numPr>
          <w:ilvl w:val="0"/>
          <w:numId w:val="0"/>
        </w:numPr>
        <w:ind w:left="426" w:hanging="426"/>
        <w:rPr>
          <w:color w:val="000000" w:themeColor="text1"/>
        </w:rPr>
      </w:pPr>
    </w:p>
    <w:sectPr w:rsidR="00326AE0" w:rsidRPr="00E02B6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AA94D9C"/>
    <w:multiLevelType w:val="hybridMultilevel"/>
    <w:tmpl w:val="DE40DF5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8"/>
  </w:num>
  <w:num w:numId="5">
    <w:abstractNumId w:val="12"/>
  </w:num>
  <w:num w:numId="6">
    <w:abstractNumId w:val="4"/>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NzM1tzCzMDU0sDRS0lEKTi0uzszPAykwrAUAre2nzCwAAAA="/>
  </w:docVars>
  <w:rsids>
    <w:rsidRoot w:val="00C14B14"/>
    <w:rsid w:val="00003D7C"/>
    <w:rsid w:val="00006748"/>
    <w:rsid w:val="00014140"/>
    <w:rsid w:val="00023E3E"/>
    <w:rsid w:val="00027428"/>
    <w:rsid w:val="00031EC9"/>
    <w:rsid w:val="000450B4"/>
    <w:rsid w:val="00051437"/>
    <w:rsid w:val="00056F94"/>
    <w:rsid w:val="00066FED"/>
    <w:rsid w:val="00075EA6"/>
    <w:rsid w:val="0007709F"/>
    <w:rsid w:val="00086F62"/>
    <w:rsid w:val="00090674"/>
    <w:rsid w:val="0009320B"/>
    <w:rsid w:val="00096AE0"/>
    <w:rsid w:val="000A6664"/>
    <w:rsid w:val="000B0C27"/>
    <w:rsid w:val="000B1B74"/>
    <w:rsid w:val="000B28A7"/>
    <w:rsid w:val="000B3A2D"/>
    <w:rsid w:val="000B49C0"/>
    <w:rsid w:val="000B67A1"/>
    <w:rsid w:val="000D5248"/>
    <w:rsid w:val="000E382F"/>
    <w:rsid w:val="000E75CD"/>
    <w:rsid w:val="001036BA"/>
    <w:rsid w:val="001146DC"/>
    <w:rsid w:val="00114AB1"/>
    <w:rsid w:val="001230FF"/>
    <w:rsid w:val="00130BD7"/>
    <w:rsid w:val="00134334"/>
    <w:rsid w:val="00155B67"/>
    <w:rsid w:val="001562AF"/>
    <w:rsid w:val="00157A8D"/>
    <w:rsid w:val="00161A5B"/>
    <w:rsid w:val="0016385D"/>
    <w:rsid w:val="0016782F"/>
    <w:rsid w:val="001937E9"/>
    <w:rsid w:val="001964E5"/>
    <w:rsid w:val="001B263B"/>
    <w:rsid w:val="001B476A"/>
    <w:rsid w:val="001C764F"/>
    <w:rsid w:val="001C7BB3"/>
    <w:rsid w:val="001D469C"/>
    <w:rsid w:val="001D7D5B"/>
    <w:rsid w:val="001E5C0F"/>
    <w:rsid w:val="0021619E"/>
    <w:rsid w:val="0023171B"/>
    <w:rsid w:val="00236BFC"/>
    <w:rsid w:val="00237437"/>
    <w:rsid w:val="00237A46"/>
    <w:rsid w:val="002502FD"/>
    <w:rsid w:val="00272C1C"/>
    <w:rsid w:val="00274622"/>
    <w:rsid w:val="00277D2B"/>
    <w:rsid w:val="00285D24"/>
    <w:rsid w:val="00290390"/>
    <w:rsid w:val="002915D3"/>
    <w:rsid w:val="002924DB"/>
    <w:rsid w:val="002941A7"/>
    <w:rsid w:val="002941DA"/>
    <w:rsid w:val="00294DB3"/>
    <w:rsid w:val="002A1CC2"/>
    <w:rsid w:val="002B21E6"/>
    <w:rsid w:val="002B5648"/>
    <w:rsid w:val="002D01C6"/>
    <w:rsid w:val="002E3C35"/>
    <w:rsid w:val="002F5298"/>
    <w:rsid w:val="00304D3F"/>
    <w:rsid w:val="00326AE0"/>
    <w:rsid w:val="00337E4F"/>
    <w:rsid w:val="00340C36"/>
    <w:rsid w:val="00346A9D"/>
    <w:rsid w:val="0037693D"/>
    <w:rsid w:val="00393605"/>
    <w:rsid w:val="0039376F"/>
    <w:rsid w:val="003A287B"/>
    <w:rsid w:val="003A5C85"/>
    <w:rsid w:val="003A61B1"/>
    <w:rsid w:val="003A71D1"/>
    <w:rsid w:val="003B0050"/>
    <w:rsid w:val="003B18BA"/>
    <w:rsid w:val="003D3924"/>
    <w:rsid w:val="003D6312"/>
    <w:rsid w:val="003E7C74"/>
    <w:rsid w:val="003F31C6"/>
    <w:rsid w:val="0040225B"/>
    <w:rsid w:val="00402DA2"/>
    <w:rsid w:val="00425AC2"/>
    <w:rsid w:val="0044771F"/>
    <w:rsid w:val="004609FD"/>
    <w:rsid w:val="00466B86"/>
    <w:rsid w:val="00471608"/>
    <w:rsid w:val="004B151D"/>
    <w:rsid w:val="004C7243"/>
    <w:rsid w:val="004D2113"/>
    <w:rsid w:val="004E21DE"/>
    <w:rsid w:val="004E3C57"/>
    <w:rsid w:val="004E3CB2"/>
    <w:rsid w:val="00525813"/>
    <w:rsid w:val="0053513F"/>
    <w:rsid w:val="0056082E"/>
    <w:rsid w:val="005679A9"/>
    <w:rsid w:val="00574405"/>
    <w:rsid w:val="005854B0"/>
    <w:rsid w:val="005874D3"/>
    <w:rsid w:val="005A0E21"/>
    <w:rsid w:val="005A16DC"/>
    <w:rsid w:val="005B3A34"/>
    <w:rsid w:val="005D49AF"/>
    <w:rsid w:val="005E415C"/>
    <w:rsid w:val="005E71ED"/>
    <w:rsid w:val="005E7946"/>
    <w:rsid w:val="005F7475"/>
    <w:rsid w:val="00611299"/>
    <w:rsid w:val="00613B4D"/>
    <w:rsid w:val="00616365"/>
    <w:rsid w:val="00616F3B"/>
    <w:rsid w:val="006249A7"/>
    <w:rsid w:val="0063322C"/>
    <w:rsid w:val="0064225B"/>
    <w:rsid w:val="006763F9"/>
    <w:rsid w:val="00691089"/>
    <w:rsid w:val="006949BC"/>
    <w:rsid w:val="006A55F4"/>
    <w:rsid w:val="006D1229"/>
    <w:rsid w:val="006D372F"/>
    <w:rsid w:val="006D7A18"/>
    <w:rsid w:val="006E4474"/>
    <w:rsid w:val="00701388"/>
    <w:rsid w:val="00713E01"/>
    <w:rsid w:val="00723B7F"/>
    <w:rsid w:val="00725861"/>
    <w:rsid w:val="0073393A"/>
    <w:rsid w:val="0073539D"/>
    <w:rsid w:val="007522C1"/>
    <w:rsid w:val="00767B8A"/>
    <w:rsid w:val="00775481"/>
    <w:rsid w:val="007A233B"/>
    <w:rsid w:val="007B4863"/>
    <w:rsid w:val="007C317B"/>
    <w:rsid w:val="007C65E6"/>
    <w:rsid w:val="007D406B"/>
    <w:rsid w:val="007D4407"/>
    <w:rsid w:val="007E1CA3"/>
    <w:rsid w:val="00812D62"/>
    <w:rsid w:val="00812F29"/>
    <w:rsid w:val="00821713"/>
    <w:rsid w:val="00827050"/>
    <w:rsid w:val="0083278B"/>
    <w:rsid w:val="00834538"/>
    <w:rsid w:val="00842330"/>
    <w:rsid w:val="00850E89"/>
    <w:rsid w:val="00851F92"/>
    <w:rsid w:val="00872B27"/>
    <w:rsid w:val="00877A04"/>
    <w:rsid w:val="00877CF1"/>
    <w:rsid w:val="00881C6D"/>
    <w:rsid w:val="008912B5"/>
    <w:rsid w:val="008917BD"/>
    <w:rsid w:val="008930E4"/>
    <w:rsid w:val="00893821"/>
    <w:rsid w:val="008A7B9C"/>
    <w:rsid w:val="008B39FA"/>
    <w:rsid w:val="008B4754"/>
    <w:rsid w:val="008D1A55"/>
    <w:rsid w:val="008E6A7A"/>
    <w:rsid w:val="008E72E8"/>
    <w:rsid w:val="008F1038"/>
    <w:rsid w:val="008F7046"/>
    <w:rsid w:val="009005FC"/>
    <w:rsid w:val="00922E5A"/>
    <w:rsid w:val="00923A27"/>
    <w:rsid w:val="00930B54"/>
    <w:rsid w:val="00941600"/>
    <w:rsid w:val="0094212D"/>
    <w:rsid w:val="00943315"/>
    <w:rsid w:val="0094434A"/>
    <w:rsid w:val="00946C27"/>
    <w:rsid w:val="009530B9"/>
    <w:rsid w:val="009566BE"/>
    <w:rsid w:val="009716EC"/>
    <w:rsid w:val="00974C8F"/>
    <w:rsid w:val="00991920"/>
    <w:rsid w:val="009A4F3D"/>
    <w:rsid w:val="009B46F7"/>
    <w:rsid w:val="009B696B"/>
    <w:rsid w:val="009B7671"/>
    <w:rsid w:val="009D1953"/>
    <w:rsid w:val="009D5747"/>
    <w:rsid w:val="009E5BA1"/>
    <w:rsid w:val="009F056E"/>
    <w:rsid w:val="00A018B5"/>
    <w:rsid w:val="00A06F17"/>
    <w:rsid w:val="00A24F3D"/>
    <w:rsid w:val="00A26DCD"/>
    <w:rsid w:val="00A314BB"/>
    <w:rsid w:val="00A32B7D"/>
    <w:rsid w:val="00A5596B"/>
    <w:rsid w:val="00A646B3"/>
    <w:rsid w:val="00A6739B"/>
    <w:rsid w:val="00A72899"/>
    <w:rsid w:val="00A75456"/>
    <w:rsid w:val="00A8104B"/>
    <w:rsid w:val="00A859FE"/>
    <w:rsid w:val="00A90413"/>
    <w:rsid w:val="00AA728C"/>
    <w:rsid w:val="00AB0A9C"/>
    <w:rsid w:val="00AB5B40"/>
    <w:rsid w:val="00AB7119"/>
    <w:rsid w:val="00AD5855"/>
    <w:rsid w:val="00AE0CA0"/>
    <w:rsid w:val="00AE7500"/>
    <w:rsid w:val="00AE7F87"/>
    <w:rsid w:val="00AF11B7"/>
    <w:rsid w:val="00AF3542"/>
    <w:rsid w:val="00AF5ABE"/>
    <w:rsid w:val="00B00415"/>
    <w:rsid w:val="00B03C2A"/>
    <w:rsid w:val="00B06B71"/>
    <w:rsid w:val="00B1000D"/>
    <w:rsid w:val="00B10134"/>
    <w:rsid w:val="00B16BFE"/>
    <w:rsid w:val="00B257C7"/>
    <w:rsid w:val="00B3570F"/>
    <w:rsid w:val="00B36D78"/>
    <w:rsid w:val="00B500E5"/>
    <w:rsid w:val="00B64C45"/>
    <w:rsid w:val="00BA39BB"/>
    <w:rsid w:val="00BA3B3D"/>
    <w:rsid w:val="00BB7EEA"/>
    <w:rsid w:val="00BD1909"/>
    <w:rsid w:val="00BE5E16"/>
    <w:rsid w:val="00BE5FD1"/>
    <w:rsid w:val="00BF390B"/>
    <w:rsid w:val="00C06E05"/>
    <w:rsid w:val="00C14B14"/>
    <w:rsid w:val="00C17370"/>
    <w:rsid w:val="00C20465"/>
    <w:rsid w:val="00C2054D"/>
    <w:rsid w:val="00C250CC"/>
    <w:rsid w:val="00C252EB"/>
    <w:rsid w:val="00C26EC0"/>
    <w:rsid w:val="00C56C77"/>
    <w:rsid w:val="00C70732"/>
    <w:rsid w:val="00C84923"/>
    <w:rsid w:val="00CA2081"/>
    <w:rsid w:val="00CB7B3E"/>
    <w:rsid w:val="00CC739D"/>
    <w:rsid w:val="00CD020F"/>
    <w:rsid w:val="00D01498"/>
    <w:rsid w:val="00D04468"/>
    <w:rsid w:val="00D353D9"/>
    <w:rsid w:val="00D36257"/>
    <w:rsid w:val="00D44DC1"/>
    <w:rsid w:val="00D4687E"/>
    <w:rsid w:val="00D53A12"/>
    <w:rsid w:val="00D5477F"/>
    <w:rsid w:val="00D5622E"/>
    <w:rsid w:val="00D57C35"/>
    <w:rsid w:val="00D85BD5"/>
    <w:rsid w:val="00D87E2A"/>
    <w:rsid w:val="00D94399"/>
    <w:rsid w:val="00DB0C43"/>
    <w:rsid w:val="00DB779F"/>
    <w:rsid w:val="00DE3354"/>
    <w:rsid w:val="00DF4247"/>
    <w:rsid w:val="00DF7DCD"/>
    <w:rsid w:val="00E02B64"/>
    <w:rsid w:val="00E07C9C"/>
    <w:rsid w:val="00E2523B"/>
    <w:rsid w:val="00E42C20"/>
    <w:rsid w:val="00E45364"/>
    <w:rsid w:val="00E50B7D"/>
    <w:rsid w:val="00E637C5"/>
    <w:rsid w:val="00E904A1"/>
    <w:rsid w:val="00EA647B"/>
    <w:rsid w:val="00EB7D28"/>
    <w:rsid w:val="00EC0D0C"/>
    <w:rsid w:val="00ED020B"/>
    <w:rsid w:val="00ED4A2C"/>
    <w:rsid w:val="00EE0431"/>
    <w:rsid w:val="00EF1FE2"/>
    <w:rsid w:val="00EF6940"/>
    <w:rsid w:val="00F169A0"/>
    <w:rsid w:val="00F2044A"/>
    <w:rsid w:val="00F20BFC"/>
    <w:rsid w:val="00F24064"/>
    <w:rsid w:val="00F245EE"/>
    <w:rsid w:val="00F24D5F"/>
    <w:rsid w:val="00F5259D"/>
    <w:rsid w:val="00F662A5"/>
    <w:rsid w:val="00F726C3"/>
    <w:rsid w:val="00F820CA"/>
    <w:rsid w:val="00F8554C"/>
    <w:rsid w:val="00F95F82"/>
    <w:rsid w:val="00F97A90"/>
    <w:rsid w:val="00FA6E01"/>
    <w:rsid w:val="00FC2F35"/>
    <w:rsid w:val="00FC3FD7"/>
    <w:rsid w:val="00FD1FC6"/>
    <w:rsid w:val="00FD65DF"/>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7A1ED16C-D240-4430-858C-4550C24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table" w:customStyle="1" w:styleId="TableNormal0">
    <w:name w:val="Table Normal_0"/>
    <w:uiPriority w:val="99"/>
    <w:semiHidden/>
    <w:unhideWhenUsed/>
    <w:rsid w:val="00D5477F"/>
    <w:rPr>
      <w:sz w:val="24"/>
      <w:szCs w:val="24"/>
      <w:lang w:val="id-ID" w:eastAsia="en-US"/>
    </w:rPr>
    <w:tblPr>
      <w:tblInd w:w="0" w:type="dxa"/>
      <w:tblCellMar>
        <w:top w:w="0" w:type="dxa"/>
        <w:left w:w="108" w:type="dxa"/>
        <w:bottom w:w="0" w:type="dxa"/>
        <w:right w:w="108" w:type="dxa"/>
      </w:tblCellMar>
    </w:tblPr>
  </w:style>
  <w:style w:type="paragraph" w:customStyle="1" w:styleId="Heading10">
    <w:name w:val="Heading 1_0"/>
    <w:basedOn w:val="Normal"/>
    <w:next w:val="Paragraph"/>
    <w:qFormat/>
    <w:rsid w:val="00D5477F"/>
    <w:pPr>
      <w:keepNext/>
      <w:spacing w:before="240" w:after="240"/>
      <w:jc w:val="center"/>
      <w:outlineLvl w:val="0"/>
    </w:pPr>
    <w:rPr>
      <w:b/>
      <w:caps/>
      <w:szCs w:val="24"/>
    </w:rPr>
  </w:style>
  <w:style w:type="paragraph" w:customStyle="1" w:styleId="Heading20">
    <w:name w:val="Heading 2_0"/>
    <w:basedOn w:val="Normal"/>
    <w:next w:val="Paragraph"/>
    <w:qFormat/>
    <w:rsid w:val="00304D3F"/>
    <w:pPr>
      <w:keepNext/>
      <w:spacing w:before="240" w:after="240"/>
      <w:jc w:val="center"/>
      <w:outlineLvl w:val="1"/>
    </w:pPr>
    <w:rPr>
      <w:b/>
      <w:szCs w:val="24"/>
    </w:rPr>
  </w:style>
  <w:style w:type="table" w:customStyle="1" w:styleId="Table1">
    <w:name w:val="Table1"/>
    <w:basedOn w:val="TableNormal0"/>
    <w:rsid w:val="00304D3F"/>
    <w:tblPr>
      <w:tblStyleRowBandSize w:val="1"/>
      <w:tblStyleColBandSize w:val="1"/>
    </w:tblPr>
  </w:style>
  <w:style w:type="table" w:customStyle="1" w:styleId="Table2">
    <w:name w:val="Table2"/>
    <w:basedOn w:val="TableNormal0"/>
    <w:rsid w:val="00304D3F"/>
    <w:tblPr>
      <w:tblStyleRowBandSize w:val="1"/>
      <w:tblStyleColBandSize w:val="1"/>
      <w:tblCellMar>
        <w:left w:w="115" w:type="dxa"/>
        <w:right w:w="115" w:type="dxa"/>
      </w:tblCellMar>
    </w:tblPr>
  </w:style>
  <w:style w:type="table" w:customStyle="1" w:styleId="Table3">
    <w:name w:val="Table3"/>
    <w:basedOn w:val="TableNormal0"/>
    <w:rsid w:val="00304D3F"/>
    <w:tblPr>
      <w:tblStyleRowBandSize w:val="1"/>
      <w:tblStyleColBandSize w:val="1"/>
      <w:tblCellMar>
        <w:left w:w="115" w:type="dxa"/>
        <w:right w:w="115" w:type="dxa"/>
      </w:tblCellMar>
    </w:tblPr>
  </w:style>
  <w:style w:type="table" w:customStyle="1" w:styleId="Table4">
    <w:name w:val="Table4"/>
    <w:basedOn w:val="TableNormal0"/>
    <w:rsid w:val="000450B4"/>
    <w:tblPr>
      <w:tblStyleRowBandSize w:val="1"/>
      <w:tblStyleColBandSize w:val="1"/>
      <w:tblCellMar>
        <w:left w:w="115" w:type="dxa"/>
        <w:right w:w="115" w:type="dxa"/>
      </w:tblCellMar>
    </w:tblPr>
  </w:style>
  <w:style w:type="table" w:customStyle="1" w:styleId="Table5">
    <w:name w:val="Table5"/>
    <w:basedOn w:val="TableNormal0"/>
    <w:rsid w:val="000450B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82">
      <w:bodyDiv w:val="1"/>
      <w:marLeft w:val="0"/>
      <w:marRight w:val="0"/>
      <w:marTop w:val="0"/>
      <w:marBottom w:val="0"/>
      <w:divBdr>
        <w:top w:val="none" w:sz="0" w:space="0" w:color="auto"/>
        <w:left w:val="none" w:sz="0" w:space="0" w:color="auto"/>
        <w:bottom w:val="none" w:sz="0" w:space="0" w:color="auto"/>
        <w:right w:val="none" w:sz="0" w:space="0" w:color="auto"/>
      </w:divBdr>
    </w:div>
    <w:div w:id="593637099">
      <w:bodyDiv w:val="1"/>
      <w:marLeft w:val="0"/>
      <w:marRight w:val="0"/>
      <w:marTop w:val="0"/>
      <w:marBottom w:val="0"/>
      <w:divBdr>
        <w:top w:val="none" w:sz="0" w:space="0" w:color="auto"/>
        <w:left w:val="none" w:sz="0" w:space="0" w:color="auto"/>
        <w:bottom w:val="none" w:sz="0" w:space="0" w:color="auto"/>
        <w:right w:val="none" w:sz="0" w:space="0" w:color="auto"/>
      </w:divBdr>
    </w:div>
    <w:div w:id="618101921">
      <w:bodyDiv w:val="1"/>
      <w:marLeft w:val="0"/>
      <w:marRight w:val="0"/>
      <w:marTop w:val="0"/>
      <w:marBottom w:val="0"/>
      <w:divBdr>
        <w:top w:val="none" w:sz="0" w:space="0" w:color="auto"/>
        <w:left w:val="none" w:sz="0" w:space="0" w:color="auto"/>
        <w:bottom w:val="none" w:sz="0" w:space="0" w:color="auto"/>
        <w:right w:val="none" w:sz="0" w:space="0" w:color="auto"/>
      </w:divBdr>
    </w:div>
    <w:div w:id="732434904">
      <w:bodyDiv w:val="1"/>
      <w:marLeft w:val="0"/>
      <w:marRight w:val="0"/>
      <w:marTop w:val="0"/>
      <w:marBottom w:val="0"/>
      <w:divBdr>
        <w:top w:val="none" w:sz="0" w:space="0" w:color="auto"/>
        <w:left w:val="none" w:sz="0" w:space="0" w:color="auto"/>
        <w:bottom w:val="none" w:sz="0" w:space="0" w:color="auto"/>
        <w:right w:val="none" w:sz="0" w:space="0" w:color="auto"/>
      </w:divBdr>
    </w:div>
    <w:div w:id="1090128236">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2304669">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59434201">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20662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916A7-183F-4DC5-B018-6FC73FFB2AAE}">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9</Pages>
  <Words>18040</Words>
  <Characters>102834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Omen 007</cp:lastModifiedBy>
  <cp:revision>2</cp:revision>
  <cp:lastPrinted>2011-03-03T08:29:00Z</cp:lastPrinted>
  <dcterms:created xsi:type="dcterms:W3CDTF">2021-09-27T00:52:00Z</dcterms:created>
  <dcterms:modified xsi:type="dcterms:W3CDTF">2021-09-27T00:52:00Z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Unique User Id_1">
    <vt:lpwstr>c29fc1cc-26ae-3a23-8a89-bbe447d508bd</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