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15EA" w14:textId="1F9D9979" w:rsidR="0016385D" w:rsidRPr="00075EA6" w:rsidRDefault="00EF1B03" w:rsidP="00090674">
      <w:pPr>
        <w:pStyle w:val="PaperTitle"/>
        <w:rPr>
          <w:b w:val="0"/>
          <w:bCs/>
          <w:sz w:val="24"/>
          <w:szCs w:val="24"/>
        </w:rPr>
      </w:pPr>
      <w:r>
        <w:t xml:space="preserve">CsI(Tl) Scintillation Detector for </w:t>
      </w:r>
      <w:r w:rsidRPr="00EF1B03">
        <w:t>Planar Scintigraphy Technique</w:t>
      </w:r>
      <w:r w:rsidRPr="002B5648">
        <w:t xml:space="preserve"> </w:t>
      </w:r>
    </w:p>
    <w:p w14:paraId="56D8C2E1" w14:textId="2A24654F" w:rsidR="00C14B14" w:rsidRPr="003B0050" w:rsidRDefault="00937E71" w:rsidP="00937E71">
      <w:pPr>
        <w:pStyle w:val="AuthorName"/>
        <w:rPr>
          <w:sz w:val="20"/>
          <w:lang w:val="en-GB" w:eastAsia="en-GB"/>
        </w:rPr>
      </w:pPr>
      <w:r>
        <w:t>Ayu Jati Puspitasari</w:t>
      </w:r>
      <w:r w:rsidR="00EF6940" w:rsidRPr="2F830975">
        <w:rPr>
          <w:vertAlign w:val="superscript"/>
        </w:rPr>
        <w:t>1,</w:t>
      </w:r>
      <w:r w:rsidR="003A5C85" w:rsidRPr="2F830975">
        <w:rPr>
          <w:vertAlign w:val="superscript"/>
        </w:rPr>
        <w:t xml:space="preserve"> </w:t>
      </w:r>
      <w:r w:rsidR="00EF6940" w:rsidRPr="2F830975">
        <w:rPr>
          <w:vertAlign w:val="superscript"/>
        </w:rPr>
        <w:t>a)</w:t>
      </w:r>
      <w:r>
        <w:t xml:space="preserve">, </w:t>
      </w:r>
      <w:r w:rsidR="00EF1B03">
        <w:t>Lukman Mubarak</w:t>
      </w:r>
      <w:r>
        <w:rPr>
          <w:vertAlign w:val="superscript"/>
        </w:rPr>
        <w:t>1</w:t>
      </w:r>
      <w:r w:rsidRPr="2F830975">
        <w:rPr>
          <w:vertAlign w:val="superscript"/>
        </w:rPr>
        <w:t>, b)</w:t>
      </w:r>
      <w:r>
        <w:t xml:space="preserve">, </w:t>
      </w:r>
      <w:r w:rsidR="0016385D">
        <w:t xml:space="preserve">and </w:t>
      </w:r>
      <w:r>
        <w:t xml:space="preserve">Halim Hamadi </w:t>
      </w:r>
      <w:r>
        <w:rPr>
          <w:vertAlign w:val="superscript"/>
        </w:rPr>
        <w:t>1</w:t>
      </w:r>
      <w:r w:rsidR="003A5C85" w:rsidRPr="2F830975">
        <w:rPr>
          <w:vertAlign w:val="superscript"/>
        </w:rPr>
        <w:t xml:space="preserve">, </w:t>
      </w:r>
      <w:r>
        <w:rPr>
          <w:vertAlign w:val="superscript"/>
        </w:rPr>
        <w:t>c</w:t>
      </w:r>
      <w:r w:rsidR="003A5C85" w:rsidRPr="2F830975">
        <w:rPr>
          <w:vertAlign w:val="superscript"/>
        </w:rPr>
        <w:t>)</w:t>
      </w:r>
    </w:p>
    <w:p w14:paraId="3EAF16AE" w14:textId="78F360B7" w:rsidR="00937E71" w:rsidRPr="00075EA6" w:rsidRDefault="00027428" w:rsidP="00937E71">
      <w:pPr>
        <w:pStyle w:val="AuthorAffiliation"/>
        <w:rPr>
          <w:szCs w:val="28"/>
          <w:vertAlign w:val="superscript"/>
        </w:rPr>
      </w:pPr>
      <w:r w:rsidRPr="00075EA6">
        <w:rPr>
          <w:i w:val="0"/>
          <w:iCs/>
          <w:vertAlign w:val="superscript"/>
        </w:rPr>
        <w:t>1</w:t>
      </w:r>
      <w:r w:rsidR="00937E71">
        <w:t xml:space="preserve">Polytechnic Institute of Nuclear Technology, Babarsari Street PO BOX 6101 YKBB, Sleman, Yogyakarta, Indonesia (55281) </w:t>
      </w:r>
      <w:r w:rsidR="0016385D" w:rsidRPr="00075EA6">
        <w:t xml:space="preserve"> </w:t>
      </w:r>
      <w:r w:rsidR="0016782F" w:rsidRPr="00075EA6">
        <w:br/>
      </w:r>
    </w:p>
    <w:p w14:paraId="1F8379AA" w14:textId="6527A916" w:rsidR="00FA47AB" w:rsidRDefault="00003D7C">
      <w:pPr>
        <w:pStyle w:val="AuthorEmail"/>
      </w:pPr>
      <w:r w:rsidRPr="00075EA6">
        <w:rPr>
          <w:szCs w:val="28"/>
          <w:vertAlign w:val="superscript"/>
        </w:rPr>
        <w:t>a)</w:t>
      </w:r>
      <w:r w:rsidRPr="00075EA6">
        <w:t xml:space="preserve"> Corresponding</w:t>
      </w:r>
      <w:r w:rsidR="004E3CB2" w:rsidRPr="00075EA6">
        <w:t xml:space="preserve"> author: </w:t>
      </w:r>
      <w:r w:rsidR="00937E71">
        <w:t>ayu.puspitasari</w:t>
      </w:r>
      <w:r w:rsidR="001D469C" w:rsidRPr="00075EA6">
        <w:t>@</w:t>
      </w:r>
      <w:r w:rsidR="00937E71">
        <w:t>batan</w:t>
      </w:r>
      <w:r w:rsidR="001D469C" w:rsidRPr="00075EA6">
        <w:t>.</w:t>
      </w:r>
      <w:r w:rsidR="00937E71">
        <w:rPr>
          <w:iCs/>
        </w:rPr>
        <w:t>go.id</w:t>
      </w:r>
      <w:r w:rsidR="001D469C" w:rsidRPr="00075EA6">
        <w:rPr>
          <w:i/>
        </w:rPr>
        <w:br/>
      </w:r>
      <w:r w:rsidR="003A5C85" w:rsidRPr="00075EA6">
        <w:rPr>
          <w:szCs w:val="28"/>
          <w:vertAlign w:val="superscript"/>
        </w:rPr>
        <w:t>b)</w:t>
      </w:r>
      <w:r w:rsidR="00937E71" w:rsidRPr="00075EA6">
        <w:t xml:space="preserve"> </w:t>
      </w:r>
      <w:r w:rsidR="00EF1B03" w:rsidRPr="00EF1B03">
        <w:t>lukmanmubarak</w:t>
      </w:r>
      <w:r w:rsidR="00937E71" w:rsidRPr="00937E71">
        <w:t>@gmail.com</w:t>
      </w:r>
    </w:p>
    <w:p w14:paraId="5E05E235" w14:textId="72CD2247" w:rsidR="003A5C85" w:rsidRPr="00075EA6" w:rsidRDefault="00FA47AB">
      <w:pPr>
        <w:pStyle w:val="AuthorEmail"/>
      </w:pPr>
      <w:r>
        <w:rPr>
          <w:szCs w:val="28"/>
          <w:vertAlign w:val="superscript"/>
        </w:rPr>
        <w:t>c</w:t>
      </w:r>
      <w:r w:rsidRPr="00075EA6">
        <w:rPr>
          <w:szCs w:val="28"/>
          <w:vertAlign w:val="superscript"/>
        </w:rPr>
        <w:t>)</w:t>
      </w:r>
      <w:r w:rsidRPr="00075EA6">
        <w:t xml:space="preserve"> </w:t>
      </w:r>
      <w:r>
        <w:t>halim.hamadi</w:t>
      </w:r>
      <w:r w:rsidRPr="00937E71">
        <w:t>@</w:t>
      </w:r>
      <w:r>
        <w:t>batan.go.id</w:t>
      </w:r>
      <w:r w:rsidRPr="00075EA6">
        <w:t xml:space="preserve"> </w:t>
      </w:r>
    </w:p>
    <w:p w14:paraId="22C3F2A8" w14:textId="62726FF7" w:rsidR="0016385D" w:rsidRPr="00075EA6" w:rsidRDefault="0016385D" w:rsidP="000D6B47">
      <w:pPr>
        <w:pStyle w:val="Abstract"/>
      </w:pPr>
      <w:r w:rsidRPr="000D6B47">
        <w:rPr>
          <w:b/>
          <w:bCs/>
        </w:rPr>
        <w:t>Abstract.</w:t>
      </w:r>
      <w:r w:rsidRPr="000D6B47">
        <w:t xml:space="preserve"> </w:t>
      </w:r>
      <w:r w:rsidR="000D6B47" w:rsidRPr="000D6B47">
        <w:t xml:space="preserve">This study focuses on </w:t>
      </w:r>
      <w:r w:rsidR="00485608">
        <w:t>using</w:t>
      </w:r>
      <w:r w:rsidR="000D6B47" w:rsidRPr="000D6B47">
        <w:t xml:space="preserve"> a CsI(Tl) detector for imaging in the planar scintigraphy imaging technique. CsI(Tl) detectors offer affordable, power-efficient, compact</w:t>
      </w:r>
      <w:r w:rsidR="00485608">
        <w:t>,</w:t>
      </w:r>
      <w:r w:rsidR="000D6B47" w:rsidRPr="000D6B47">
        <w:t xml:space="preserve"> and portable measurements because they use compact electronic components. In this study, the radiation beam is captured by a CsI(Tl) scintillation detector given a lead (Pb) collimator with a thickness of 2 mm and a collimator hole with a diameter of 2 mm. The result of testing the efficiency value is 2.07%. This detector is stable based on the chi-square test value on 10 measurements</w:t>
      </w:r>
      <w:r w:rsidR="009F294E">
        <w:t>. The chi-square value is</w:t>
      </w:r>
      <w:r w:rsidR="000D6B47" w:rsidRPr="000D6B47">
        <w:t xml:space="preserve"> 6</w:t>
      </w:r>
      <w:r w:rsidR="00D777F2">
        <w:t>.</w:t>
      </w:r>
      <w:r w:rsidR="000D6B47" w:rsidRPr="000D6B47">
        <w:t>919 (in the range of 3</w:t>
      </w:r>
      <w:r w:rsidR="00D777F2">
        <w:t>.</w:t>
      </w:r>
      <w:r w:rsidR="000D6B47" w:rsidRPr="000D6B47">
        <w:t xml:space="preserve">325 </w:t>
      </w:r>
      <w:r w:rsidR="00D777F2">
        <w:t>–</w:t>
      </w:r>
      <w:r w:rsidR="000D6B47" w:rsidRPr="000D6B47">
        <w:t xml:space="preserve"> 16</w:t>
      </w:r>
      <w:r w:rsidR="00D777F2">
        <w:t>.</w:t>
      </w:r>
      <w:r w:rsidR="000D6B47" w:rsidRPr="000D6B47">
        <w:t>919). The ideal measurement distance between the detector and the test object is less than 2 cm. For planar imaging, the Cs-137 source was placed on an acrylic phantom measuring 70</w:t>
      </w:r>
      <w:r w:rsidR="002270E4">
        <w:t>×</w:t>
      </w:r>
      <w:r w:rsidR="000D6B47" w:rsidRPr="000D6B47">
        <w:t>70 mm</w:t>
      </w:r>
      <w:r w:rsidR="000D6B47" w:rsidRPr="00374276">
        <w:rPr>
          <w:vertAlign w:val="superscript"/>
        </w:rPr>
        <w:t>2</w:t>
      </w:r>
      <w:r w:rsidR="000D6B47" w:rsidRPr="000D6B47">
        <w:t>. From the imaging results, the average percentage error on the x-axis center, y-axis center, and area of ​​</w:t>
      </w:r>
      <w:r w:rsidR="00485608">
        <w:t xml:space="preserve">the </w:t>
      </w:r>
      <w:r w:rsidR="000D6B47" w:rsidRPr="000D6B47">
        <w:t xml:space="preserve">source is 3.73%, 3.23%, and 4.71%, </w:t>
      </w:r>
      <w:r w:rsidR="002270E4">
        <w:t xml:space="preserve">respectively, </w:t>
      </w:r>
      <w:r w:rsidR="000D6B47" w:rsidRPr="000D6B47">
        <w:t>with an overall average error percentage of 3.89%.</w:t>
      </w:r>
    </w:p>
    <w:p w14:paraId="5240E3FB" w14:textId="20B7E54D" w:rsidR="003A287B" w:rsidRPr="00075EA6" w:rsidRDefault="00974B1B" w:rsidP="00003D7C">
      <w:pPr>
        <w:pStyle w:val="Heading1"/>
        <w:rPr>
          <w:b w:val="0"/>
          <w:caps w:val="0"/>
          <w:sz w:val="20"/>
        </w:rPr>
      </w:pPr>
      <w:r>
        <w:t>INTRODUCTION</w:t>
      </w:r>
    </w:p>
    <w:p w14:paraId="116B852C" w14:textId="382D9727" w:rsidR="006B22CD" w:rsidRPr="002A7C03" w:rsidRDefault="006B22CD" w:rsidP="00374276">
      <w:pPr>
        <w:pStyle w:val="Paragraph"/>
      </w:pPr>
      <w:r w:rsidRPr="002A7C03">
        <w:t>Applying</w:t>
      </w:r>
      <w:r w:rsidRPr="002A7C03">
        <w:rPr>
          <w:lang w:val="id-ID"/>
        </w:rPr>
        <w:t xml:space="preserve"> nuclear technology in the </w:t>
      </w:r>
      <w:r w:rsidRPr="002A7C03">
        <w:t>medical ar</w:t>
      </w:r>
      <w:r w:rsidRPr="002A7C03">
        <w:rPr>
          <w:lang w:val="id-ID"/>
        </w:rPr>
        <w:t xml:space="preserve">ea, </w:t>
      </w:r>
      <w:r w:rsidRPr="002A7C03">
        <w:t xml:space="preserve">including diagnostic, therapeutic, or nuclear medicine, uses image processing technology </w:t>
      </w:r>
      <w:r w:rsidRPr="002A7C03">
        <w:fldChar w:fldCharType="begin" w:fldLock="1"/>
      </w:r>
      <w:r w:rsidRPr="002A7C03">
        <w:instrText>ADDIN CSL_CITATION {"citationItems":[{"id":"ITEM-1","itemData":{"ISSN":"02512432","PMID":"8820134","abstract":"Nuclear medicine is constantly expanding through the introduction of new radiopharmaceuticals and new instruments. Special radiotracers, for instance, are making it possible to study fatty acid metabolism in the heart muscle.","author":[{"dropping-particle":"","family":"Sasaki","given":"Y.","non-dropping-particle":"","parse-names":false,"suffix":""},{"dropping-particle":"","family":"Kusakabe","given":"K.","non-dropping-particle":"","parse-names":false,"suffix":""}],"container-title":"IAEA Office of Public Information and Communication","id":"ITEM-1","issue":"1","issued":{"date-parts":[["2017"]]},"page":"7-8","title":"Nuclear medicine for diagnosis and treatment","type":"article-journal","volume":"17"},"uris":["http://www.mendeley.com/documents/?uuid=ac65fb61-d27b-45a2-a8fe-4c9a75af1ab9"]}],"mendeley":{"formattedCitation":"[1]","plainTextFormattedCitation":"[1]","previouslyFormattedCitation":"[1]"},"properties":{"noteIndex":0},"schema":"https://github.com/citation-style-language/schema/raw/master/csl-citation.json"}</w:instrText>
      </w:r>
      <w:r w:rsidRPr="002A7C03">
        <w:fldChar w:fldCharType="separate"/>
      </w:r>
      <w:r w:rsidRPr="002A7C03">
        <w:rPr>
          <w:noProof/>
        </w:rPr>
        <w:t>[1]</w:t>
      </w:r>
      <w:r w:rsidRPr="002A7C03">
        <w:fldChar w:fldCharType="end"/>
      </w:r>
      <w:r w:rsidRPr="002A7C03">
        <w:rPr>
          <w:lang w:val="id-ID"/>
        </w:rPr>
        <w:t xml:space="preserve">. The diagnostic examination uses an external radiation source </w:t>
      </w:r>
      <w:r w:rsidRPr="002A7C03">
        <w:t>that generates</w:t>
      </w:r>
      <w:r w:rsidRPr="002A7C03">
        <w:rPr>
          <w:lang w:val="id-ID"/>
        </w:rPr>
        <w:t xml:space="preserve"> transmission proces</w:t>
      </w:r>
      <w:r w:rsidRPr="002A7C03">
        <w:t>ses</w:t>
      </w:r>
      <w:r w:rsidRPr="002A7C03">
        <w:rPr>
          <w:lang w:val="id-ID"/>
        </w:rPr>
        <w:t xml:space="preserve">. In </w:t>
      </w:r>
      <w:r w:rsidRPr="002A7C03">
        <w:t xml:space="preserve">diagnostic </w:t>
      </w:r>
      <w:r w:rsidRPr="002A7C03">
        <w:rPr>
          <w:lang w:val="id-ID"/>
        </w:rPr>
        <w:t>nuclear medicine, the internal radiation source generate</w:t>
      </w:r>
      <w:r w:rsidR="00485608">
        <w:t>s</w:t>
      </w:r>
      <w:r w:rsidRPr="002A7C03">
        <w:rPr>
          <w:lang w:val="id-ID"/>
        </w:rPr>
        <w:t xml:space="preserve"> emission events</w:t>
      </w:r>
      <w:r w:rsidRPr="002A7C03">
        <w:t>. Diagnostic nuclear medicine utilizes</w:t>
      </w:r>
      <w:r w:rsidRPr="002A7C03">
        <w:rPr>
          <w:lang w:val="id-ID"/>
        </w:rPr>
        <w:t xml:space="preserve"> a</w:t>
      </w:r>
      <w:r w:rsidRPr="002A7C03">
        <w:t xml:space="preserve"> </w:t>
      </w:r>
      <w:r w:rsidRPr="002A7C03">
        <w:rPr>
          <w:lang w:val="id-ID"/>
        </w:rPr>
        <w:t>gamma camera</w:t>
      </w:r>
      <w:r w:rsidRPr="002A7C03">
        <w:t xml:space="preserve"> or</w:t>
      </w:r>
      <w:r w:rsidRPr="002A7C03">
        <w:rPr>
          <w:lang w:val="id-ID"/>
        </w:rPr>
        <w:t xml:space="preserve"> </w:t>
      </w:r>
      <w:r w:rsidRPr="002A7C03">
        <w:t>Anger s</w:t>
      </w:r>
      <w:r w:rsidRPr="002A7C03">
        <w:rPr>
          <w:lang w:val="id-ID"/>
        </w:rPr>
        <w:t xml:space="preserve">cintillation camera </w:t>
      </w:r>
      <w:r w:rsidRPr="002A7C03">
        <w:fldChar w:fldCharType="begin" w:fldLock="1"/>
      </w:r>
      <w:r w:rsidRPr="002A7C03">
        <w:instrText>ADDIN CSL_CITATION {"citationItems":[{"id":"ITEM-1","itemData":{"DOI":"10.5772/54884","abstract":"Abstract Long-haul travel does not constitute an obstacle for tourists to travel and is fast gaining the attention of tourists in new and unique experiences. This study was conducted to identify the long-haul travel motivation by international tourists to Penang. A total of 400 respondents participated in this survey, conducted around the tourist attractions in Penang, using cluster random sampling. However, only 370 questionnaires were only used for this research. Data were analysed using SPSS software 22 version. The findings, ‘knowledge and novelty seeking’ were the main push factors that drove long-haul travel by international tourists to Penang. Meanwhile, the main pull factor that attracts long- haul travel by international tourists to Penang was its ‘culture and history’. Additionally, there were partly direct and significant relationships between socio-demographic, trip characteristics and travel motivation (push factors and pull factors). Overall, this study identified the long-haul travel motivations by international tourists to Penang based on socio-demographic, trip characteristics and travel motivation and has indirectly helped in understanding the long-haul travel market particularly for Penang and Southeast Asia. This research also suggested for an effective marketing and promotion strategy in pro- viding useful information that is the key to attract international tourists to travel long distances. Keywords:","author":[{"dropping-particle":"","family":"Kharfi","given":"Faycal","non-dropping-particle":"","parse-names":false,"suffix":""}],"container-title":"Imaging and Radioanalytical Techniques in Interdisciplinary Research - Fundamentals and Cutting Edge Applications","id":"ITEM-1","issue":"March 2013","issued":{"date-parts":[["2013"]]},"title":"Principles and Applications of Nuclear Medical Imaging: A Survey on Recent Developments","type":"article-journal"},"uris":["http://www.mendeley.com/documents/?uuid=45250382-e3d7-47fb-80db-9627c73a3775"]},{"id":"ITEM-2","itemData":{"author":[{"dropping-particle":"","family":"Wang","given":"Yao","non-dropping-particle":"","parse-names":false,"suffix":""}],"id":"ITEM-2","issued":{"date-parts":[["2017"]]},"publisher":"Polytechnic Institute of NYU, Brooklyn, NY 11201","title":"Nuclear Medicine : Physics and Imaging Methods ( SPECT and PET )","type":"thesis"},"uris":["http://www.mendeley.com/documents/?uuid=dd285c97-0506-4d1d-9358-40be67b1d9f8"]}],"mendeley":{"formattedCitation":"[2], [3]","plainTextFormattedCitation":"[2], [3]","previouslyFormattedCitation":"[2], [3]"},"properties":{"noteIndex":0},"schema":"https://github.com/citation-style-language/schema/raw/master/csl-citation.json"}</w:instrText>
      </w:r>
      <w:r w:rsidRPr="002A7C03">
        <w:fldChar w:fldCharType="separate"/>
      </w:r>
      <w:r w:rsidRPr="002A7C03">
        <w:rPr>
          <w:noProof/>
        </w:rPr>
        <w:t>[2], [3]</w:t>
      </w:r>
      <w:r w:rsidRPr="002A7C03">
        <w:fldChar w:fldCharType="end"/>
      </w:r>
      <w:r w:rsidRPr="002A7C03">
        <w:t xml:space="preserve">. Gamma camera applies scintigraphy technique. The 2 types of gamma cameras are planar and SPECT (Single Photon Emission Computed Tomography). The planar gamma camera displays a 2D image, while SPECT generates a 3D image </w:t>
      </w:r>
      <w:r w:rsidRPr="002A7C03">
        <w:fldChar w:fldCharType="begin" w:fldLock="1"/>
      </w:r>
      <w:r w:rsidRPr="002A7C03">
        <w:instrText>ADDIN CSL_CITATION {"citationItems":[{"id":"ITEM-1","itemData":{"DOI":"10.1055/s-0038-1625324","ISBN":"9781420033915","ISSN":"0029-5566","author":[{"dropping-particle":"","family":"Skuldt","given":"Dean H.","non-dropping-particle":"","parse-names":false,"suffix":""}],"container-title":"Minimally Invasive Medical Technology","id":"ITEM-1","issue":"x","issued":{"date-parts":[["2016"]]},"page":"59-66","title":"Nuclear medicine","type":"article-journal"},"uris":["http://www.mendeley.com/documents/?uuid=a449dc40-f19e-4feb-8e8f-79397fece0fd"]},{"id":"ITEM-2","itemData":{"author":[{"dropping-particle":"","family":"Lewellen","given":"Tom","non-dropping-particle":"","parse-names":false,"suffix":""}],"id":"ITEM-2","issued":{"date-parts":[["2007"]]},"title":"The Scintillation Camera : Planar and SPECT List of Nuclear Medicine ʻSingle Photonʼ Radionuclides","type":"article-journal"},"uris":["http://www.mendeley.com/documents/?uuid=9d2cd1f3-d13a-493e-b75d-d2bd2b10fb8a"]},{"id":"ITEM-3","itemData":{"author":[{"dropping-particle":"","family":"Bailey","given":"D.L","non-dropping-particle":"","parse-names":false,"suffix":""},{"dropping-particle":"","family":"Humm","given":"J.L","non-dropping-particle":"","parse-names":false,"suffix":""},{"dropping-particle":"","family":"Todd-Pokropek","given":"A.","non-dropping-particle":"","parse-names":false,"suffix":""},{"dropping-particle":"van","family":"Aswegen","given":"A.","non-dropping-particle":"","parse-names":false,"suffix":""}],"id":"ITEM-3","issued":{"date-parts":[["2014"]]},"publisher":"International Atomic Energy Agency","publisher-place":"Vienna","title":"Nuclear Medicine Physics: A Handbook for Teachers and Students","type":"book"},"uris":["http://www.mendeley.com/documents/?uuid=bf3d9d5f-fef6-4238-a570-b62059cc2439"]}],"mendeley":{"formattedCitation":"[4]–[6]","plainTextFormattedCitation":"[4]–[6]","previouslyFormattedCitation":"[4]–[6]"},"properties":{"noteIndex":0},"schema":"https://github.com/citation-style-language/schema/raw/master/csl-citation.json"}</w:instrText>
      </w:r>
      <w:r w:rsidRPr="002A7C03">
        <w:fldChar w:fldCharType="separate"/>
      </w:r>
      <w:r w:rsidRPr="002A7C03">
        <w:rPr>
          <w:noProof/>
        </w:rPr>
        <w:t>[4]–[6]</w:t>
      </w:r>
      <w:r w:rsidRPr="002A7C03">
        <w:fldChar w:fldCharType="end"/>
      </w:r>
      <w:r w:rsidRPr="002A7C03">
        <w:t>.</w:t>
      </w:r>
    </w:p>
    <w:p w14:paraId="2E7C2086" w14:textId="64E09F4E" w:rsidR="00BC5B3C" w:rsidRPr="00D410AD" w:rsidRDefault="006B22CD" w:rsidP="006B22CD">
      <w:pPr>
        <w:ind w:firstLine="289"/>
        <w:jc w:val="both"/>
        <w:rPr>
          <w:sz w:val="20"/>
        </w:rPr>
      </w:pPr>
      <w:r w:rsidRPr="002A7C03">
        <w:rPr>
          <w:sz w:val="20"/>
        </w:rPr>
        <w:t xml:space="preserve">Planar scintigraphy images the distribution of radioactive material in a 2D image used for whole-body screening for tumors, metastatic tumors, and particularly bone </w:t>
      </w:r>
      <w:r w:rsidRPr="002A7C03">
        <w:rPr>
          <w:sz w:val="20"/>
        </w:rPr>
        <w:fldChar w:fldCharType="begin" w:fldLock="1"/>
      </w:r>
      <w:r w:rsidRPr="002A7C03">
        <w:rPr>
          <w:sz w:val="20"/>
        </w:rPr>
        <w:instrText>ADDIN CSL_CITATION {"citationItems":[{"id":"ITEM-1","itemData":{"DOI":"10.1017/cbo9780511760976","abstract":"Predicting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approach.","author":[{"dropping-particle":"","family":"Smith","given":"Nadine Barrie","non-dropping-particle":"","parse-names":false,"suffix":""},{"dropping-particle":"","family":"Webb","given":"Andrew","non-dropping-particle":"","parse-names":false,"suffix":""}],"container-title":"Introduction to Medical Imaging","id":"ITEM-1","issued":{"date-parts":[["2010"]]},"publisher":"Cambridge University Press","title":"Introduction to Medical Imaging","type":"book"},"uris":["http://www.mendeley.com/documents/?uuid=b9dc322c-501a-391c-9d0e-ac0a0c116c18","http://www.mendeley.com/documents/?uuid=f8c3eb59-f253-4463-b6aa-b55a5c5d6e30"]}],"mendeley":{"formattedCitation":"[7]","plainTextFormattedCitation":"[7]","previouslyFormattedCitation":"[7]"},"properties":{"noteIndex":0},"schema":"https://github.com/citation-style-language/schema/raw/master/csl-citation.json"}</w:instrText>
      </w:r>
      <w:r w:rsidRPr="002A7C03">
        <w:rPr>
          <w:sz w:val="20"/>
        </w:rPr>
        <w:fldChar w:fldCharType="separate"/>
      </w:r>
      <w:r w:rsidRPr="002A7C03">
        <w:rPr>
          <w:noProof/>
          <w:sz w:val="20"/>
        </w:rPr>
        <w:t>[7]</w:t>
      </w:r>
      <w:r w:rsidRPr="002A7C03">
        <w:rPr>
          <w:sz w:val="20"/>
        </w:rPr>
        <w:fldChar w:fldCharType="end"/>
      </w:r>
      <w:r w:rsidRPr="002A7C03">
        <w:rPr>
          <w:sz w:val="20"/>
        </w:rPr>
        <w:t xml:space="preserve">. A fit radioactive material concentrates on a specific target organ after being compounded with another chemical into radiopharmaceutical, a chemical compound that contains radioactive atoms in its structure. It is used in the field of nuclear medicine for diagnosis or therapy. After applying </w:t>
      </w:r>
      <w:r w:rsidRPr="00D410AD">
        <w:rPr>
          <w:sz w:val="20"/>
        </w:rPr>
        <w:t xml:space="preserve">radiopharmaceutical to the patient, the target organ is imaged using a gamma camera </w:t>
      </w:r>
      <w:r w:rsidRPr="00D410AD">
        <w:rPr>
          <w:sz w:val="20"/>
        </w:rPr>
        <w:fldChar w:fldCharType="begin" w:fldLock="1"/>
      </w:r>
      <w:r w:rsidRPr="00D410AD">
        <w:rPr>
          <w:sz w:val="20"/>
        </w:rPr>
        <w:instrText>ADDIN CSL_CITATION {"citationItems":[{"id":"ITEM-1","itemData":{"ISBN":"0132145189","abstract":"Second edition. Covers the most important imaging modalities in radiology: projection radiography, x-ray computed tomography, nuclear medicine, ultrasound imaging, and magnetic resonance imaging. Organized into parts to emphasize key overall conceptual divisions. Introduction -- Signals and systems -- Image quality -- Physics of radiography -- Projection radiography -- Computed tomography -- The physics of nuclear medicine -- Planar scintigraphy -- Emission computed tomography -- The physics of ultrasound -- Ultrasound imaging systems -- Physics of magnetic resonance -- Magnetic resonance imaging.","author":[{"dropping-particle":"","family":"Prince","given":"Jerry L.","non-dropping-particle":"","parse-names":false,"suffix":""},{"dropping-particle":"","family":"Links","given":"Jonathan M.","non-dropping-particle":"","parse-names":false,"suffix":""}],"edition":"2nd","id":"ITEM-1","issued":{"date-parts":[["2014"]]},"publisher":"Pearson","title":"Medical Imaging Signals and Systems","type":"book"},"uris":["http://www.mendeley.com/documents/?uuid=332add79-21eb-4ab3-9241-ce9d089a987a"]}],"mendeley":{"formattedCitation":"[8]","plainTextFormattedCitation":"[8]","previouslyFormattedCitation":"[8]"},"properties":{"noteIndex":0},"schema":"https://github.com/citation-style-language/schema/raw/master/csl-citation.json"}</w:instrText>
      </w:r>
      <w:r w:rsidRPr="00D410AD">
        <w:rPr>
          <w:sz w:val="20"/>
        </w:rPr>
        <w:fldChar w:fldCharType="separate"/>
      </w:r>
      <w:r w:rsidRPr="00D410AD">
        <w:rPr>
          <w:noProof/>
          <w:sz w:val="20"/>
        </w:rPr>
        <w:t>[8]</w:t>
      </w:r>
      <w:r w:rsidRPr="00D410AD">
        <w:rPr>
          <w:sz w:val="20"/>
        </w:rPr>
        <w:fldChar w:fldCharType="end"/>
      </w:r>
      <w:r w:rsidRPr="00D410AD">
        <w:rPr>
          <w:sz w:val="20"/>
        </w:rPr>
        <w:t>.</w:t>
      </w:r>
      <w:r w:rsidR="00BC5B3C" w:rsidRPr="00D410AD">
        <w:rPr>
          <w:sz w:val="20"/>
        </w:rPr>
        <w:t xml:space="preserve"> </w:t>
      </w:r>
    </w:p>
    <w:p w14:paraId="6BAA13B6" w14:textId="201CE314" w:rsidR="006B22CD" w:rsidRPr="00D410AD" w:rsidRDefault="006B22CD" w:rsidP="00BC5B3C">
      <w:pPr>
        <w:ind w:firstLine="289"/>
        <w:jc w:val="both"/>
        <w:rPr>
          <w:sz w:val="20"/>
        </w:rPr>
      </w:pPr>
      <w:r w:rsidRPr="00D410AD">
        <w:rPr>
          <w:sz w:val="20"/>
        </w:rPr>
        <w:t xml:space="preserve">In the past decades, NaI(Tl) has been used as </w:t>
      </w:r>
      <w:r w:rsidR="00450789">
        <w:rPr>
          <w:sz w:val="20"/>
        </w:rPr>
        <w:t xml:space="preserve">a </w:t>
      </w:r>
      <w:r w:rsidRPr="00D410AD">
        <w:rPr>
          <w:sz w:val="20"/>
        </w:rPr>
        <w:t xml:space="preserve">scintillating crystal in almost all gamma cameras </w:t>
      </w:r>
      <w:r w:rsidRPr="00D410AD">
        <w:rPr>
          <w:sz w:val="20"/>
        </w:rPr>
        <w:fldChar w:fldCharType="begin" w:fldLock="1"/>
      </w:r>
      <w:r w:rsidRPr="00D410AD">
        <w:rPr>
          <w:sz w:val="20"/>
        </w:rPr>
        <w:instrText>ADDIN CSL_CITATION {"citationItems":[{"id":"ITEM-1","itemData":{"DOI":"10.1088/1361-6560/ab267c","ISSN":"13616560","PMID":"31158823","abstract":"Simultaneous acquisition of nuclear and fluoroscopic projections could be of benefit for image-guided radionuclide administration. A gamma camera positioned behind an x-ray flat panel detector can accomplish such simultaneous acquisition, but the gamma camera performance suffers from the intense x-ray dose. A regular NaI(Tl)-based camera has nominal performance up to 0.02 nGy dose per pulse, whereas 10 nGy dose is expected for our foreseen applications. We evaluated the performance of CeBr3- and CZT-based detectors and investigated a cost-effective improvement of a regular NaI(Tl)-based camera by the introduction of a high-pass filter and shorting circuit. A CeBr3-based detector was exposed to 5 mGy x-ray dose and the resulting light emission was measured over time to quantify the crystal afterglow, allowing comparison with a previously measured NaI(Tl)-based detector. The NaI(Tl)-, CeBr3- and CZT-based detectors were exposed to x-ray pulse sequences with dose from 0.06 to 60 nGy, while being irradiated with a gamma source. The mean gamma energy and energy resolution in between the x-ray pulses were measured as a reference of the detector performance. The afterglow signal after 3 ms was 14.1% for the NaI(Tl)-based detector, whereas for the CeBr3-based detector it was only 0.1%. The limits for a proper functioning detectors are 0.32 nGy for the NaI(Tl)-based detector with high-pass filter and shorting circuit and 18.94 nGy for the one with CeBr3. No energy degradation was observed for the CZT module in the studied dose range. The performance of regular NaI(Tl)-based gamma cameras deteriorates when exposed to high x-ray doses. CeBr3 and CZT are much better suited for introduction into a dual-layer detector but have high associated costs. Addition of a high-pass filter and shorting circuit into the PMT of a NaI(Tl)-based detector is a cost-effective solution that works well for low dose levels.","author":[{"dropping-particle":"","family":"Koppert","given":"Wilco J.C.","non-dropping-particle":"","parse-names":false,"suffix":""},{"dropping-particle":"","family":"Dietze","given":"Martijn M.A.","non-dropping-particle":"","parse-names":false,"suffix":""},{"dropping-particle":"","family":"Velden","given":"Sandra","non-dropping-particle":"Van Der","parse-names":false,"suffix":""},{"dropping-particle":"","family":"Steenbergen","given":"J. H.Leo","non-dropping-particle":"","parse-names":false,"suffix":""},{"dropping-particle":"","family":"Jong","given":"Hugo W.A.M.","non-dropping-particle":"De","parse-names":false,"suffix":""}],"container-title":"Physics in Medicine and Biology","id":"ITEM-1","issue":"13","issued":{"date-parts":[["2019"]]},"publisher":"IOP Publishing","title":"A comparative study of NaI(Tl), CeBr3, and CZT for use in a real-time simultaneous nuclear and fluoroscopic dual-layer detector","type":"article-journal","volume":"64"},"uris":["http://www.mendeley.com/documents/?uuid=3528b7f1-8034-4993-b6e5-976b40f43d55"]}],"mendeley":{"formattedCitation":"[9]","plainTextFormattedCitation":"[9]","previouslyFormattedCitation":"[9]"},"properties":{"noteIndex":0},"schema":"https://github.com/citation-style-language/schema/raw/master/csl-citation.json"}</w:instrText>
      </w:r>
      <w:r w:rsidRPr="00D410AD">
        <w:rPr>
          <w:sz w:val="20"/>
        </w:rPr>
        <w:fldChar w:fldCharType="separate"/>
      </w:r>
      <w:r w:rsidRPr="00D410AD">
        <w:rPr>
          <w:noProof/>
          <w:sz w:val="20"/>
        </w:rPr>
        <w:t>[9]</w:t>
      </w:r>
      <w:r w:rsidRPr="00D410AD">
        <w:rPr>
          <w:sz w:val="20"/>
        </w:rPr>
        <w:fldChar w:fldCharType="end"/>
      </w:r>
      <w:r w:rsidRPr="00D410AD">
        <w:rPr>
          <w:sz w:val="20"/>
        </w:rPr>
        <w:t xml:space="preserve">. NaI(Tl) is a crystal with a reasonable price, a proper luminance efficiency, and an acceptable energy range. It makes a standard crystal for use in most nuclear medicine imaging equipment </w:t>
      </w:r>
      <w:r w:rsidRPr="00D410AD">
        <w:rPr>
          <w:sz w:val="20"/>
        </w:rPr>
        <w:fldChar w:fldCharType="begin" w:fldLock="1"/>
      </w:r>
      <w:r w:rsidRPr="00D410AD">
        <w:rPr>
          <w:sz w:val="20"/>
        </w:rPr>
        <w:instrText>ADDIN CSL_CITATION {"citationItems":[{"id":"ITEM-1","itemData":{"DOI":"10.4103/1450-1147.163241","ISSN":"1450-1147","abstract":"High-quality image is necessary for accurate diagnosis in nuclear medicine. There are many factors in creating a good image and detector is the most important one. In recent years, several detectors are studied to get a better picture. The aim of this paper is comparison of some type of these detectors such as thallium activated sodium iodide bismuth germinate cesium activated yttrium aluminum garnet (YAG: Ce) YAP: Ce \"lutetium aluminum garnet activated by cerium\" CRY018 \"CRY019\" lanthanum bromide and cadmium zinc telluride. We studied different properties of these crystals including density, energy resolution and decay times that are more important factors affecting the image quality.","author":[{"dropping-particle":"","family":"Khoshakhlagh","given":"Mohammad","non-dropping-particle":"","parse-names":false,"suffix":""},{"dropping-particle":"","family":"Islamian","given":"Jalil Pirayesh","non-dropping-particle":"","parse-names":false,"suffix":""},{"dropping-particle":"","family":"Abedi","given":"Seyed Mohammad","non-dropping-particle":"","parse-names":false,"suffix":""},{"dropping-particle":"","family":"Mahmoudian","given":"Babak","non-dropping-particle":"","parse-names":false,"suffix":""}],"container-title":"World journal of nuclear medicine","id":"ITEM-1","issue":"3","issued":{"date-parts":[["2015"]]},"language":"eng","page":"156-159","publisher":"Medknow Publications &amp; Media Pvt Ltd","title":"Development of Scintillators in Nuclear Medicine","type":"article-journal","volume":"14"},"uris":["http://www.mendeley.com/documents/?uuid=4ca6384d-c9f1-4ca6-b20a-93635fd480bf"]}],"mendeley":{"formattedCitation":"[10]","plainTextFormattedCitation":"[10]","previouslyFormattedCitation":"[10]"},"properties":{"noteIndex":0},"schema":"https://github.com/citation-style-language/schema/raw/master/csl-citation.json"}</w:instrText>
      </w:r>
      <w:r w:rsidRPr="00D410AD">
        <w:rPr>
          <w:sz w:val="20"/>
        </w:rPr>
        <w:fldChar w:fldCharType="separate"/>
      </w:r>
      <w:r w:rsidRPr="00D410AD">
        <w:rPr>
          <w:noProof/>
          <w:sz w:val="20"/>
        </w:rPr>
        <w:t>[10]</w:t>
      </w:r>
      <w:r w:rsidRPr="00D410AD">
        <w:rPr>
          <w:sz w:val="20"/>
        </w:rPr>
        <w:fldChar w:fldCharType="end"/>
      </w:r>
      <w:r w:rsidRPr="00D410AD">
        <w:rPr>
          <w:sz w:val="20"/>
        </w:rPr>
        <w:t xml:space="preserve">. One alternative crystal that can be applied as a scintillation detector is Csi(Tl) or Thallium doped Cesium Iodide. CsI(Tl) scintillator has high density, high luminous efficiency, high radiation-hardness </w:t>
      </w:r>
      <w:r w:rsidRPr="00D410AD">
        <w:rPr>
          <w:sz w:val="20"/>
        </w:rPr>
        <w:fldChar w:fldCharType="begin" w:fldLock="1"/>
      </w:r>
      <w:r w:rsidRPr="00D410AD">
        <w:rPr>
          <w:sz w:val="20"/>
        </w:rPr>
        <w:instrText>ADDIN CSL_CITATION {"citationItems":[{"id":"ITEM-1","itemData":{"DOI":"10.1016/j.net.2019.09.003","ISSN":"2234358X","abstract":"A position-sensitive CsI(Tl) crystal array coupled with the multi-anode position sensitive photomultiplier tube (PS-PMT), Hamamatsu H8500C, has been developed at the Institute of Modern Physics. An effective, fast, and economical readout circuit based on discretized positioning circuit (DPC) bridge was designed for the 64-channel multi-anode flat panel PSPMT. The horizontal and vertical position resolutions are 0.58 mm and 0.63 mm respectively for the 1.0 × 1.0 × 5.0 mm3 CsI(Tl) array, and the horizontal and vertical position resolutions are 0.86 mm and 0.80 mm respectively for the 2.0 × 2.0 × 10.0 mm3 CsI(Tl) array. These results show that the CsI(Tl) crystal array with low cost could be applied in the fields of medical imaging and high-resolution gamma camera.","author":[{"dropping-particle":"","family":"Shi","given":"Guo Zhu","non-dropping-particle":"","parse-names":false,"suffix":""},{"dropping-particle":"","family":"Chen","given":"Ruo Fu","non-dropping-particle":"","parse-names":false,"suffix":""},{"dropping-particle":"","family":"Chen","given":"Kun","non-dropping-particle":"","parse-names":false,"suffix":""},{"dropping-particle":"","family":"Shen","given":"Ai Hua","non-dropping-particle":"","parse-names":false,"suffix":""},{"dropping-particle":"","family":"Zhang","given":"Xiu Ling","non-dropping-particle":"","parse-names":false,"suffix":""},{"dropping-particle":"Da","family":"Chen","given":"Jin","non-dropping-particle":"","parse-names":false,"suffix":""},{"dropping-particle":"","family":"Du","given":"Cheng Ming","non-dropping-particle":"","parse-names":false,"suffix":""},{"dropping-particle":"","family":"Hu","given":"Zheng Guo","non-dropping-particle":"","parse-names":false,"suffix":""},{"dropping-particle":"","family":"Fan","given":"Guang Wei","non-dropping-particle":"","parse-names":false,"suffix":""}],"container-title":"Nuclear Engineering and Technology","id":"ITEM-1","issue":"4","issued":{"date-parts":[["2020"]]},"page":"835-840","title":"Development of a position sensitive CsI(Tl) crystal array","type":"article","volume":"52"},"uris":["http://www.mendeley.com/documents/?uuid=6b6c4487-b95d-44cd-9a41-29e17a6c4e3f"]}],"mendeley":{"formattedCitation":"[11]","plainTextFormattedCitation":"[11]","previouslyFormattedCitation":"[11]"},"properties":{"noteIndex":0},"schema":"https://github.com/citation-style-language/schema/raw/master/csl-citation.json"}</w:instrText>
      </w:r>
      <w:r w:rsidRPr="00D410AD">
        <w:rPr>
          <w:sz w:val="20"/>
        </w:rPr>
        <w:fldChar w:fldCharType="separate"/>
      </w:r>
      <w:r w:rsidRPr="00D410AD">
        <w:rPr>
          <w:noProof/>
          <w:sz w:val="20"/>
        </w:rPr>
        <w:t>[11]</w:t>
      </w:r>
      <w:r w:rsidRPr="00D410AD">
        <w:rPr>
          <w:sz w:val="20"/>
        </w:rPr>
        <w:fldChar w:fldCharType="end"/>
      </w:r>
      <w:r w:rsidRPr="00D410AD">
        <w:rPr>
          <w:sz w:val="20"/>
        </w:rPr>
        <w:t>.</w:t>
      </w:r>
    </w:p>
    <w:p w14:paraId="02670BC6" w14:textId="6D39CE24" w:rsidR="006B22CD" w:rsidRPr="00D410AD" w:rsidRDefault="006B22CD" w:rsidP="00BC5B3C">
      <w:pPr>
        <w:ind w:firstLine="289"/>
        <w:jc w:val="both"/>
        <w:rPr>
          <w:sz w:val="20"/>
        </w:rPr>
      </w:pPr>
      <w:r w:rsidRPr="00D410AD">
        <w:rPr>
          <w:sz w:val="20"/>
        </w:rPr>
        <w:t xml:space="preserve">The CsI(Tl) detector, one of the most efficient detectors on SPECT, offers </w:t>
      </w:r>
      <w:r w:rsidR="00485608">
        <w:rPr>
          <w:sz w:val="20"/>
        </w:rPr>
        <w:t>affordable</w:t>
      </w:r>
      <w:r w:rsidRPr="00D410AD">
        <w:rPr>
          <w:sz w:val="20"/>
        </w:rPr>
        <w:t xml:space="preserve">, power-efficient, compact, and portable measurements because it uses compact electronic components. CsI(Tl) is an inorganic scintillator that is very suitable for coupling with photodiodes because it has the highest light yield, quantum efficiency of 69% along the spectrum compared to 49% in NaI(Tl) </w:t>
      </w:r>
      <w:r w:rsidRPr="00D410AD">
        <w:rPr>
          <w:sz w:val="20"/>
        </w:rPr>
        <w:fldChar w:fldCharType="begin" w:fldLock="1"/>
      </w:r>
      <w:r w:rsidRPr="00D410AD">
        <w:rPr>
          <w:sz w:val="20"/>
        </w:rPr>
        <w:instrText>ADDIN CSL_CITATION {"citationItems":[{"id":"ITEM-1","itemData":{"ISSN":"2331-8422","abstract":"Single Photon Emission Computed Tomography (SPECT) is a non-invasive imaging modality, frequently used in myocardial perfusion imaging. The biggest challenges facing the majority of clinical SPECT systems are low sensitivity, poor resolution, and the relatively high radiation dose to the patient. New generation systems (GE Discovery, DSPECT) dedicated to cardiac imaging improve sensitivity by a factor of 5-8. The purpose of this work is to investigate a new gamma camera design with 21 hemi-ellipsoid detectors each with a pinhole collimator for Cardiac SPECT for further improvement in sensitivity, resolution, imaging time, and radiation dose. To evaluate the resolution of our hemi-ellipsoid system, GATE Monte-Carlo simulations were performed on point-sources, rod-sources, and NCAT phantoms. The purpose of point-source simulation is to obtain operating pinhole diameter by comparing the average FWHM (Full width half-maximum) of flat-detector system with curved hemi-ellipsoid detector system. The operating pinhole diameter for the curved hemi-ellipsoid detector was found to be 8.68mm. System resolution is evaluated using reconstructed rod-sources equally spaced within the region of interest. The results were compared with results of GE discovery system available in the literature. The system performance was also evaluated using the mathematical anthropomorphic NCAT (NURBSbased Cardiac Torso) phantom with a full (clinical) dose acquisition (25mCi) for 2 mins and an ultra-low-dose acquisition of 3mCi for 5.44mins.","author":[{"dropping-particle":"","family":"Bhusal","given":"Narayan","non-dropping-particle":"","parse-names":false,"suffix":""}],"id":"ITEM-1","issue":"December","issued":{"date-parts":[["2020"]]},"title":"Third Generation Gamma Camera SPECT System","type":"article-journal"},"uris":["http://www.mendeley.com/documents/?uuid=e7ddc03f-9fc7-45f1-87c4-a813b2badec4"]},{"id":"ITEM-2","itemData":{"abstract":"Telah dilakukan pengamatan dan perbandingan kinerja detektor CsI(Tl) pada spektroskopi gamma dengan detektor NaI(Tl). Sumber radiasi gamma yang digunakan adalah sumber radiasi standar yaitu Cs-137 dan Co-60 serta Eu-152 yang memiliki jumlah puncak spektrum tenaga gamma yang banyak. Pengamatan dengan menggunakan kedua detektor dilakukan pada kondisi maksimal dari peralatan spektroskopi yang digunakan. Dari spektrum tenaga gamma hasil perhitungan yang dilakukan diperoleh bahwa resolusi detektor NaI(Tl) lebih baik dibandingkan dengan detektor CsI(Tl), namun dari segi efisiensi menunjukkan bahwa detektor CsI(Tl) lebih baik dibandingkan dengan detektor NaI(Tl). Dari aspek lainnya, detektor CsI(Tl) masih memiliki kelebihan dibandingkan dengan detektor NaI(Tl) diantaranya lebih murah, ekonomis, praktis dalam penggunaannya karena bentuknya yang kecil dan kompak dan penyedia daya listrik yang digunakan lebih hemat yaitu ± 24 Volt untuk detektor CsI(Tl) sedangkan untuk detektor NaI(Tl) penyedia daya listrik yang digunakan berkisar diantara 500 Volt sampai 1200 Volt.","author":[{"dropping-particle":"","family":"Bahri","given":"Syamsul","non-dropping-particle":"","parse-names":false,"suffix":""}],"container-title":"Jurnal Gradien","id":"ITEM-2","issue":"1","issued":{"date-parts":[["2007"]]},"page":"204-209","title":"Perbandingan Kinerja Detektor NaI(Tl) Dengan Detektor CsI(Tl) Pada Spektroskopi Radiasi Gamma","type":"article-journal","volume":"3"},"uris":["http://www.mendeley.com/documents/?uuid=7da05953-0e14-4291-b039-334c0f34d39c"]}],"mendeley":{"formattedCitation":"[12], [13]","plainTextFormattedCitation":"[12], [13]","previouslyFormattedCitation":"[12], [13]"},"properties":{"noteIndex":0},"schema":"https://github.com/citation-style-language/schema/raw/master/csl-citation.json"}</w:instrText>
      </w:r>
      <w:r w:rsidRPr="00D410AD">
        <w:rPr>
          <w:sz w:val="20"/>
        </w:rPr>
        <w:fldChar w:fldCharType="separate"/>
      </w:r>
      <w:r w:rsidRPr="00D410AD">
        <w:rPr>
          <w:noProof/>
          <w:sz w:val="20"/>
        </w:rPr>
        <w:t>[12], [13]</w:t>
      </w:r>
      <w:r w:rsidRPr="00D410AD">
        <w:rPr>
          <w:sz w:val="20"/>
        </w:rPr>
        <w:fldChar w:fldCharType="end"/>
      </w:r>
      <w:r w:rsidRPr="00D410AD">
        <w:rPr>
          <w:sz w:val="20"/>
        </w:rPr>
        <w:t xml:space="preserve">. Based on spectrum shape and resolution, NaI(Tl) and CsI(Tl) detectors have nearly the same properties and performance. In terms of efficiency, considering the correction factor, the CsI(Tl) detector is superior to the NaI(Tl) detector. From several aspects, the CsI(Tl) detector also has advantages </w:t>
      </w:r>
      <w:r w:rsidRPr="00D410AD">
        <w:rPr>
          <w:sz w:val="20"/>
        </w:rPr>
        <w:lastRenderedPageBreak/>
        <w:t xml:space="preserve">over the NaI(Tl) detector, including being more economical and more practical because this detector is small and compact. The CsI(Tl) detector is more energy-efficient, which requires ± 24 Volts, while the NaI(Tl) detector requires 500 -1200 Volts of electrical power </w:t>
      </w:r>
      <w:r w:rsidRPr="00D410AD">
        <w:rPr>
          <w:sz w:val="20"/>
        </w:rPr>
        <w:fldChar w:fldCharType="begin" w:fldLock="1"/>
      </w:r>
      <w:r w:rsidRPr="00D410AD">
        <w:rPr>
          <w:sz w:val="20"/>
        </w:rPr>
        <w:instrText>ADDIN CSL_CITATION {"citationItems":[{"id":"ITEM-1","itemData":{"abstract":"Telah dilakukan pengamatan dan perbandingan kinerja detektor CsI(Tl) pada spektroskopi gamma dengan detektor NaI(Tl). Sumber radiasi gamma yang digunakan adalah sumber radiasi standar yaitu Cs-137 dan Co-60 serta Eu-152 yang memiliki jumlah puncak spektrum tenaga gamma yang banyak. Pengamatan dengan menggunakan kedua detektor dilakukan pada kondisi maksimal dari peralatan spektroskopi yang digunakan. Dari spektrum tenaga gamma hasil perhitungan yang dilakukan diperoleh bahwa resolusi detektor NaI(Tl) lebih baik dibandingkan dengan detektor CsI(Tl), namun dari segi efisiensi menunjukkan bahwa detektor CsI(Tl) lebih baik dibandingkan dengan detektor NaI(Tl). Dari aspek lainnya, detektor CsI(Tl) masih memiliki kelebihan dibandingkan dengan detektor NaI(Tl) diantaranya lebih murah, ekonomis, praktis dalam penggunaannya karena bentuknya yang kecil dan kompak dan penyedia daya listrik yang digunakan lebih hemat yaitu ± 24 Volt untuk detektor CsI(Tl) sedangkan untuk detektor NaI(Tl) penyedia daya listrik yang digunakan berkisar diantara 500 Volt sampai 1200 Volt.","author":[{"dropping-particle":"","family":"Bahri","given":"Syamsul","non-dropping-particle":"","parse-names":false,"suffix":""}],"container-title":"Jurnal Gradien","id":"ITEM-1","issue":"1","issued":{"date-parts":[["2007"]]},"page":"204-209","title":"Perbandingan Kinerja Detektor NaI(Tl) Dengan Detektor CsI(Tl) Pada Spektroskopi Radiasi Gamma","type":"article-journal","volume":"3"},"uris":["http://www.mendeley.com/documents/?uuid=7da05953-0e14-4291-b039-334c0f34d39c"]}],"mendeley":{"formattedCitation":"[13]","plainTextFormattedCitation":"[13]","previouslyFormattedCitation":"[13]"},"properties":{"noteIndex":0},"schema":"https://github.com/citation-style-language/schema/raw/master/csl-citation.json"}</w:instrText>
      </w:r>
      <w:r w:rsidRPr="00D410AD">
        <w:rPr>
          <w:sz w:val="20"/>
        </w:rPr>
        <w:fldChar w:fldCharType="separate"/>
      </w:r>
      <w:r w:rsidRPr="00D410AD">
        <w:rPr>
          <w:noProof/>
          <w:sz w:val="20"/>
        </w:rPr>
        <w:t>[13]</w:t>
      </w:r>
      <w:r w:rsidRPr="00D410AD">
        <w:rPr>
          <w:sz w:val="20"/>
        </w:rPr>
        <w:fldChar w:fldCharType="end"/>
      </w:r>
      <w:r w:rsidRPr="00D410AD">
        <w:rPr>
          <w:sz w:val="20"/>
        </w:rPr>
        <w:t xml:space="preserve">. The CsI(Tl) detector has currently been used on a prototype collar therapy indicator (COTI) which is a thyroid uptake therapy device with an output in the form of a count value </w:t>
      </w:r>
      <w:r w:rsidRPr="00D410AD">
        <w:rPr>
          <w:sz w:val="20"/>
        </w:rPr>
        <w:fldChar w:fldCharType="begin" w:fldLock="1"/>
      </w:r>
      <w:r w:rsidRPr="00D410AD">
        <w:rPr>
          <w:sz w:val="20"/>
        </w:rPr>
        <w:instrText>ADDIN CSL_CITATION {"citationItems":[{"id":"ITEM-1","itemData":{"DOI":"10.1007/s00411-020-00849-8","ISBN":"0123456789","ISSN":"14322099","PMID":"32449015","abstract":"COTI (collar therapy indicator) has been recently introduced for the detection of gamma rays with emphasis on thyroid investigations. The aim of this study was to test the feasibility of a prototype version of COTI including activity detectors with low sensitivity in performing thyroid uptake measurements for a large group of patients. Consequently, thyroid uptake tests were carried out for a total of 89 patients (22 males and 67 females; age: 44 ± 13 years) with thyroid cancer (n = 74), hyperthyroidism (n = 16) at 2 and 24 h after administration of 0.44–2 MBq of 131I. Eight individuals among the thyroid cancer patients were monitored up to 96 h after administration. The COTI device was equipped with two CsI (Tl) detectors, known as LoHi type, sensitive to activity ranges from 0.02 to 30 MBq of 131I. The uptake values from COTI were compared with those measured with a standard probe. It was found that the mean uptake of thyroid activity in thyroid cancer patients was 2.1 ± 1.3% at 2 h when measured with the standard probe, while it was 2.2 ± 1.2% when measured with COTI. In addition, the average uptake at 24 h after administration was 2.5 ± 3.2% and 3.2 ± 3.8% measured with COTI and the standard probe, respectively. A strong correlation was found at 24 h between the results obtained with COTI and the standard probe, while a weaker correlation was seen at 2 h. Overall, there was no significant difference between the results obtained with the standard probe and those obtained with COTI at both 2 and 24 h (Pvalue ≥ 0.05). Besides, 85% of the uptake values measured with COTI were less than those measured with the standard probe at the 24 h after administration. The average uptake value was 0.9 ± 0.8% after 96 h by COTI, and 1.4 ± 1.3% by the standard probe. Pertaining to the hyperthyroidism patients, COTI showed mean uptake values of 20 ± 16% and 23 ± 18% at 2 and 24 h, respectively. In contrast, the standard probe suggested higher mean uptake values of 26 ± 18% and 30 ± 22%, respectively. It is concluded that the prototype of COTI used in the present study has been proved to be a feasible and promising tool in thyroid investigations. It is noted, however, that the next COTI generation should include detectors equipped with collimator and energy discrimination.","author":[{"dropping-particle":"","family":"Abuqbeitah","given":"Mohammad","non-dropping-particle":"","parse-names":false,"suffix":""},{"dropping-particle":"","family":"Demir","given":"Mustafa","non-dropping-particle":"","parse-names":false,"suffix":""},{"dropping-particle":"","family":"Yeyin","given":"Nami","non-dropping-particle":"","parse-names":false,"suffix":""},{"dropping-particle":"","family":"Sager","given":"Sait","non-dropping-particle":"","parse-names":false,"suffix":""},{"dropping-particle":"","family":"Gray","given":"David","non-dropping-particle":"","parse-names":false,"suffix":""}],"container-title":"Radiation and Environmental Biophysics","id":"ITEM-1","issue":"3","issued":{"date-parts":[["2020"]]},"page":"553-558","publisher":"Springer Berlin Heidelberg","title":"Thyroid uptake test with portable device (COTI) after 131I tracer administration: proof of concept","type":"article-journal","volume":"59"},"uris":["http://www.mendeley.com/documents/?uuid=fcbd731c-2181-4b23-aa93-0496b29751c8"]}],"mendeley":{"formattedCitation":"[14]","plainTextFormattedCitation":"[14]","previouslyFormattedCitation":"[14]"},"properties":{"noteIndex":0},"schema":"https://github.com/citation-style-language/schema/raw/master/csl-citation.json"}</w:instrText>
      </w:r>
      <w:r w:rsidRPr="00D410AD">
        <w:rPr>
          <w:sz w:val="20"/>
        </w:rPr>
        <w:fldChar w:fldCharType="separate"/>
      </w:r>
      <w:r w:rsidRPr="00D410AD">
        <w:rPr>
          <w:noProof/>
          <w:sz w:val="20"/>
        </w:rPr>
        <w:t>[14]</w:t>
      </w:r>
      <w:r w:rsidRPr="00D410AD">
        <w:rPr>
          <w:sz w:val="20"/>
        </w:rPr>
        <w:fldChar w:fldCharType="end"/>
      </w:r>
      <w:r w:rsidRPr="00D410AD">
        <w:rPr>
          <w:sz w:val="20"/>
        </w:rPr>
        <w:t>.</w:t>
      </w:r>
    </w:p>
    <w:p w14:paraId="3A74BB6F" w14:textId="593F048F" w:rsidR="006B22CD" w:rsidRPr="00D410AD" w:rsidRDefault="006B22CD" w:rsidP="006B22CD">
      <w:pPr>
        <w:pStyle w:val="A09par"/>
        <w:spacing w:before="0"/>
        <w:ind w:firstLine="289"/>
        <w:rPr>
          <w:rFonts w:ascii="Times New Roman" w:hAnsi="Times New Roman"/>
          <w:sz w:val="20"/>
        </w:rPr>
      </w:pPr>
      <w:r w:rsidRPr="00D410AD">
        <w:rPr>
          <w:rFonts w:ascii="Times New Roman" w:hAnsi="Times New Roman"/>
          <w:sz w:val="20"/>
        </w:rPr>
        <w:t xml:space="preserve">The CsI(Tl) detector used in this study is the Atom Fast Scintillation 8*8*50 Crystal Radiation Detector, which is a small device consisting of an ionizing radiation detector (a scintillation detector in the form of a cesium iodide / CsI(Tl) crystal of size 4*7*35 mm, or 8*8*50 mm). The detector can detect a </w:t>
      </w:r>
      <w:r w:rsidR="00450789">
        <w:rPr>
          <w:rFonts w:ascii="Times New Roman" w:hAnsi="Times New Roman"/>
          <w:sz w:val="20"/>
        </w:rPr>
        <w:t>60 keV - 10 MeV power spectrum</w:t>
      </w:r>
      <w:r w:rsidRPr="00D410AD">
        <w:rPr>
          <w:rFonts w:ascii="Times New Roman" w:hAnsi="Times New Roman"/>
          <w:sz w:val="20"/>
        </w:rPr>
        <w:t xml:space="preserve">, with </w:t>
      </w:r>
      <w:r w:rsidR="00485608">
        <w:rPr>
          <w:rFonts w:ascii="Times New Roman" w:hAnsi="Times New Roman"/>
          <w:sz w:val="20"/>
        </w:rPr>
        <w:t>130 cps per Sv/hr detection sensitivity</w:t>
      </w:r>
      <w:r w:rsidRPr="00D410AD">
        <w:rPr>
          <w:rFonts w:ascii="Times New Roman" w:hAnsi="Times New Roman"/>
          <w:sz w:val="20"/>
        </w:rPr>
        <w:t>. Display and storage of sensor data via an application on the iOS or Android operating system. This detector</w:t>
      </w:r>
      <w:r w:rsidR="001027E9">
        <w:rPr>
          <w:rFonts w:ascii="Times New Roman" w:hAnsi="Times New Roman"/>
          <w:sz w:val="20"/>
        </w:rPr>
        <w:t xml:space="preserve"> is</w:t>
      </w:r>
      <w:r w:rsidRPr="00D410AD">
        <w:rPr>
          <w:rFonts w:ascii="Times New Roman" w:hAnsi="Times New Roman"/>
          <w:sz w:val="20"/>
        </w:rPr>
        <w:t xml:space="preserve"> equipped with a multiplier in the form of a </w:t>
      </w:r>
      <w:r w:rsidR="00450789">
        <w:rPr>
          <w:rFonts w:ascii="Times New Roman" w:hAnsi="Times New Roman"/>
          <w:sz w:val="20"/>
        </w:rPr>
        <w:t>s</w:t>
      </w:r>
      <w:r w:rsidRPr="00D410AD">
        <w:rPr>
          <w:rFonts w:ascii="Times New Roman" w:hAnsi="Times New Roman"/>
          <w:sz w:val="20"/>
        </w:rPr>
        <w:t xml:space="preserve">olid-state photomultiplier </w:t>
      </w:r>
      <w:r w:rsidR="00450789">
        <w:rPr>
          <w:rFonts w:ascii="Times New Roman" w:hAnsi="Times New Roman"/>
          <w:sz w:val="20"/>
        </w:rPr>
        <w:t xml:space="preserve">(SSPM) </w:t>
      </w:r>
      <w:r w:rsidRPr="00D410AD">
        <w:rPr>
          <w:rFonts w:ascii="Times New Roman" w:hAnsi="Times New Roman"/>
          <w:sz w:val="20"/>
        </w:rPr>
        <w:t xml:space="preserve">inside </w:t>
      </w:r>
      <w:r w:rsidRPr="00D410AD">
        <w:rPr>
          <w:rFonts w:ascii="Times New Roman" w:hAnsi="Times New Roman"/>
          <w:sz w:val="20"/>
        </w:rPr>
        <w:fldChar w:fldCharType="begin" w:fldLock="1"/>
      </w:r>
      <w:r w:rsidRPr="00D410AD">
        <w:rPr>
          <w:rFonts w:ascii="Times New Roman" w:hAnsi="Times New Roman"/>
          <w:sz w:val="20"/>
        </w:rPr>
        <w:instrText>ADDIN CSL_CITATION {"citationItems":[{"id":"ITEM-1","itemData":{"URL":"https://kbradar.org/a190925-instructions-and-specifications.html","author":[{"dropping-particle":"","family":"KBRADAR","given":"","non-dropping-particle":"","parse-names":false,"suffix":""}],"container-title":"kbradar.org","id":"ITEM-1","issued":{"date-parts":[["2017"]]},"title":"Instructions and specifications to the bluetooth radiation dosimeter Atom Fast for smartphone and tablet","type":"webpage"},"uris":["http://www.mendeley.com/documents/?uuid=d5ab9c17-357e-4ec0-976b-7fdc21c7e8ac"]}],"mendeley":{"formattedCitation":"[15]","plainTextFormattedCitation":"[15]","previouslyFormattedCitation":"[15]"},"properties":{"noteIndex":0},"schema":"https://github.com/citation-style-language/schema/raw/master/csl-citation.json"}</w:instrText>
      </w:r>
      <w:r w:rsidRPr="00D410AD">
        <w:rPr>
          <w:rFonts w:ascii="Times New Roman" w:hAnsi="Times New Roman"/>
          <w:sz w:val="20"/>
        </w:rPr>
        <w:fldChar w:fldCharType="separate"/>
      </w:r>
      <w:r w:rsidRPr="00D410AD">
        <w:rPr>
          <w:rFonts w:ascii="Times New Roman" w:hAnsi="Times New Roman"/>
          <w:noProof/>
          <w:sz w:val="20"/>
        </w:rPr>
        <w:t>[15]</w:t>
      </w:r>
      <w:r w:rsidRPr="00D410AD">
        <w:rPr>
          <w:rFonts w:ascii="Times New Roman" w:hAnsi="Times New Roman"/>
          <w:sz w:val="20"/>
        </w:rPr>
        <w:fldChar w:fldCharType="end"/>
      </w:r>
      <w:r w:rsidRPr="00D410AD">
        <w:rPr>
          <w:rFonts w:ascii="Times New Roman" w:hAnsi="Times New Roman"/>
          <w:sz w:val="20"/>
        </w:rPr>
        <w:t>.</w:t>
      </w:r>
    </w:p>
    <w:p w14:paraId="6B8B1105" w14:textId="0EBB7F76" w:rsidR="006B22CD" w:rsidRPr="00D410AD" w:rsidRDefault="006B22CD" w:rsidP="00BC5B3C">
      <w:pPr>
        <w:ind w:firstLine="289"/>
        <w:jc w:val="both"/>
        <w:rPr>
          <w:sz w:val="20"/>
        </w:rPr>
      </w:pPr>
      <w:r w:rsidRPr="00D410AD">
        <w:rPr>
          <w:sz w:val="20"/>
        </w:rPr>
        <w:t xml:space="preserve">SSPM is a silicon device capable of detecting single photons in the wavelength range from 0.4 to 28 m. SSPM is an essential part of a CsI(Tl) scintillation detector, where its role is as a substitute for PMT. SSPM is also known as a multi-pixel photon counter (MPPC). MPPC is defined as a solid-state photodetector made of hundreds or thousands of integrated single-photon avalanche diodes (SPADs) called microcells or pixels. In other words, SPAD is the smallest block or microcell of an SSPM. After detecting photons, SPAD generates electrical output signal </w:t>
      </w:r>
      <w:r w:rsidRPr="00D410AD">
        <w:rPr>
          <w:sz w:val="20"/>
        </w:rPr>
        <w:fldChar w:fldCharType="begin" w:fldLock="1"/>
      </w:r>
      <w:r w:rsidRPr="00D410AD">
        <w:rPr>
          <w:sz w:val="20"/>
        </w:rPr>
        <w:instrText>ADDIN CSL_CITATION {"citationItems":[{"id":"ITEM-1","itemData":{"DOI":"10.1016/s0168-8278(02)00155-1","ISSN":"01688278","author":[{"dropping-particle":"","family":"Petroff","given":"M. D","non-dropping-particle":"","parse-names":false,"suffix":""},{"dropping-particle":"","family":"Stapelbroek","given":"M. G","non-dropping-particle":"","parse-names":false,"suffix":""}],"container-title":"IEEE Transactions on Nuclear Science","id":"ITEM-1","issue":"1","issued":{"date-parts":[["1989"]]},"page":"158-162","title":"Photon-Counting Solid-STate Photomultiplier","type":"article-journal","volume":"36"},"uris":["http://www.mendeley.com/documents/?uuid=85ffb737-4a5b-4271-9579-ee5888a13d6f"]},{"id":"ITEM-2","itemData":{"DOI":"10.1088/1361-6560/ab7b2d","ISSN":"13616560","abstract":"The silicon photomultiplier (SiPM) is an established device of choice for a variety of applications, e.g. in time of flight positron emission tomography (TOF-PET), lifetime fluorescence spectroscopy, distance measurements in LIDAR applications, astrophysics, quantum-cryptography and related applications as well as in high energy physics (HEP). To fully utilize the exceptional performances of the SiPM, in particular its sensitivity down to single photon detection, the dynamic range and its intrinsically fast timing properties, a qualitative description and understanding of the main SiPM parameters and properties is necessary. These analyses consider the structure and the electrical model of a single photon avalanche diode (SPAD) and the integration in an array of SPADs, i.e. the SiPM. The discussion will include the front-end readout and the comparison between analog-SiPMs, where the array of SPADs is connected in parallel, and the digital SiPM, where each SPAD is read out and digitized by its own electronic channel. For several applications a further complete phenomenological view on SiPMs is necessary, defining several SiPM intrinsic parameters, i.e. gain fluctuation, afterpulsing, excess noise, dark count rate, prompt and delayed optical crosstalk, single photon time resolution (SPTR), photon detection effieciency (PDE) etc. These qualities of SiPMs influence directly and indirectly the time and energy resolution, for example in PET and HEP. This complete overview of all parameters allows one to draw solid conclusions on how best performances can be achieved for the various needs of the different applications.","author":[{"dropping-particle":"","family":"Gundacker","given":"Stefan","non-dropping-particle":"","parse-names":false,"suffix":""},{"dropping-particle":"","family":"Heering","given":"Arjan","non-dropping-particle":"","parse-names":false,"suffix":""}],"container-title":"Physics in Medicine and Biology","id":"ITEM-2","issue":"17","issued":{"date-parts":[["2020"]]},"title":"The silicon photomultiplier: Fundamentals and applications of a modern solid-state photon detector","type":"article-journal","volume":"65"},"uris":["http://www.mendeley.com/documents/?uuid=fea0070b-e28f-470c-b4f5-a9fff8f8ae35"]},{"id":"ITEM-3","itemData":{"author":[{"dropping-particle":"","family":"Putranto","given":"Dedy Septono Catur","non-dropping-particle":"","parse-names":false,"suffix":""}],"id":"ITEM-3","issued":{"date-parts":[["2011"]]},"publisher":"Universitas Indonesia","title":"Design and simulation nanoscale-based single photon avalanche diode on silicon","type":"thesis"},"uris":["http://www.mendeley.com/documents/?uuid=81609725-cf6b-4c0a-a0f9-cade211a4f16"]}],"mendeley":{"formattedCitation":"[16]–[18]","plainTextFormattedCitation":"[16]–[18]","previouslyFormattedCitation":"[16]–[18]"},"properties":{"noteIndex":0},"schema":"https://github.com/citation-style-language/schema/raw/master/csl-citation.json"}</w:instrText>
      </w:r>
      <w:r w:rsidRPr="00D410AD">
        <w:rPr>
          <w:sz w:val="20"/>
        </w:rPr>
        <w:fldChar w:fldCharType="separate"/>
      </w:r>
      <w:r w:rsidRPr="00D410AD">
        <w:rPr>
          <w:noProof/>
          <w:sz w:val="20"/>
        </w:rPr>
        <w:t>[16]–[18]</w:t>
      </w:r>
      <w:r w:rsidRPr="00D410AD">
        <w:rPr>
          <w:sz w:val="20"/>
        </w:rPr>
        <w:fldChar w:fldCharType="end"/>
      </w:r>
      <w:r w:rsidRPr="00D410AD">
        <w:rPr>
          <w:sz w:val="20"/>
        </w:rPr>
        <w:t>.</w:t>
      </w:r>
    </w:p>
    <w:p w14:paraId="105E41B6" w14:textId="1BF9C880" w:rsidR="006B22CD" w:rsidRPr="00D410AD" w:rsidRDefault="006B22CD" w:rsidP="00BC5B3C">
      <w:pPr>
        <w:ind w:firstLine="289"/>
        <w:jc w:val="both"/>
        <w:rPr>
          <w:sz w:val="20"/>
        </w:rPr>
      </w:pPr>
      <w:r w:rsidRPr="00D410AD">
        <w:rPr>
          <w:sz w:val="20"/>
        </w:rPr>
        <w:t xml:space="preserve">For the imaging process, PMT on gamma cameras can be replaced with SSPM (Solid State Photomultiplier), which can reduce the Anger dimensions of gamma cameras and determine the exact location of the gamma radiation beam. The solid-state technology allows the detection of lower radiation levels in the imaging process. It has the advantage of fast attenuation correction detection when using two detectors for transmission and emission </w:t>
      </w:r>
      <w:r w:rsidRPr="00D410AD">
        <w:rPr>
          <w:sz w:val="20"/>
        </w:rPr>
        <w:fldChar w:fldCharType="begin" w:fldLock="1"/>
      </w:r>
      <w:r w:rsidRPr="00D410AD">
        <w:rPr>
          <w:sz w:val="20"/>
        </w:rPr>
        <w:instrText>ADDIN CSL_CITATION {"citationItems":[{"id":"ITEM-1","itemData":{"DOI":"10.1186/s13550-018-0448-7","ISSN":"2191219X","abstract":"Background: The first solid-state silicon photomultiplier (SiPM) digital photon counting (DPC) clinical PET/CT system was introduced by Philips in recent years. The system differs from other SiPM-based PET/CT systems and uses lutetiumyttrium oxyorthosilicate (LYSO) scintillators directly coupled with their own individual SiPM DPC detectors eliminating the need for Anger-logic positioning decoding. We evaluated the system performance, characteristics, and stability of the next generation DPC clinical PET/CT based on NEMA NU2-2012 tests, NEMA NU2-2018 test (timing resolution) and human studies. Results: An energy resolution of 11.2% was measured. NEMA NU2-2012 tests revealed a spatial resolution (mm in FWHM) from (3.96, 4.01, 4.01) at 1 cm to (5.81, 5.83, 4.95) at 20 cm for (axial, radial, tangential). A 5.7 cps/kBq system sensitivity was measured. Peak noise equivalent count rate (NECR) and peak true count rate could not be determined as each exhibited increasing values up to the maximum activity measured (~ 1100 MBq). The maximum NECR was 171 kcps @ 50.5 kBq/mL, with corresponding scatter fraction of 30.8% and maximum trues of 681 kcps. NEMA hot sphere contrast ranged from 62% (10 mm) to 88% (22 mm), cold sphere contrast of 86% (28 mm) and 89% (37 mm). A timing resolution of 322 ps (22Na point source based) and 332 ps (NEMA NU2-2018) was obtained. It revealed &lt; 1% change in TOF timing and ± 0.4% change in energy resolution during 31-month stability monitoring. CQIE assessment found &lt; 3% axial variance in SUV. 100–60% recovery coefficients of activity concentration at various sphere sizes and contrast levels were measured. Conclusions: This scanner represents the first solid-state DPC PET/CT, a technologic leap beyond photomultipliers tubes and anger logic. It presents considerable improvements in system performance and characteristics with excellent time-of-flight capability compared to conventional photomultiplier tube (PMT) PET/CT systems. The DPC system leads to promising clinical opportunities with excellent image quality, lesion detectability, and diagnostic confidence.","author":[{"dropping-particle":"","family":"Zhang","given":"Jun","non-dropping-particle":"","parse-names":false,"suffix":""},{"dropping-particle":"","family":"Maniawski","given":"Piotr","non-dropping-particle":"","parse-names":false,"suffix":""},{"dropping-particle":"V.","family":"Knopp","given":"Michael","non-dropping-particle":"","parse-names":false,"suffix":""}],"container-title":"EJNMMI Research","id":"ITEM-1","issued":{"date-parts":[["2018"]]},"publisher":"EJNMMI Research","title":"Performance evaluation of the next generation solid-state digital photon counting PET/CT system","type":"article-journal","volume":"8"},"uris":["http://www.mendeley.com/documents/?uuid=bf1de39d-80d1-4afe-b3ae-d5b1a5f8e051"]}],"mendeley":{"formattedCitation":"[19]","plainTextFormattedCitation":"[19]","previouslyFormattedCitation":"[19]"},"properties":{"noteIndex":0},"schema":"https://github.com/citation-style-language/schema/raw/master/csl-citation.json"}</w:instrText>
      </w:r>
      <w:r w:rsidRPr="00D410AD">
        <w:rPr>
          <w:sz w:val="20"/>
        </w:rPr>
        <w:fldChar w:fldCharType="separate"/>
      </w:r>
      <w:r w:rsidRPr="00D410AD">
        <w:rPr>
          <w:noProof/>
          <w:sz w:val="20"/>
        </w:rPr>
        <w:t>[19]</w:t>
      </w:r>
      <w:r w:rsidRPr="00D410AD">
        <w:rPr>
          <w:sz w:val="20"/>
        </w:rPr>
        <w:fldChar w:fldCharType="end"/>
      </w:r>
      <w:r w:rsidRPr="00D410AD">
        <w:rPr>
          <w:sz w:val="20"/>
        </w:rPr>
        <w:t>.</w:t>
      </w:r>
    </w:p>
    <w:p w14:paraId="4920BF9F" w14:textId="7D43DB9C" w:rsidR="00974B1B" w:rsidRPr="006615A8" w:rsidRDefault="006B22CD" w:rsidP="006615A8">
      <w:pPr>
        <w:ind w:firstLine="289"/>
        <w:jc w:val="both"/>
        <w:rPr>
          <w:sz w:val="20"/>
        </w:rPr>
      </w:pPr>
      <w:r w:rsidRPr="00D410AD">
        <w:rPr>
          <w:sz w:val="20"/>
        </w:rPr>
        <w:t xml:space="preserve">This research is a preliminary study on </w:t>
      </w:r>
      <w:r w:rsidR="00485608">
        <w:rPr>
          <w:sz w:val="20"/>
        </w:rPr>
        <w:t>using</w:t>
      </w:r>
      <w:r w:rsidRPr="00D410AD">
        <w:rPr>
          <w:sz w:val="20"/>
        </w:rPr>
        <w:t xml:space="preserve"> a CsI(Tl) detector for imaging in a planar scintigraphy technique with a Cs-137 gamma source. The detector performance test was conducted using an efficiency and stability test using the chi-square test. Furthermore, using an acrylic phantom containing Cs-137, counting was carried out using a CsI(Tl) detector. The radiation count data were formed into a digital image using Python.</w:t>
      </w:r>
    </w:p>
    <w:p w14:paraId="02C3AB46" w14:textId="14CE87EA" w:rsidR="00974B1B" w:rsidRDefault="00974B1B" w:rsidP="00974B1B">
      <w:pPr>
        <w:pStyle w:val="Heading1"/>
      </w:pPr>
      <w:r>
        <w:t>METHOD</w:t>
      </w:r>
    </w:p>
    <w:p w14:paraId="5240D062" w14:textId="1F11C322" w:rsidR="00974B1B" w:rsidRPr="00761F58" w:rsidRDefault="00761F58" w:rsidP="00974B1B">
      <w:pPr>
        <w:pStyle w:val="Paragraph"/>
      </w:pPr>
      <w:r w:rsidRPr="00761F58">
        <w:t>The detector used is Atom Fast Scintillation which consists of an ionizing radiation detector (scintillation detector: crystal cesium iodide / CsI(Tl)</w:t>
      </w:r>
      <w:r>
        <w:t>) with</w:t>
      </w:r>
      <w:r w:rsidRPr="00761F58">
        <w:t xml:space="preserve"> size 8*8*50 mm. The source used is Cs-137, with a diameter of which is placed on an acrylic phantom measuring 70 </w:t>
      </w:r>
      <w:r w:rsidR="002270E4">
        <w:t>×</w:t>
      </w:r>
      <w:r w:rsidRPr="00761F58">
        <w:t xml:space="preserve"> 70 mm</w:t>
      </w:r>
      <w:r w:rsidRPr="00761F58">
        <w:rPr>
          <w:vertAlign w:val="superscript"/>
        </w:rPr>
        <w:t>2</w:t>
      </w:r>
      <w:r w:rsidRPr="00761F58">
        <w:t>. The Cs-137 source data used are shown in table 1.</w:t>
      </w:r>
    </w:p>
    <w:p w14:paraId="7A4DA394" w14:textId="77777777" w:rsidR="00761F58" w:rsidRDefault="00761F58" w:rsidP="00974B1B">
      <w:pPr>
        <w:pStyle w:val="Paragraph"/>
        <w:rPr>
          <w:color w:val="4F81BD" w:themeColor="accent1"/>
        </w:rPr>
      </w:pPr>
    </w:p>
    <w:p w14:paraId="129C9934" w14:textId="4B452699" w:rsidR="00761F58" w:rsidRDefault="00761F58" w:rsidP="00761F58">
      <w:pPr>
        <w:pStyle w:val="TableCaption"/>
      </w:pPr>
      <w:r w:rsidRPr="00761F58">
        <w:rPr>
          <w:b/>
          <w:bCs/>
        </w:rPr>
        <w:t>TABLE 1</w:t>
      </w:r>
      <w:r>
        <w:t xml:space="preserve">. Cs-137 source specification </w:t>
      </w:r>
    </w:p>
    <w:tbl>
      <w:tblPr>
        <w:tblW w:w="0" w:type="auto"/>
        <w:jc w:val="center"/>
        <w:tblBorders>
          <w:bottom w:val="single" w:sz="4" w:space="0" w:color="auto"/>
        </w:tblBorders>
        <w:tblLayout w:type="fixed"/>
        <w:tblLook w:val="0000" w:firstRow="0" w:lastRow="0" w:firstColumn="0" w:lastColumn="0" w:noHBand="0" w:noVBand="0"/>
      </w:tblPr>
      <w:tblGrid>
        <w:gridCol w:w="2790"/>
        <w:gridCol w:w="2790"/>
      </w:tblGrid>
      <w:tr w:rsidR="00761F58" w:rsidRPr="00075EA6" w14:paraId="4B1B312B" w14:textId="77777777" w:rsidTr="001E6D87">
        <w:trPr>
          <w:cantSplit/>
          <w:trHeight w:val="272"/>
          <w:jc w:val="center"/>
        </w:trPr>
        <w:tc>
          <w:tcPr>
            <w:tcW w:w="2790" w:type="dxa"/>
            <w:tcBorders>
              <w:top w:val="single" w:sz="4" w:space="0" w:color="auto"/>
              <w:bottom w:val="single" w:sz="4" w:space="0" w:color="auto"/>
            </w:tcBorders>
            <w:vAlign w:val="center"/>
          </w:tcPr>
          <w:p w14:paraId="304CEE2B" w14:textId="3C82AD4C" w:rsidR="00761F58" w:rsidRPr="00075EA6" w:rsidRDefault="00761F58" w:rsidP="001E6D87">
            <w:pPr>
              <w:jc w:val="center"/>
            </w:pPr>
            <w:r>
              <w:rPr>
                <w:b/>
                <w:sz w:val="18"/>
                <w:szCs w:val="18"/>
              </w:rPr>
              <w:t>Parameter</w:t>
            </w:r>
          </w:p>
        </w:tc>
        <w:tc>
          <w:tcPr>
            <w:tcW w:w="2790" w:type="dxa"/>
            <w:tcBorders>
              <w:top w:val="single" w:sz="4" w:space="0" w:color="auto"/>
              <w:bottom w:val="single" w:sz="4" w:space="0" w:color="auto"/>
            </w:tcBorders>
            <w:vAlign w:val="center"/>
          </w:tcPr>
          <w:p w14:paraId="1259ADD5" w14:textId="17D0FB73" w:rsidR="00761F58" w:rsidRPr="00075EA6" w:rsidRDefault="00761F58" w:rsidP="001E6D87">
            <w:pPr>
              <w:jc w:val="center"/>
              <w:rPr>
                <w:b/>
                <w:sz w:val="18"/>
                <w:szCs w:val="18"/>
              </w:rPr>
            </w:pPr>
            <w:r>
              <w:rPr>
                <w:b/>
                <w:sz w:val="18"/>
                <w:szCs w:val="18"/>
              </w:rPr>
              <w:t>Values</w:t>
            </w:r>
          </w:p>
        </w:tc>
      </w:tr>
      <w:tr w:rsidR="00761F58" w:rsidRPr="005A0E21" w14:paraId="76DB042B" w14:textId="77777777" w:rsidTr="001E6D87">
        <w:trPr>
          <w:cantSplit/>
          <w:jc w:val="center"/>
        </w:trPr>
        <w:tc>
          <w:tcPr>
            <w:tcW w:w="2790" w:type="dxa"/>
            <w:tcBorders>
              <w:top w:val="nil"/>
            </w:tcBorders>
          </w:tcPr>
          <w:p w14:paraId="6D3A1DC7" w14:textId="0EE9249B" w:rsidR="00761F58" w:rsidRPr="005A0E21" w:rsidRDefault="00761F58" w:rsidP="00761F58">
            <w:pPr>
              <w:pStyle w:val="Paragraph"/>
            </w:pPr>
            <w:r w:rsidRPr="002A7C03">
              <w:t>Half</w:t>
            </w:r>
            <w:r w:rsidR="00450789">
              <w:t>-</w:t>
            </w:r>
            <w:r w:rsidRPr="002A7C03">
              <w:t>life (T</w:t>
            </w:r>
            <w:r w:rsidRPr="002A7C03">
              <w:rPr>
                <w:vertAlign w:val="superscript"/>
              </w:rPr>
              <w:t>1/2</w:t>
            </w:r>
            <w:r w:rsidRPr="002A7C03">
              <w:t xml:space="preserve">) </w:t>
            </w:r>
          </w:p>
        </w:tc>
        <w:tc>
          <w:tcPr>
            <w:tcW w:w="2790" w:type="dxa"/>
            <w:tcBorders>
              <w:top w:val="nil"/>
            </w:tcBorders>
          </w:tcPr>
          <w:p w14:paraId="69954F5B" w14:textId="476BC115" w:rsidR="00761F58" w:rsidRPr="005A0E21" w:rsidRDefault="00761F58" w:rsidP="00761F58">
            <w:pPr>
              <w:jc w:val="center"/>
              <w:rPr>
                <w:sz w:val="20"/>
              </w:rPr>
            </w:pPr>
            <w:r w:rsidRPr="002A7C03">
              <w:rPr>
                <w:sz w:val="20"/>
              </w:rPr>
              <w:t>30.1 years</w:t>
            </w:r>
          </w:p>
        </w:tc>
      </w:tr>
      <w:tr w:rsidR="00761F58" w:rsidRPr="005A0E21" w14:paraId="66463B6C" w14:textId="77777777" w:rsidTr="001E6D87">
        <w:trPr>
          <w:cantSplit/>
          <w:jc w:val="center"/>
        </w:trPr>
        <w:tc>
          <w:tcPr>
            <w:tcW w:w="2790" w:type="dxa"/>
          </w:tcPr>
          <w:p w14:paraId="4B3BE61F" w14:textId="48E2AF80" w:rsidR="00761F58" w:rsidRPr="005A0E21" w:rsidRDefault="00761F58" w:rsidP="00761F58">
            <w:pPr>
              <w:pStyle w:val="Paragraph"/>
            </w:pPr>
            <w:r w:rsidRPr="002A7C03">
              <w:t>Initial activity (A</w:t>
            </w:r>
            <w:r w:rsidRPr="002A7C03">
              <w:rPr>
                <w:vertAlign w:val="subscript"/>
              </w:rPr>
              <w:t>0</w:t>
            </w:r>
            <w:r w:rsidRPr="002A7C03">
              <w:t>)</w:t>
            </w:r>
          </w:p>
        </w:tc>
        <w:tc>
          <w:tcPr>
            <w:tcW w:w="2790" w:type="dxa"/>
          </w:tcPr>
          <w:p w14:paraId="53F820E2" w14:textId="6DA9B2BE" w:rsidR="00761F58" w:rsidRPr="005A0E21" w:rsidRDefault="00761F58" w:rsidP="00761F58">
            <w:pPr>
              <w:jc w:val="center"/>
              <w:rPr>
                <w:sz w:val="20"/>
              </w:rPr>
            </w:pPr>
            <w:r w:rsidRPr="002A7C03">
              <w:rPr>
                <w:sz w:val="20"/>
              </w:rPr>
              <w:t>0,25µ Ci = 9250 Bq</w:t>
            </w:r>
          </w:p>
        </w:tc>
      </w:tr>
      <w:tr w:rsidR="00761F58" w:rsidRPr="005A0E21" w14:paraId="60E5E8D6" w14:textId="77777777" w:rsidTr="001E6D87">
        <w:trPr>
          <w:cantSplit/>
          <w:trHeight w:val="237"/>
          <w:jc w:val="center"/>
        </w:trPr>
        <w:tc>
          <w:tcPr>
            <w:tcW w:w="2790" w:type="dxa"/>
          </w:tcPr>
          <w:p w14:paraId="2F6282B7" w14:textId="5CE76C9B" w:rsidR="00761F58" w:rsidRPr="005A0E21" w:rsidRDefault="00761F58" w:rsidP="00761F58">
            <w:pPr>
              <w:pStyle w:val="Paragraph"/>
            </w:pPr>
            <w:r w:rsidRPr="002A7C03">
              <w:t xml:space="preserve">Current activity </w:t>
            </w:r>
          </w:p>
        </w:tc>
        <w:tc>
          <w:tcPr>
            <w:tcW w:w="2790" w:type="dxa"/>
          </w:tcPr>
          <w:p w14:paraId="713D7035" w14:textId="4CE0D200" w:rsidR="00761F58" w:rsidRPr="005A0E21" w:rsidRDefault="00761F58" w:rsidP="00761F58">
            <w:pPr>
              <w:jc w:val="center"/>
              <w:rPr>
                <w:sz w:val="20"/>
              </w:rPr>
            </w:pPr>
            <w:r w:rsidRPr="002A7C03">
              <w:rPr>
                <w:sz w:val="20"/>
              </w:rPr>
              <w:t>0,23 µ</w:t>
            </w:r>
            <w:r w:rsidRPr="002A7C03">
              <w:rPr>
                <w:rFonts w:ascii="Cambria Math" w:hAnsi="Cambria Math" w:cs="Cambria Math"/>
                <w:sz w:val="20"/>
              </w:rPr>
              <w:t>𝐶𝑖</w:t>
            </w:r>
            <w:r w:rsidRPr="002A7C03">
              <w:rPr>
                <w:sz w:val="20"/>
              </w:rPr>
              <w:t xml:space="preserve"> = 8511,02 Bq</w:t>
            </w:r>
          </w:p>
        </w:tc>
      </w:tr>
      <w:tr w:rsidR="00761F58" w:rsidRPr="005A0E21" w14:paraId="150F502E" w14:textId="77777777" w:rsidTr="001E6D87">
        <w:trPr>
          <w:cantSplit/>
          <w:trHeight w:val="237"/>
          <w:jc w:val="center"/>
        </w:trPr>
        <w:tc>
          <w:tcPr>
            <w:tcW w:w="2790" w:type="dxa"/>
          </w:tcPr>
          <w:p w14:paraId="3B944F18" w14:textId="353E4D27" w:rsidR="00761F58" w:rsidRPr="005A0E21" w:rsidRDefault="00761F58" w:rsidP="00761F58">
            <w:pPr>
              <w:pStyle w:val="Paragraph"/>
            </w:pPr>
            <w:r w:rsidRPr="002A7C03">
              <w:t>Diameter</w:t>
            </w:r>
          </w:p>
        </w:tc>
        <w:tc>
          <w:tcPr>
            <w:tcW w:w="2790" w:type="dxa"/>
          </w:tcPr>
          <w:p w14:paraId="43AB1346" w14:textId="67E518F9" w:rsidR="00761F58" w:rsidRPr="005A0E21" w:rsidRDefault="00761F58" w:rsidP="00761F58">
            <w:pPr>
              <w:jc w:val="center"/>
              <w:rPr>
                <w:sz w:val="20"/>
              </w:rPr>
            </w:pPr>
            <w:r w:rsidRPr="002A7C03">
              <w:rPr>
                <w:sz w:val="20"/>
              </w:rPr>
              <w:t>25 mm</w:t>
            </w:r>
          </w:p>
        </w:tc>
      </w:tr>
      <w:tr w:rsidR="00761F58" w:rsidRPr="005A0E21" w14:paraId="4D5DE25F" w14:textId="77777777" w:rsidTr="001E6D87">
        <w:trPr>
          <w:cantSplit/>
          <w:trHeight w:val="237"/>
          <w:jc w:val="center"/>
        </w:trPr>
        <w:tc>
          <w:tcPr>
            <w:tcW w:w="2790" w:type="dxa"/>
          </w:tcPr>
          <w:p w14:paraId="7475880C" w14:textId="322298A7" w:rsidR="00761F58" w:rsidRPr="005A0E21" w:rsidRDefault="00761F58" w:rsidP="00761F58">
            <w:pPr>
              <w:pStyle w:val="Paragraph"/>
            </w:pPr>
            <w:r w:rsidRPr="002A7C03">
              <w:t>Luas</w:t>
            </w:r>
          </w:p>
        </w:tc>
        <w:tc>
          <w:tcPr>
            <w:tcW w:w="2790" w:type="dxa"/>
          </w:tcPr>
          <w:p w14:paraId="5BF12679" w14:textId="5AFBF387" w:rsidR="00761F58" w:rsidRPr="005A0E21" w:rsidRDefault="00761F58" w:rsidP="00761F58">
            <w:pPr>
              <w:jc w:val="center"/>
              <w:rPr>
                <w:sz w:val="20"/>
              </w:rPr>
            </w:pPr>
            <w:r w:rsidRPr="002A7C03">
              <w:rPr>
                <w:rFonts w:eastAsia="MS Mincho"/>
                <w:sz w:val="20"/>
              </w:rPr>
              <w:t>490,63 mm</w:t>
            </w:r>
            <w:r w:rsidRPr="002A7C03">
              <w:rPr>
                <w:rFonts w:eastAsia="MS Mincho"/>
                <w:sz w:val="20"/>
                <w:vertAlign w:val="superscript"/>
              </w:rPr>
              <w:t>2</w:t>
            </w:r>
          </w:p>
        </w:tc>
      </w:tr>
    </w:tbl>
    <w:p w14:paraId="2707B492" w14:textId="77777777" w:rsidR="00761F58" w:rsidRDefault="00761F58" w:rsidP="00974B1B">
      <w:pPr>
        <w:pStyle w:val="Paragraph"/>
        <w:rPr>
          <w:color w:val="4F81BD" w:themeColor="accent1"/>
        </w:rPr>
      </w:pPr>
    </w:p>
    <w:p w14:paraId="6573C166" w14:textId="4D3D7D9F" w:rsidR="00761F58" w:rsidRDefault="00761F58" w:rsidP="00450789">
      <w:pPr>
        <w:pStyle w:val="Paragraph"/>
      </w:pPr>
      <w:r w:rsidRPr="00761F58">
        <w:t xml:space="preserve">The radiation beam is captured by a CsI(Tl) scintillation detector provided with a lead (Pb) collimator with a thickness of 2 mm and a collimator hole with a diameter of 2 mm. The output of the signal processing circuit system is a result of the count from the source in the test object. </w:t>
      </w:r>
    </w:p>
    <w:p w14:paraId="400C2C42" w14:textId="524A9804" w:rsidR="00761F58" w:rsidRDefault="00761F58" w:rsidP="00761F58">
      <w:pPr>
        <w:pStyle w:val="Heading2"/>
      </w:pPr>
      <w:r>
        <w:t xml:space="preserve">Detector to Source Ideal Distance </w:t>
      </w:r>
    </w:p>
    <w:p w14:paraId="47FADD8A" w14:textId="212E035C" w:rsidR="00865E36" w:rsidRDefault="00761F58" w:rsidP="00761F58">
      <w:pPr>
        <w:pStyle w:val="Paragraph"/>
      </w:pPr>
      <w:r w:rsidRPr="00761F58">
        <w:t xml:space="preserve">This test aims to determine the ability of the detector used to produce a sound (non-uniform) distribution of count values to produce a clear image. </w:t>
      </w:r>
      <w:r w:rsidR="00865E36" w:rsidRPr="00761F58">
        <w:t>The test is carried out by determining the detection limit and quantization limit.</w:t>
      </w:r>
      <w:r w:rsidR="00450789">
        <w:t xml:space="preserve"> </w:t>
      </w:r>
      <w:r w:rsidR="00865E36">
        <w:t xml:space="preserve">The block diagram of the test is shown in Figure </w:t>
      </w:r>
      <w:r w:rsidR="005518F9">
        <w:t>1</w:t>
      </w:r>
      <w:r w:rsidR="00865E36">
        <w:t>.</w:t>
      </w:r>
    </w:p>
    <w:p w14:paraId="0D1D4B89" w14:textId="44A0C02C" w:rsidR="00865E36" w:rsidRDefault="00865E36" w:rsidP="00865E36">
      <w:pPr>
        <w:pStyle w:val="Paragraph"/>
        <w:jc w:val="center"/>
      </w:pPr>
      <w:r>
        <w:rPr>
          <w:noProof/>
        </w:rPr>
        <w:lastRenderedPageBreak/>
        <w:drawing>
          <wp:inline distT="0" distB="0" distL="0" distR="0" wp14:anchorId="2C07D84A" wp14:editId="673057AF">
            <wp:extent cx="4606371" cy="1519674"/>
            <wp:effectExtent l="0" t="0" r="3810" b="444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589" b="12746"/>
                    <a:stretch/>
                  </pic:blipFill>
                  <pic:spPr bwMode="auto">
                    <a:xfrm>
                      <a:off x="0" y="0"/>
                      <a:ext cx="4612858" cy="1521814"/>
                    </a:xfrm>
                    <a:prstGeom prst="rect">
                      <a:avLst/>
                    </a:prstGeom>
                    <a:noFill/>
                    <a:ln>
                      <a:noFill/>
                    </a:ln>
                    <a:extLst>
                      <a:ext uri="{53640926-AAD7-44D8-BBD7-CCE9431645EC}">
                        <a14:shadowObscured xmlns:a14="http://schemas.microsoft.com/office/drawing/2010/main"/>
                      </a:ext>
                    </a:extLst>
                  </pic:spPr>
                </pic:pic>
              </a:graphicData>
            </a:graphic>
          </wp:inline>
        </w:drawing>
      </w:r>
    </w:p>
    <w:p w14:paraId="65F92B87" w14:textId="424964DD" w:rsidR="00865E36" w:rsidRDefault="00865E36" w:rsidP="00A6790A">
      <w:pPr>
        <w:pStyle w:val="FigureCaption"/>
      </w:pPr>
      <w:r w:rsidRPr="00A6790A">
        <w:rPr>
          <w:b/>
          <w:bCs/>
        </w:rPr>
        <w:t xml:space="preserve">FIGURE </w:t>
      </w:r>
      <w:r w:rsidR="005518F9">
        <w:rPr>
          <w:b/>
          <w:bCs/>
        </w:rPr>
        <w:t>1</w:t>
      </w:r>
      <w:r w:rsidRPr="00A6790A">
        <w:rPr>
          <w:b/>
          <w:bCs/>
        </w:rPr>
        <w:t>.</w:t>
      </w:r>
      <w:r>
        <w:t xml:space="preserve"> </w:t>
      </w:r>
      <w:r w:rsidR="00A6790A">
        <w:t>Block diagram of detector testing</w:t>
      </w:r>
    </w:p>
    <w:p w14:paraId="40D5BB9F" w14:textId="77777777" w:rsidR="00A6790A" w:rsidRDefault="00A6790A" w:rsidP="00761F58">
      <w:pPr>
        <w:pStyle w:val="Paragraph"/>
      </w:pPr>
    </w:p>
    <w:p w14:paraId="12B6C333" w14:textId="127BC2E4" w:rsidR="00761F58" w:rsidRPr="00761F58" w:rsidRDefault="00761F58" w:rsidP="00761F58">
      <w:pPr>
        <w:pStyle w:val="Paragraph"/>
      </w:pPr>
      <w:r w:rsidRPr="00761F58">
        <w:t>The detection limit is a limit value used to find out whether a “detected” radioactive substance is present in the sample being</w:t>
      </w:r>
      <w:r w:rsidR="00485608">
        <w:t xml:space="preserve"> </w:t>
      </w:r>
      <w:r w:rsidRPr="00761F58">
        <w:t>measured or not. The detection limit value is determined by the deviation of the background measurement with a confidence level of 3 sigmas. Determination of detection limit using equation (1)</w:t>
      </w:r>
    </w:p>
    <w:p w14:paraId="5F6E7FF1" w14:textId="04730A5E" w:rsidR="00761F58" w:rsidRPr="009822B8" w:rsidRDefault="00761F58" w:rsidP="009822B8">
      <w:pPr>
        <w:pStyle w:val="Paragraph"/>
        <w:ind w:firstLine="0"/>
        <w:jc w:val="right"/>
      </w:pPr>
      <m:oMath>
        <m:r>
          <w:rPr>
            <w:rFonts w:ascii="Cambria Math" w:hAnsi="Cambria Math"/>
          </w:rPr>
          <m:t>LOD</m:t>
        </m:r>
        <m:r>
          <m:rPr>
            <m:sty m:val="p"/>
          </m:rPr>
          <w:rPr>
            <w:rFonts w:ascii="Cambria Math" w:hAnsi="Cambria Math"/>
          </w:rPr>
          <m:t>=3</m:t>
        </m:r>
        <m:r>
          <w:rPr>
            <w:rFonts w:ascii="Cambria Math" w:hAnsi="Cambria Math"/>
          </w:rPr>
          <m:t>σ</m:t>
        </m:r>
        <m:r>
          <m:rPr>
            <m:sty m:val="p"/>
          </m:rPr>
          <w:rPr>
            <w:rFonts w:ascii="Cambria Math" w:hAnsi="Cambria Math"/>
          </w:rPr>
          <m:t>=3</m:t>
        </m:r>
        <m:rad>
          <m:radPr>
            <m:degHide m:val="1"/>
            <m:ctrlPr>
              <w:rPr>
                <w:rFonts w:ascii="Cambria Math" w:hAnsi="Cambria Math"/>
              </w:rPr>
            </m:ctrlPr>
          </m:radPr>
          <m:deg/>
          <m:e>
            <m:sSub>
              <m:sSubPr>
                <m:ctrlPr>
                  <w:rPr>
                    <w:rFonts w:ascii="Cambria Math" w:hAnsi="Cambria Math"/>
                  </w:rPr>
                </m:ctrlPr>
              </m:sSubPr>
              <m:e>
                <m:r>
                  <w:rPr>
                    <w:rFonts w:ascii="Cambria Math" w:hAnsi="Cambria Math"/>
                  </w:rPr>
                  <m:t>R</m:t>
                </m:r>
              </m:e>
              <m:sub>
                <m:r>
                  <w:rPr>
                    <w:rFonts w:ascii="Cambria Math" w:hAnsi="Cambria Math"/>
                  </w:rPr>
                  <m:t>B</m:t>
                </m:r>
              </m:sub>
            </m:sSub>
          </m:e>
        </m:rad>
      </m:oMath>
      <w:r w:rsidR="009822B8">
        <w:tab/>
      </w:r>
      <w:r w:rsidR="009822B8">
        <w:tab/>
      </w:r>
      <w:r w:rsidR="009822B8">
        <w:tab/>
      </w:r>
      <w:r w:rsidR="009822B8">
        <w:tab/>
      </w:r>
      <w:r w:rsidR="009822B8">
        <w:tab/>
        <w:t>(1)</w:t>
      </w:r>
    </w:p>
    <w:p w14:paraId="4B7EED9D" w14:textId="693F8BCF" w:rsidR="00761F58" w:rsidRPr="00761F58" w:rsidRDefault="00761F58" w:rsidP="00761F58">
      <w:pPr>
        <w:pStyle w:val="Paragraph"/>
        <w:ind w:firstLine="0"/>
      </w:pPr>
      <w:r w:rsidRPr="00761F58">
        <w:t xml:space="preserve">where </w:t>
      </w:r>
      <m:oMath>
        <m:sSub>
          <m:sSubPr>
            <m:ctrlPr>
              <w:rPr>
                <w:rFonts w:ascii="Cambria Math" w:hAnsi="Cambria Math"/>
              </w:rPr>
            </m:ctrlPr>
          </m:sSubPr>
          <m:e>
            <m:r>
              <w:rPr>
                <w:rFonts w:ascii="Cambria Math" w:hAnsi="Cambria Math"/>
              </w:rPr>
              <m:t>R</m:t>
            </m:r>
          </m:e>
          <m:sub>
            <m:r>
              <w:rPr>
                <w:rFonts w:ascii="Cambria Math" w:hAnsi="Cambria Math"/>
              </w:rPr>
              <m:t>B</m:t>
            </m:r>
          </m:sub>
        </m:sSub>
      </m:oMath>
      <w:r w:rsidRPr="00761F58">
        <w:t xml:space="preserve"> </w:t>
      </w:r>
      <w:r w:rsidR="00450789">
        <w:t xml:space="preserve">is </w:t>
      </w:r>
      <w:r w:rsidRPr="00761F58">
        <w:t>the background count rate.</w:t>
      </w:r>
    </w:p>
    <w:p w14:paraId="21A258B4" w14:textId="37981647" w:rsidR="00761F58" w:rsidRPr="00761F58" w:rsidRDefault="00761F58" w:rsidP="00485608">
      <w:pPr>
        <w:pStyle w:val="Paragraph"/>
      </w:pPr>
      <w:r w:rsidRPr="00761F58">
        <w:t>While the</w:t>
      </w:r>
      <w:r w:rsidR="008863B9">
        <w:t xml:space="preserve"> </w:t>
      </w:r>
      <w:r w:rsidRPr="00761F58">
        <w:t>limit</w:t>
      </w:r>
      <w:r w:rsidR="008863B9">
        <w:t xml:space="preserve"> of quantization</w:t>
      </w:r>
      <w:r w:rsidRPr="00761F58">
        <w:t xml:space="preserve"> is a limit value used to determine whether the value of the measurement results can be expressed quantitatively or not. The quantization limit value must be determined by convention, from one country or laboratory to another country or laboratory with a different value. </w:t>
      </w:r>
      <w:r w:rsidR="00485608">
        <w:t>The most widely used quantization limit value is the background measurement deviation with a confidence level of 7 sigmas</w:t>
      </w:r>
      <w:r w:rsidRPr="00761F58">
        <w:t xml:space="preserve"> (2) </w:t>
      </w:r>
      <w:r w:rsidRPr="00761F58">
        <w:fldChar w:fldCharType="begin" w:fldLock="1"/>
      </w:r>
      <w:r w:rsidRPr="00761F58">
        <w:instrText>ADDIN CSL_CITATION {"citationItems":[{"id":"ITEM-1","itemData":{"author":[{"dropping-particle":"","family":"Anonym","given":"","non-dropping-particle":"","parse-names":false,"suffix":""}],"id":"ITEM-1","issued":{"date-parts":[["2017"]]},"page":"1-15","title":"Statistik Pencacahan Radiasi","type":"article-journal"},"uris":["http://www.mendeley.com/documents/?uuid=c78e4492-f3bf-44f5-8f55-1feaae05c193"]}],"mendeley":{"formattedCitation":"[20]","plainTextFormattedCitation":"[20]","previouslyFormattedCitation":"[20]"},"properties":{"noteIndex":0},"schema":"https://github.com/citation-style-language/schema/raw/master/csl-citation.json"}</w:instrText>
      </w:r>
      <w:r w:rsidRPr="00761F58">
        <w:fldChar w:fldCharType="separate"/>
      </w:r>
      <w:r w:rsidRPr="00761F58">
        <w:rPr>
          <w:noProof/>
        </w:rPr>
        <w:t>[20]</w:t>
      </w:r>
      <w:r w:rsidRPr="00761F58">
        <w:fldChar w:fldCharType="end"/>
      </w:r>
      <w:r w:rsidRPr="00761F58">
        <w:t>.</w:t>
      </w:r>
    </w:p>
    <w:p w14:paraId="6C31AEE8" w14:textId="4451C6FA" w:rsidR="00761F58" w:rsidRPr="00761F58" w:rsidRDefault="00761F58" w:rsidP="009822B8">
      <w:pPr>
        <w:pStyle w:val="Paragraph"/>
        <w:ind w:firstLine="0"/>
        <w:jc w:val="right"/>
      </w:pPr>
      <m:oMath>
        <m:r>
          <w:rPr>
            <w:rFonts w:ascii="Cambria Math" w:hAnsi="Cambria Math"/>
          </w:rPr>
          <m:t>LOQ</m:t>
        </m:r>
        <m:r>
          <m:rPr>
            <m:sty m:val="p"/>
          </m:rPr>
          <w:rPr>
            <w:rFonts w:ascii="Cambria Math" w:hAnsi="Cambria Math"/>
          </w:rPr>
          <m:t>=7</m:t>
        </m:r>
        <m:r>
          <w:rPr>
            <w:rFonts w:ascii="Cambria Math" w:hAnsi="Cambria Math"/>
          </w:rPr>
          <m:t>σ</m:t>
        </m:r>
        <m:r>
          <m:rPr>
            <m:sty m:val="p"/>
          </m:rPr>
          <w:rPr>
            <w:rFonts w:ascii="Cambria Math" w:hAnsi="Cambria Math"/>
          </w:rPr>
          <m:t>=7</m:t>
        </m:r>
        <m:rad>
          <m:radPr>
            <m:degHide m:val="1"/>
            <m:ctrlPr>
              <w:rPr>
                <w:rFonts w:ascii="Cambria Math" w:hAnsi="Cambria Math"/>
              </w:rPr>
            </m:ctrlPr>
          </m:radPr>
          <m:deg/>
          <m:e>
            <m:sSub>
              <m:sSubPr>
                <m:ctrlPr>
                  <w:rPr>
                    <w:rFonts w:ascii="Cambria Math" w:hAnsi="Cambria Math"/>
                  </w:rPr>
                </m:ctrlPr>
              </m:sSubPr>
              <m:e>
                <m:r>
                  <w:rPr>
                    <w:rFonts w:ascii="Cambria Math" w:hAnsi="Cambria Math"/>
                  </w:rPr>
                  <m:t>R</m:t>
                </m:r>
              </m:e>
              <m:sub>
                <m:r>
                  <w:rPr>
                    <w:rFonts w:ascii="Cambria Math" w:hAnsi="Cambria Math"/>
                  </w:rPr>
                  <m:t>B</m:t>
                </m:r>
              </m:sub>
            </m:sSub>
          </m:e>
        </m:rad>
      </m:oMath>
      <w:r w:rsidR="009822B8">
        <w:tab/>
      </w:r>
      <w:r w:rsidR="009822B8">
        <w:tab/>
      </w:r>
      <w:r w:rsidR="009822B8">
        <w:tab/>
      </w:r>
      <w:r w:rsidR="009822B8">
        <w:tab/>
      </w:r>
      <w:r w:rsidR="009822B8">
        <w:tab/>
        <w:t>(2)</w:t>
      </w:r>
    </w:p>
    <w:p w14:paraId="6864B53A" w14:textId="609B7436" w:rsidR="00761F58" w:rsidRPr="00761F58" w:rsidRDefault="00761F58" w:rsidP="00761F58">
      <w:pPr>
        <w:pStyle w:val="Paragraph"/>
      </w:pPr>
      <w:r w:rsidRPr="00761F58">
        <w:t xml:space="preserve">In addition to the </w:t>
      </w:r>
      <w:r w:rsidR="008863B9">
        <w:t xml:space="preserve">limit of </w:t>
      </w:r>
      <w:r w:rsidRPr="00761F58">
        <w:t xml:space="preserve">detection and </w:t>
      </w:r>
      <w:r w:rsidR="008863B9" w:rsidRPr="00761F58">
        <w:t>limit</w:t>
      </w:r>
      <w:r w:rsidR="008863B9">
        <w:t xml:space="preserve"> of quantization</w:t>
      </w:r>
      <w:r w:rsidRPr="00761F58">
        <w:t>, an alternative method can be used to measure the accuracy of the estimated results of a mode, namely the Root Mean Square Error (RMSE). A low RMSE value indicates that the variation in the value produced by a forecast model is close to the variation in the observed value. The RMSE value is obtained through equation (3)</w:t>
      </w:r>
      <w:r w:rsidR="00485608">
        <w:t xml:space="preserve"> </w:t>
      </w:r>
      <w:r w:rsidRPr="00761F58">
        <w:fldChar w:fldCharType="begin" w:fldLock="1"/>
      </w:r>
      <w:r w:rsidRPr="00761F58">
        <w:instrText>ADDIN CSL_CITATION {"citationItems":[{"id":"ITEM-1","itemData":{"DOI":"10.2307/2345077","ISSN":"00359238","abstract":"In this study, the authors used 111 time series to examine the accuracy of various forecasting methods, particularly time-series methods. The study shows, at least for time series, why some methods achieve greater accuracy than others for different types of data. The authors offer some explanation of the seemingly conflicting conclusions of past empirical research on the accuracy of forecasting. One novel contribution of the paper is the development of regression equations expressing accuracy as a function of factors such as randomness, seasonality, trend-cycle and the number of data points describing the series. Surprisingly, the study shows that for these 111 series simpler methods perform well in comparison to the more complex and statistically sophisticated ARMA models.","author":[{"dropping-particle":"","family":"Makridakis","given":"Spyros","non-dropping-particle":"","parse-names":false,"suffix":""},{"dropping-particle":"","family":"Hibon","given":"Michele","non-dropping-particle":"","parse-names":false,"suffix":""},{"dropping-particle":"","family":"Moser","given":"Claus","non-dropping-particle":"","parse-names":false,"suffix":""}],"container-title":"Journal of the Royal Statistical Society. Series A (General)","id":"ITEM-1","issue":"2","issued":{"date-parts":[["1982"]]},"page":"111-153","title":"Accuracy of Extrapolation (Time Series) Methods: Results of a Forecasting Competition","type":"article-journal","volume":"1"},"uris":["http://www.mendeley.com/documents/?uuid=85d7006d-e309-49e2-9909-36396d0eb84c"]}],"mendeley":{"formattedCitation":"[21]","plainTextFormattedCitation":"[21]","previouslyFormattedCitation":"[21]"},"properties":{"noteIndex":0},"schema":"https://github.com/citation-style-language/schema/raw/master/csl-citation.json"}</w:instrText>
      </w:r>
      <w:r w:rsidRPr="00761F58">
        <w:fldChar w:fldCharType="separate"/>
      </w:r>
      <w:r w:rsidRPr="00761F58">
        <w:rPr>
          <w:noProof/>
        </w:rPr>
        <w:t>[21]</w:t>
      </w:r>
      <w:r w:rsidRPr="00761F58">
        <w:fldChar w:fldCharType="end"/>
      </w:r>
      <w:r w:rsidRPr="00761F58">
        <w:t>.</w:t>
      </w:r>
    </w:p>
    <w:p w14:paraId="52F203F9" w14:textId="12EDBEFF" w:rsidR="00761F58" w:rsidRPr="009822B8" w:rsidRDefault="00761F58" w:rsidP="009822B8">
      <w:pPr>
        <w:pStyle w:val="Paragraph"/>
        <w:ind w:hanging="142"/>
        <w:jc w:val="right"/>
      </w:pPr>
      <m:oMath>
        <m:r>
          <w:rPr>
            <w:rFonts w:ascii="Cambria Math" w:hAnsi="Cambria Math"/>
          </w:rPr>
          <m:t>RMSE</m:t>
        </m:r>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i</m:t>
                        </m:r>
                      </m:sub>
                    </m:sSub>
                    <m:r>
                      <m:rPr>
                        <m:sty m:val="p"/>
                      </m:rPr>
                      <w:rPr>
                        <w:rFonts w:ascii="Cambria Math" w:hAnsi="Cambria Math"/>
                      </w:rPr>
                      <m:t>-</m:t>
                    </m:r>
                    <m:acc>
                      <m:accPr>
                        <m:chr m:val="̅"/>
                        <m:ctrlPr>
                          <w:rPr>
                            <w:rFonts w:ascii="Cambria Math" w:hAnsi="Cambria Math"/>
                          </w:rPr>
                        </m:ctrlPr>
                      </m:accPr>
                      <m:e>
                        <m:r>
                          <w:rPr>
                            <w:rFonts w:ascii="Cambria Math" w:hAnsi="Cambria Math"/>
                          </w:rPr>
                          <m:t>C</m:t>
                        </m:r>
                      </m:e>
                    </m:acc>
                  </m:e>
                </m:nary>
              </m:num>
              <m:den>
                <m:r>
                  <w:rPr>
                    <w:rFonts w:ascii="Cambria Math" w:hAnsi="Cambria Math"/>
                  </w:rPr>
                  <m:t>n</m:t>
                </m:r>
              </m:den>
            </m:f>
          </m:e>
        </m:rad>
      </m:oMath>
      <w:r w:rsidR="009822B8">
        <w:tab/>
      </w:r>
      <w:r w:rsidR="009822B8">
        <w:tab/>
      </w:r>
      <w:r w:rsidR="009822B8">
        <w:tab/>
      </w:r>
      <w:r w:rsidR="009822B8">
        <w:tab/>
      </w:r>
      <w:r w:rsidR="009822B8">
        <w:tab/>
        <w:t>(3)</w:t>
      </w:r>
    </w:p>
    <w:p w14:paraId="3C76CCE9" w14:textId="5B2EC64B" w:rsidR="009822B8" w:rsidRDefault="009822B8" w:rsidP="00761F58">
      <w:pPr>
        <w:pStyle w:val="Paragraph"/>
        <w:ind w:firstLine="0"/>
      </w:pPr>
      <w:r w:rsidRPr="009822B8">
        <w:t xml:space="preserve">where </w:t>
      </w:r>
      <m:oMath>
        <m:sSub>
          <m:sSubPr>
            <m:ctrlPr>
              <w:rPr>
                <w:rFonts w:ascii="Cambria Math" w:hAnsi="Cambria Math"/>
              </w:rPr>
            </m:ctrlPr>
          </m:sSubPr>
          <m:e>
            <m:r>
              <w:rPr>
                <w:rFonts w:ascii="Cambria Math" w:hAnsi="Cambria Math"/>
              </w:rPr>
              <m:t>C</m:t>
            </m:r>
          </m:e>
          <m:sub>
            <m:r>
              <w:rPr>
                <w:rFonts w:ascii="Cambria Math" w:hAnsi="Cambria Math"/>
              </w:rPr>
              <m:t>i</m:t>
            </m:r>
          </m:sub>
        </m:sSub>
      </m:oMath>
      <w:r w:rsidRPr="009822B8">
        <w:t xml:space="preserve">is the i-th </w:t>
      </w:r>
      <w:r w:rsidR="00C22708">
        <w:t xml:space="preserve">radiation </w:t>
      </w:r>
      <w:r w:rsidRPr="009822B8">
        <w:t xml:space="preserve">count, </w:t>
      </w:r>
      <m:oMath>
        <m:acc>
          <m:accPr>
            <m:chr m:val="̅"/>
            <m:ctrlPr>
              <w:rPr>
                <w:rFonts w:ascii="Cambria Math" w:hAnsi="Cambria Math"/>
              </w:rPr>
            </m:ctrlPr>
          </m:accPr>
          <m:e>
            <m:r>
              <w:rPr>
                <w:rFonts w:ascii="Cambria Math" w:hAnsi="Cambria Math"/>
              </w:rPr>
              <m:t>C</m:t>
            </m:r>
          </m:e>
        </m:acc>
      </m:oMath>
      <w:r w:rsidRPr="009822B8">
        <w:t xml:space="preserve"> is the average</w:t>
      </w:r>
      <w:r w:rsidR="00C22708">
        <w:t xml:space="preserve"> radiation</w:t>
      </w:r>
      <w:r w:rsidRPr="009822B8">
        <w:t xml:space="preserve"> count and </w:t>
      </w:r>
      <m:oMath>
        <m:r>
          <w:rPr>
            <w:rFonts w:ascii="Cambria Math" w:hAnsi="Cambria Math"/>
          </w:rPr>
          <m:t>n</m:t>
        </m:r>
      </m:oMath>
      <w:r w:rsidRPr="009822B8">
        <w:t xml:space="preserve"> is the number of data</w:t>
      </w:r>
      <w:r>
        <w:t xml:space="preserve">. </w:t>
      </w:r>
    </w:p>
    <w:p w14:paraId="23AD833F" w14:textId="48FD0D55" w:rsidR="009822B8" w:rsidRDefault="009822B8" w:rsidP="009822B8">
      <w:pPr>
        <w:pStyle w:val="Heading2"/>
      </w:pPr>
      <w:r>
        <w:t>Dete</w:t>
      </w:r>
      <w:r w:rsidR="00C22708">
        <w:t>c</w:t>
      </w:r>
      <w:r>
        <w:t>tor Performance Test</w:t>
      </w:r>
    </w:p>
    <w:p w14:paraId="18F1881C" w14:textId="1A3E0DA6" w:rsidR="009822B8" w:rsidRDefault="009822B8" w:rsidP="009822B8">
      <w:pPr>
        <w:pStyle w:val="Paragraph"/>
      </w:pPr>
      <w:r w:rsidRPr="009822B8">
        <w:t xml:space="preserve">The detector performance test is carried out </w:t>
      </w:r>
      <w:r w:rsidR="00450789">
        <w:t>to determine</w:t>
      </w:r>
      <w:r w:rsidRPr="009822B8">
        <w:t xml:space="preserve"> the efficiency and stability of the detector. </w:t>
      </w:r>
      <w:r w:rsidR="00485608" w:rsidRPr="00485608">
        <w:t xml:space="preserve">The </w:t>
      </w:r>
      <w:r w:rsidR="004B6DEF">
        <w:t>detector’s efficiency</w:t>
      </w:r>
      <w:r w:rsidR="00485608" w:rsidRPr="00485608">
        <w:t xml:space="preserve"> is the ratio between </w:t>
      </w:r>
      <w:r w:rsidR="00485608">
        <w:t>measured radiation count</w:t>
      </w:r>
      <w:r w:rsidR="00485608" w:rsidRPr="00485608">
        <w:t xml:space="preserve"> and the absolute activity of the source, i.e.</w:t>
      </w:r>
      <w:r w:rsidR="004B6DEF">
        <w:t>,</w:t>
      </w:r>
      <w:r w:rsidR="00485608" w:rsidRPr="00485608">
        <w:t xml:space="preserve"> the amount of radiation emitted by the source in all directions (4π)</w:t>
      </w:r>
      <w:r>
        <w:t xml:space="preserve"> </w:t>
      </w:r>
      <w:r w:rsidRPr="002A7C03">
        <w:fldChar w:fldCharType="begin" w:fldLock="1"/>
      </w:r>
      <w:r w:rsidRPr="002A7C03">
        <w:instrText>ADDIN CSL_CITATION {"citationItems":[{"id":"ITEM-1","itemData":{"abstract":"Telah dilakukan pengamatan dan perbandingan kinerja detektor CsI(Tl) pada spektroskopi gamma dengan detektor NaI(Tl). Sumber radiasi gamma yang digunakan adalah sumber radiasi standar yaitu Cs-137 dan Co-60 serta Eu-152 yang memiliki jumlah puncak spektrum tenaga gamma yang banyak. Pengamatan dengan menggunakan kedua detektor dilakukan pada kondisi maksimal dari peralatan spektroskopi yang digunakan. Dari spektrum tenaga gamma hasil perhitungan yang dilakukan diperoleh bahwa resolusi detektor NaI(Tl) lebih baik dibandingkan dengan detektor CsI(Tl), namun dari segi efisiensi menunjukkan bahwa detektor CsI(Tl) lebih baik dibandingkan dengan detektor NaI(Tl). Dari aspek lainnya, detektor CsI(Tl) masih memiliki kelebihan dibandingkan dengan detektor NaI(Tl) diantaranya lebih murah, ekonomis, praktis dalam penggunaannya karena bentuknya yang kecil dan kompak dan penyedia daya listrik yang digunakan lebih hemat yaitu ± 24 Volt untuk detektor CsI(Tl) sedangkan untuk detektor NaI(Tl) penyedia daya listrik yang digunakan berkisar diantara 500 Volt sampai 1200 Volt.","author":[{"dropping-particle":"","family":"Bahri","given":"Syamsul","non-dropping-particle":"","parse-names":false,"suffix":""}],"container-title":"Jurnal Gradien","id":"ITEM-1","issue":"1","issued":{"date-parts":[["2007"]]},"page":"204-209","title":"Perbandingan Kinerja Detektor NaI(Tl) Dengan Detektor CsI(Tl) Pada Spektroskopi Radiasi Gamma","type":"article-journal","volume":"3"},"uris":["http://www.mendeley.com/documents/?uuid=7da05953-0e14-4291-b039-334c0f34d39c"]}],"mendeley":{"formattedCitation":"[13]","plainTextFormattedCitation":"[13]","previouslyFormattedCitation":"[13]"},"properties":{"noteIndex":0},"schema":"https://github.com/citation-style-language/schema/raw/master/csl-citation.json"}</w:instrText>
      </w:r>
      <w:r w:rsidRPr="002A7C03">
        <w:fldChar w:fldCharType="separate"/>
      </w:r>
      <w:r w:rsidRPr="002A7C03">
        <w:rPr>
          <w:noProof/>
        </w:rPr>
        <w:t>[13]</w:t>
      </w:r>
      <w:r w:rsidRPr="002A7C03">
        <w:fldChar w:fldCharType="end"/>
      </w:r>
      <w:r>
        <w:t xml:space="preserve">. </w:t>
      </w:r>
      <w:r w:rsidRPr="009822B8">
        <w:t xml:space="preserve">The test technique </w:t>
      </w:r>
      <w:r w:rsidR="00485608">
        <w:t>takes</w:t>
      </w:r>
      <w:r w:rsidRPr="009822B8">
        <w:t xml:space="preserve"> the </w:t>
      </w:r>
      <w:r w:rsidR="00450789">
        <w:t>radiation source’s dose rate value,</w:t>
      </w:r>
      <w:r w:rsidRPr="009822B8">
        <w:t xml:space="preserve"> which is carried out with the distance between the radiation source and the detector being 1 cm, which is repeated 30 times. The test diagram is shown in Figure </w:t>
      </w:r>
      <w:r w:rsidR="005518F9">
        <w:t>1</w:t>
      </w:r>
      <w:r w:rsidRPr="009822B8">
        <w:t xml:space="preserve">. The efficiency of the detector can be determined by equation </w:t>
      </w:r>
      <w:r w:rsidR="00C22708">
        <w:t>(4),</w:t>
      </w:r>
    </w:p>
    <w:p w14:paraId="2B459C23" w14:textId="7E8DA39E" w:rsidR="009822B8" w:rsidRPr="002A7C03" w:rsidRDefault="009822B8" w:rsidP="00C22708">
      <w:pPr>
        <w:pStyle w:val="A09par"/>
        <w:spacing w:before="0"/>
        <w:jc w:val="right"/>
        <w:rPr>
          <w:rFonts w:ascii="Times New Roman" w:hAnsi="Times New Roman"/>
          <w:sz w:val="20"/>
        </w:rPr>
      </w:pPr>
      <m:oMath>
        <m:r>
          <w:rPr>
            <w:rFonts w:ascii="Cambria Math" w:hAnsi="Cambria Math"/>
            <w:sz w:val="20"/>
          </w:rPr>
          <m:t>η (%)=</m:t>
        </m:r>
        <m:f>
          <m:fPr>
            <m:ctrlPr>
              <w:rPr>
                <w:rFonts w:ascii="Cambria Math" w:hAnsi="Cambria Math"/>
                <w:i/>
                <w:sz w:val="20"/>
              </w:rPr>
            </m:ctrlPr>
          </m:fPr>
          <m:num>
            <m:r>
              <w:rPr>
                <w:rFonts w:ascii="Cambria Math" w:hAnsi="Cambria Math"/>
                <w:sz w:val="20"/>
              </w:rPr>
              <m:t>(</m:t>
            </m:r>
            <m:nary>
              <m:naryPr>
                <m:chr m:val="∑"/>
                <m:limLoc m:val="undOvr"/>
                <m:subHide m:val="1"/>
                <m:supHide m:val="1"/>
                <m:ctrlPr>
                  <w:rPr>
                    <w:rFonts w:ascii="Cambria Math" w:hAnsi="Cambria Math"/>
                    <w:i/>
                    <w:sz w:val="20"/>
                  </w:rPr>
                </m:ctrlPr>
              </m:naryPr>
              <m:sub/>
              <m:sup/>
              <m:e>
                <m:sSub>
                  <m:sSubPr>
                    <m:ctrlPr>
                      <w:rPr>
                        <w:rFonts w:ascii="Cambria Math" w:hAnsi="Cambria Math"/>
                        <w:i/>
                        <w:sz w:val="20"/>
                      </w:rPr>
                    </m:ctrlPr>
                  </m:sSubPr>
                  <m:e>
                    <m:r>
                      <w:rPr>
                        <w:rFonts w:ascii="Cambria Math" w:hAnsi="Cambria Math"/>
                        <w:sz w:val="20"/>
                      </w:rPr>
                      <m:t>C</m:t>
                    </m:r>
                  </m:e>
                  <m:sub>
                    <m:r>
                      <w:rPr>
                        <w:rFonts w:ascii="Cambria Math" w:hAnsi="Cambria Math"/>
                        <w:sz w:val="20"/>
                      </w:rPr>
                      <m:t>t</m:t>
                    </m:r>
                  </m:sub>
                </m:sSub>
              </m:e>
            </m:nary>
            <m:r>
              <w:rPr>
                <w:rFonts w:ascii="Cambria Math" w:hAnsi="Cambria Math"/>
                <w:sz w:val="20"/>
              </w:rPr>
              <m:t>-</m:t>
            </m:r>
            <m:nary>
              <m:naryPr>
                <m:chr m:val="∑"/>
                <m:limLoc m:val="undOvr"/>
                <m:subHide m:val="1"/>
                <m:supHide m:val="1"/>
                <m:ctrlPr>
                  <w:rPr>
                    <w:rFonts w:ascii="Cambria Math" w:hAnsi="Cambria Math"/>
                    <w:i/>
                    <w:sz w:val="20"/>
                  </w:rPr>
                </m:ctrlPr>
              </m:naryPr>
              <m:sub/>
              <m:sup/>
              <m:e>
                <m:sSub>
                  <m:sSubPr>
                    <m:ctrlPr>
                      <w:rPr>
                        <w:rFonts w:ascii="Cambria Math" w:hAnsi="Cambria Math"/>
                        <w:i/>
                        <w:sz w:val="20"/>
                      </w:rPr>
                    </m:ctrlPr>
                  </m:sSubPr>
                  <m:e>
                    <m:r>
                      <w:rPr>
                        <w:rFonts w:ascii="Cambria Math" w:hAnsi="Cambria Math"/>
                        <w:sz w:val="20"/>
                      </w:rPr>
                      <m:t>C</m:t>
                    </m:r>
                  </m:e>
                  <m:sub>
                    <m:r>
                      <w:rPr>
                        <w:rFonts w:ascii="Cambria Math" w:hAnsi="Cambria Math"/>
                        <w:sz w:val="20"/>
                      </w:rPr>
                      <m:t>b</m:t>
                    </m:r>
                  </m:sub>
                </m:sSub>
              </m:e>
            </m:nary>
            <m:r>
              <w:rPr>
                <w:rFonts w:ascii="Cambria Math" w:hAnsi="Cambria Math"/>
                <w:sz w:val="20"/>
              </w:rPr>
              <m:t>)</m:t>
            </m:r>
          </m:num>
          <m:den>
            <m:r>
              <w:rPr>
                <w:rFonts w:ascii="Cambria Math" w:hAnsi="Cambria Math"/>
                <w:sz w:val="20"/>
              </w:rPr>
              <m:t>t</m:t>
            </m:r>
          </m:den>
        </m:f>
        <m:r>
          <w:rPr>
            <w:rFonts w:ascii="Cambria Math" w:hAnsi="Cambria Math"/>
            <w:sz w:val="20"/>
          </w:rPr>
          <m:t>×</m:t>
        </m:r>
        <m:f>
          <m:fPr>
            <m:ctrlPr>
              <w:rPr>
                <w:rFonts w:ascii="Cambria Math" w:hAnsi="Cambria Math"/>
                <w:i/>
                <w:sz w:val="20"/>
              </w:rPr>
            </m:ctrlPr>
          </m:fPr>
          <m:num>
            <m:r>
              <w:rPr>
                <w:rFonts w:ascii="Cambria Math" w:hAnsi="Cambria Math"/>
                <w:sz w:val="20"/>
              </w:rPr>
              <m:t>1</m:t>
            </m:r>
          </m:num>
          <m:den>
            <m:sSub>
              <m:sSubPr>
                <m:ctrlPr>
                  <w:rPr>
                    <w:rFonts w:ascii="Cambria Math" w:hAnsi="Cambria Math"/>
                    <w:i/>
                    <w:sz w:val="20"/>
                  </w:rPr>
                </m:ctrlPr>
              </m:sSubPr>
              <m:e>
                <m:r>
                  <w:rPr>
                    <w:rFonts w:ascii="Cambria Math" w:hAnsi="Cambria Math"/>
                    <w:sz w:val="20"/>
                  </w:rPr>
                  <m:t>A</m:t>
                </m:r>
              </m:e>
              <m:sub>
                <m:r>
                  <w:rPr>
                    <w:rFonts w:ascii="Cambria Math" w:hAnsi="Cambria Math"/>
                    <w:sz w:val="20"/>
                  </w:rPr>
                  <m:t>t</m:t>
                </m:r>
              </m:sub>
            </m:sSub>
            <m:r>
              <w:rPr>
                <w:rFonts w:ascii="Cambria Math" w:hAnsi="Cambria Math"/>
                <w:sz w:val="20"/>
              </w:rPr>
              <m:t>f</m:t>
            </m:r>
            <m:r>
              <m:rPr>
                <m:sty m:val="p"/>
              </m:rPr>
              <w:rPr>
                <w:rFonts w:ascii="Cambria Math" w:hAnsi="Cambria Math"/>
                <w:sz w:val="20"/>
              </w:rPr>
              <m:t>Ω</m:t>
            </m:r>
          </m:den>
        </m:f>
        <m:r>
          <w:rPr>
            <w:rFonts w:ascii="Cambria Math" w:hAnsi="Cambria Math"/>
            <w:sz w:val="20"/>
          </w:rPr>
          <m:t>×100</m:t>
        </m:r>
      </m:oMath>
      <w:r w:rsidR="00C22708">
        <w:rPr>
          <w:rFonts w:ascii="Times New Roman" w:hAnsi="Times New Roman"/>
          <w:sz w:val="20"/>
        </w:rPr>
        <w:tab/>
      </w:r>
      <w:r w:rsidR="00C22708">
        <w:rPr>
          <w:rFonts w:ascii="Times New Roman" w:hAnsi="Times New Roman"/>
          <w:sz w:val="20"/>
        </w:rPr>
        <w:tab/>
      </w:r>
      <w:r w:rsidR="00C22708">
        <w:rPr>
          <w:rFonts w:ascii="Times New Roman" w:hAnsi="Times New Roman"/>
          <w:sz w:val="20"/>
        </w:rPr>
        <w:tab/>
      </w:r>
      <w:r w:rsidR="00C22708">
        <w:rPr>
          <w:rFonts w:ascii="Times New Roman" w:hAnsi="Times New Roman"/>
          <w:sz w:val="20"/>
        </w:rPr>
        <w:tab/>
      </w:r>
      <w:r w:rsidR="00C22708">
        <w:rPr>
          <w:rFonts w:ascii="Times New Roman" w:hAnsi="Times New Roman"/>
          <w:sz w:val="20"/>
        </w:rPr>
        <w:tab/>
        <w:t>(4)</w:t>
      </w:r>
    </w:p>
    <w:p w14:paraId="779F09BD" w14:textId="73B57E0B" w:rsidR="009822B8" w:rsidRDefault="009822B8" w:rsidP="009822B8">
      <w:pPr>
        <w:pStyle w:val="Paragraph"/>
      </w:pPr>
      <m:oMath>
        <m:r>
          <w:rPr>
            <w:rFonts w:ascii="Cambria Math" w:hAnsi="Cambria Math"/>
          </w:rPr>
          <m:t>η</m:t>
        </m:r>
      </m:oMath>
      <w:r w:rsidRPr="009822B8">
        <w:t xml:space="preserve"> is detector efficiency, </w:t>
      </w:r>
      <m:oMath>
        <m:sSub>
          <m:sSubPr>
            <m:ctrlPr>
              <w:rPr>
                <w:rFonts w:ascii="Cambria Math" w:hAnsi="Cambria Math"/>
                <w:i/>
              </w:rPr>
            </m:ctrlPr>
          </m:sSubPr>
          <m:e>
            <m:r>
              <w:rPr>
                <w:rFonts w:ascii="Cambria Math" w:hAnsi="Cambria Math"/>
              </w:rPr>
              <m:t>C</m:t>
            </m:r>
          </m:e>
          <m:sub>
            <m:r>
              <w:rPr>
                <w:rFonts w:ascii="Cambria Math" w:hAnsi="Cambria Math"/>
              </w:rPr>
              <m:t>t</m:t>
            </m:r>
          </m:sub>
        </m:sSub>
      </m:oMath>
      <w:r w:rsidRPr="009822B8">
        <w:t xml:space="preserve"> is total count, </w:t>
      </w:r>
      <m:oMath>
        <m:sSub>
          <m:sSubPr>
            <m:ctrlPr>
              <w:rPr>
                <w:rFonts w:ascii="Cambria Math" w:hAnsi="Cambria Math"/>
                <w:i/>
              </w:rPr>
            </m:ctrlPr>
          </m:sSubPr>
          <m:e>
            <m:r>
              <w:rPr>
                <w:rFonts w:ascii="Cambria Math" w:hAnsi="Cambria Math"/>
              </w:rPr>
              <m:t>C</m:t>
            </m:r>
          </m:e>
          <m:sub>
            <m:r>
              <w:rPr>
                <w:rFonts w:ascii="Cambria Math" w:hAnsi="Cambria Math"/>
              </w:rPr>
              <m:t>b</m:t>
            </m:r>
          </m:sub>
        </m:sSub>
        <m:r>
          <w:rPr>
            <w:rFonts w:ascii="Cambria Math" w:hAnsi="Cambria Math"/>
          </w:rPr>
          <m:t xml:space="preserve"> </m:t>
        </m:r>
      </m:oMath>
      <w:r w:rsidRPr="009822B8">
        <w:t xml:space="preserve">is background count, </w:t>
      </w:r>
      <m:oMath>
        <m:r>
          <w:rPr>
            <w:rFonts w:ascii="Cambria Math" w:hAnsi="Cambria Math"/>
          </w:rPr>
          <m:t>t</m:t>
        </m:r>
      </m:oMath>
      <w:r w:rsidRPr="009822B8">
        <w:t xml:space="preserve"> is counting time, </w:t>
      </w:r>
      <m:oMath>
        <m:sSub>
          <m:sSubPr>
            <m:ctrlPr>
              <w:rPr>
                <w:rFonts w:ascii="Cambria Math" w:hAnsi="Cambria Math"/>
                <w:i/>
              </w:rPr>
            </m:ctrlPr>
          </m:sSubPr>
          <m:e>
            <m:r>
              <w:rPr>
                <w:rFonts w:ascii="Cambria Math" w:hAnsi="Cambria Math"/>
              </w:rPr>
              <m:t>A</m:t>
            </m:r>
          </m:e>
          <m:sub>
            <m:r>
              <w:rPr>
                <w:rFonts w:ascii="Cambria Math" w:hAnsi="Cambria Math"/>
              </w:rPr>
              <m:t>t</m:t>
            </m:r>
          </m:sub>
        </m:sSub>
      </m:oMath>
      <w:r>
        <w:t xml:space="preserve"> </w:t>
      </w:r>
      <w:r w:rsidRPr="009822B8">
        <w:t xml:space="preserve">is source activity during testing, </w:t>
      </w:r>
      <m:oMath>
        <m:r>
          <w:rPr>
            <w:rFonts w:ascii="Cambria Math" w:hAnsi="Cambria Math"/>
          </w:rPr>
          <m:t>f</m:t>
        </m:r>
      </m:oMath>
      <w:r w:rsidRPr="009822B8">
        <w:t xml:space="preserve"> is gamma decay fraction (%), and</w:t>
      </w:r>
      <w:r>
        <w:t xml:space="preserve"> </w:t>
      </w:r>
      <m:oMath>
        <m:r>
          <m:rPr>
            <m:sty m:val="p"/>
          </m:rPr>
          <w:rPr>
            <w:rFonts w:ascii="Cambria Math" w:hAnsi="Cambria Math"/>
          </w:rPr>
          <m:t>Ω</m:t>
        </m:r>
      </m:oMath>
      <w:r w:rsidRPr="009822B8">
        <w:t xml:space="preserve"> is </w:t>
      </w:r>
      <w:r w:rsidR="00450789">
        <w:t xml:space="preserve">a </w:t>
      </w:r>
      <w:r w:rsidRPr="009822B8">
        <w:t xml:space="preserve">geometric factor. This geometric factor can be calculated through equation </w:t>
      </w:r>
      <w:r w:rsidR="00C22708">
        <w:t xml:space="preserve">(5), </w:t>
      </w:r>
    </w:p>
    <w:p w14:paraId="37CFC561" w14:textId="785A2432" w:rsidR="009822B8" w:rsidRPr="002A7C03" w:rsidRDefault="009822B8" w:rsidP="00C22708">
      <w:pPr>
        <w:pStyle w:val="A09par"/>
        <w:spacing w:before="0"/>
        <w:jc w:val="right"/>
        <w:rPr>
          <w:rFonts w:ascii="Times New Roman" w:hAnsi="Times New Roman"/>
          <w:sz w:val="20"/>
        </w:rPr>
      </w:pPr>
      <m:oMath>
        <m:r>
          <m:rPr>
            <m:sty m:val="p"/>
          </m:rPr>
          <w:rPr>
            <w:rFonts w:ascii="Cambria Math" w:hAnsi="Cambria Math"/>
            <w:sz w:val="20"/>
          </w:rPr>
          <m:t>Ω</m:t>
        </m:r>
        <m:r>
          <w:rPr>
            <w:rFonts w:ascii="Cambria Math" w:hAnsi="Cambria Math"/>
            <w:sz w:val="20"/>
          </w:rPr>
          <m:t>=2π</m:t>
        </m:r>
        <m:d>
          <m:dPr>
            <m:ctrlPr>
              <w:rPr>
                <w:rFonts w:ascii="Cambria Math" w:hAnsi="Cambria Math"/>
                <w:i/>
                <w:sz w:val="20"/>
              </w:rPr>
            </m:ctrlPr>
          </m:dPr>
          <m:e>
            <m:r>
              <w:rPr>
                <w:rFonts w:ascii="Cambria Math" w:hAnsi="Cambria Math"/>
                <w:sz w:val="20"/>
              </w:rPr>
              <m:t>1-</m:t>
            </m:r>
            <m:f>
              <m:fPr>
                <m:ctrlPr>
                  <w:rPr>
                    <w:rFonts w:ascii="Cambria Math" w:hAnsi="Cambria Math"/>
                    <w:i/>
                    <w:sz w:val="20"/>
                  </w:rPr>
                </m:ctrlPr>
              </m:fPr>
              <m:num>
                <m:r>
                  <w:rPr>
                    <w:rFonts w:ascii="Cambria Math" w:hAnsi="Cambria Math"/>
                    <w:sz w:val="20"/>
                  </w:rPr>
                  <m:t>d</m:t>
                </m:r>
              </m:num>
              <m:den>
                <m:sSup>
                  <m:sSupPr>
                    <m:ctrlPr>
                      <w:rPr>
                        <w:rFonts w:ascii="Cambria Math" w:hAnsi="Cambria Math"/>
                        <w:i/>
                        <w:sz w:val="20"/>
                      </w:rPr>
                    </m:ctrlPr>
                  </m:sSupPr>
                  <m:e>
                    <m:d>
                      <m:dPr>
                        <m:ctrlPr>
                          <w:rPr>
                            <w:rFonts w:ascii="Cambria Math" w:hAnsi="Cambria Math"/>
                            <w:i/>
                            <w:sz w:val="20"/>
                          </w:rPr>
                        </m:ctrlPr>
                      </m:dPr>
                      <m:e>
                        <m:sSup>
                          <m:sSupPr>
                            <m:ctrlPr>
                              <w:rPr>
                                <w:rFonts w:ascii="Cambria Math" w:hAnsi="Cambria Math"/>
                                <w:i/>
                                <w:sz w:val="20"/>
                              </w:rPr>
                            </m:ctrlPr>
                          </m:sSupPr>
                          <m:e>
                            <m:r>
                              <w:rPr>
                                <w:rFonts w:ascii="Cambria Math" w:hAnsi="Cambria Math"/>
                                <w:sz w:val="20"/>
                              </w:rPr>
                              <m:t>d</m:t>
                            </m:r>
                          </m:e>
                          <m:sup>
                            <m:r>
                              <w:rPr>
                                <w:rFonts w:ascii="Cambria Math" w:hAnsi="Cambria Math"/>
                                <w:sz w:val="20"/>
                              </w:rPr>
                              <m:t>2</m:t>
                            </m:r>
                          </m:sup>
                        </m:sSup>
                        <m:r>
                          <w:rPr>
                            <w:rFonts w:ascii="Cambria Math" w:hAnsi="Cambria Math"/>
                            <w:sz w:val="20"/>
                          </w:rPr>
                          <m:t>+</m:t>
                        </m:r>
                        <m:sSup>
                          <m:sSupPr>
                            <m:ctrlPr>
                              <w:rPr>
                                <w:rFonts w:ascii="Cambria Math" w:hAnsi="Cambria Math"/>
                                <w:i/>
                                <w:sz w:val="20"/>
                              </w:rPr>
                            </m:ctrlPr>
                          </m:sSupPr>
                          <m:e>
                            <m:r>
                              <w:rPr>
                                <w:rFonts w:ascii="Cambria Math" w:hAnsi="Cambria Math"/>
                                <w:sz w:val="20"/>
                              </w:rPr>
                              <m:t>R</m:t>
                            </m:r>
                          </m:e>
                          <m:sup>
                            <m:r>
                              <w:rPr>
                                <w:rFonts w:ascii="Cambria Math" w:hAnsi="Cambria Math"/>
                                <w:sz w:val="20"/>
                              </w:rPr>
                              <m:t>2</m:t>
                            </m:r>
                          </m:sup>
                        </m:sSup>
                      </m:e>
                    </m:d>
                  </m:e>
                  <m:sup>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sup>
                </m:sSup>
              </m:den>
            </m:f>
          </m:e>
        </m:d>
      </m:oMath>
      <w:r w:rsidR="00C22708">
        <w:rPr>
          <w:rFonts w:ascii="Times New Roman" w:hAnsi="Times New Roman"/>
          <w:sz w:val="20"/>
        </w:rPr>
        <w:tab/>
      </w:r>
      <w:r w:rsidR="00C22708">
        <w:rPr>
          <w:rFonts w:ascii="Times New Roman" w:hAnsi="Times New Roman"/>
          <w:sz w:val="20"/>
        </w:rPr>
        <w:tab/>
      </w:r>
      <w:r w:rsidR="00C22708">
        <w:rPr>
          <w:rFonts w:ascii="Times New Roman" w:hAnsi="Times New Roman"/>
          <w:sz w:val="20"/>
        </w:rPr>
        <w:tab/>
      </w:r>
      <w:r w:rsidR="00C22708">
        <w:rPr>
          <w:rFonts w:ascii="Times New Roman" w:hAnsi="Times New Roman"/>
          <w:sz w:val="20"/>
        </w:rPr>
        <w:tab/>
      </w:r>
      <w:r w:rsidR="00C22708">
        <w:rPr>
          <w:rFonts w:ascii="Times New Roman" w:hAnsi="Times New Roman"/>
          <w:sz w:val="20"/>
        </w:rPr>
        <w:tab/>
        <w:t>(5)</w:t>
      </w:r>
    </w:p>
    <w:p w14:paraId="315E401B" w14:textId="7D2229D5" w:rsidR="00C22708" w:rsidRDefault="00C22708" w:rsidP="00C22708">
      <w:pPr>
        <w:pStyle w:val="A09par"/>
        <w:spacing w:before="0"/>
        <w:rPr>
          <w:rFonts w:ascii="Times New Roman" w:hAnsi="Times New Roman"/>
          <w:sz w:val="20"/>
        </w:rPr>
      </w:pPr>
      <m:oMath>
        <m:r>
          <w:rPr>
            <w:rFonts w:ascii="Cambria Math" w:hAnsi="Cambria Math"/>
            <w:sz w:val="20"/>
          </w:rPr>
          <m:t>d</m:t>
        </m:r>
      </m:oMath>
      <w:r w:rsidRPr="00C22708">
        <w:rPr>
          <w:rFonts w:ascii="Times New Roman" w:hAnsi="Times New Roman"/>
          <w:sz w:val="20"/>
        </w:rPr>
        <w:t xml:space="preserve"> is the distance from the source to the detector</w:t>
      </w:r>
      <w:r w:rsidR="00450789">
        <w:rPr>
          <w:rFonts w:ascii="Times New Roman" w:hAnsi="Times New Roman"/>
          <w:sz w:val="20"/>
        </w:rPr>
        <w:t>,</w:t>
      </w:r>
      <w:r w:rsidRPr="00C22708">
        <w:rPr>
          <w:rFonts w:ascii="Times New Roman" w:hAnsi="Times New Roman"/>
          <w:sz w:val="20"/>
        </w:rPr>
        <w:t xml:space="preserve"> and </w:t>
      </w:r>
      <m:oMath>
        <m:r>
          <w:rPr>
            <w:rFonts w:ascii="Cambria Math" w:hAnsi="Cambria Math"/>
            <w:sz w:val="20"/>
          </w:rPr>
          <m:t>R</m:t>
        </m:r>
      </m:oMath>
      <w:r w:rsidRPr="00C22708">
        <w:rPr>
          <w:rFonts w:ascii="Times New Roman" w:hAnsi="Times New Roman"/>
          <w:sz w:val="20"/>
        </w:rPr>
        <w:t xml:space="preserve"> is the radius of the detector. If</w:t>
      </w:r>
      <w:r>
        <w:rPr>
          <w:rFonts w:ascii="Times New Roman" w:hAnsi="Times New Roman"/>
          <w:sz w:val="20"/>
        </w:rPr>
        <w:t xml:space="preserve"> </w:t>
      </w:r>
      <m:oMath>
        <m:r>
          <m:rPr>
            <m:sty m:val="p"/>
          </m:rPr>
          <w:rPr>
            <w:rFonts w:ascii="Cambria Math" w:hAnsi="Cambria Math"/>
            <w:sz w:val="20"/>
          </w:rPr>
          <m:t>Ω</m:t>
        </m:r>
      </m:oMath>
      <w:r w:rsidRPr="00C22708">
        <w:rPr>
          <w:rFonts w:ascii="Times New Roman" w:hAnsi="Times New Roman"/>
          <w:sz w:val="20"/>
        </w:rPr>
        <w:t xml:space="preserve"> = 1</w:t>
      </w:r>
      <w:r w:rsidR="00450789">
        <w:rPr>
          <w:rFonts w:ascii="Times New Roman" w:hAnsi="Times New Roman"/>
          <w:sz w:val="20"/>
        </w:rPr>
        <w:t>,</w:t>
      </w:r>
      <w:r w:rsidRPr="00C22708">
        <w:rPr>
          <w:rFonts w:ascii="Times New Roman" w:hAnsi="Times New Roman"/>
          <w:sz w:val="20"/>
        </w:rPr>
        <w:t xml:space="preserve"> the spread is 4π because the detector receives all radiation from the source. If </w:t>
      </w:r>
      <m:oMath>
        <m:r>
          <m:rPr>
            <m:sty m:val="p"/>
          </m:rPr>
          <w:rPr>
            <w:rFonts w:ascii="Cambria Math" w:hAnsi="Cambria Math"/>
            <w:sz w:val="20"/>
          </w:rPr>
          <m:t>Ω</m:t>
        </m:r>
      </m:oMath>
      <w:r w:rsidRPr="00C22708">
        <w:rPr>
          <w:rFonts w:ascii="Times New Roman" w:hAnsi="Times New Roman"/>
          <w:sz w:val="20"/>
        </w:rPr>
        <w:t xml:space="preserve"> = 0.5</w:t>
      </w:r>
      <w:r w:rsidR="00450789">
        <w:rPr>
          <w:rFonts w:ascii="Times New Roman" w:hAnsi="Times New Roman"/>
          <w:sz w:val="20"/>
        </w:rPr>
        <w:t>,</w:t>
      </w:r>
      <w:r w:rsidRPr="00C22708">
        <w:rPr>
          <w:rFonts w:ascii="Times New Roman" w:hAnsi="Times New Roman"/>
          <w:sz w:val="20"/>
        </w:rPr>
        <w:t xml:space="preserve"> the spread is 2π</w:t>
      </w:r>
      <w:r w:rsidR="00450789">
        <w:rPr>
          <w:rFonts w:ascii="Times New Roman" w:hAnsi="Times New Roman"/>
          <w:sz w:val="20"/>
        </w:rPr>
        <w:t>,</w:t>
      </w:r>
      <w:r w:rsidRPr="00C22708">
        <w:rPr>
          <w:rFonts w:ascii="Times New Roman" w:hAnsi="Times New Roman"/>
          <w:sz w:val="20"/>
        </w:rPr>
        <w:t xml:space="preserve"> i.e.</w:t>
      </w:r>
      <w:r w:rsidR="00450789">
        <w:rPr>
          <w:rFonts w:ascii="Times New Roman" w:hAnsi="Times New Roman"/>
          <w:sz w:val="20"/>
        </w:rPr>
        <w:t>,</w:t>
      </w:r>
      <w:r w:rsidRPr="00C22708">
        <w:rPr>
          <w:rFonts w:ascii="Times New Roman" w:hAnsi="Times New Roman"/>
          <w:sz w:val="20"/>
        </w:rPr>
        <w:t xml:space="preserve"> the detector only receives half of the radiation coming from the source </w:t>
      </w:r>
      <w:r w:rsidRPr="002A7C03">
        <w:rPr>
          <w:rFonts w:ascii="Times New Roman" w:hAnsi="Times New Roman"/>
          <w:sz w:val="20"/>
        </w:rPr>
        <w:fldChar w:fldCharType="begin" w:fldLock="1"/>
      </w:r>
      <w:r w:rsidRPr="002A7C03">
        <w:rPr>
          <w:rFonts w:ascii="Times New Roman" w:hAnsi="Times New Roman"/>
          <w:sz w:val="20"/>
        </w:rPr>
        <w:instrText>ADDIN CSL_CITATION {"citationItems":[{"id":"ITEM-1","itemData":{"abstract":"Telah dilakukan pengamatan dan perbandingan kinerja detektor CsI(Tl) pada spektroskopi gamma dengan detektor NaI(Tl). Sumber radiasi gamma yang digunakan adalah sumber radiasi standar yaitu Cs-137 dan Co-60 serta Eu-152 yang memiliki jumlah puncak spektrum tenaga gamma yang banyak. Pengamatan dengan menggunakan kedua detektor dilakukan pada kondisi maksimal dari peralatan spektroskopi yang digunakan. Dari spektrum tenaga gamma hasil perhitungan yang dilakukan diperoleh bahwa resolusi detektor NaI(Tl) lebih baik dibandingkan dengan detektor CsI(Tl), namun dari segi efisiensi menunjukkan bahwa detektor CsI(Tl) lebih baik dibandingkan dengan detektor NaI(Tl). Dari aspek lainnya, detektor CsI(Tl) masih memiliki kelebihan dibandingkan dengan detektor NaI(Tl) diantaranya lebih murah, ekonomis, praktis dalam penggunaannya karena bentuknya yang kecil dan kompak dan penyedia daya listrik yang digunakan lebih hemat yaitu ± 24 Volt untuk detektor CsI(Tl) sedangkan untuk detektor NaI(Tl) penyedia daya listrik yang digunakan berkisar diantara 500 Volt sampai 1200 Volt.","author":[{"dropping-particle":"","family":"Bahri","given":"Syamsul","non-dropping-particle":"","parse-names":false,"suffix":""}],"container-title":"Jurnal Gradien","id":"ITEM-1","issue":"1","issued":{"date-parts":[["2007"]]},"page":"204-209","title":"Perbandingan Kinerja Detektor NaI(Tl) Dengan Detektor CsI(Tl) Pada Spektroskopi Radiasi Gamma","type":"article-journal","volume":"3"},"uris":["http://www.mendeley.com/documents/?uuid=7da05953-0e14-4291-b039-334c0f34d39c"]}],"mendeley":{"formattedCitation":"[13]","plainTextFormattedCitation":"[13]","previouslyFormattedCitation":"[13]"},"properties":{"noteIndex":0},"schema":"https://github.com/citation-style-language/schema/raw/master/csl-citation.json"}</w:instrText>
      </w:r>
      <w:r w:rsidRPr="002A7C03">
        <w:rPr>
          <w:rFonts w:ascii="Times New Roman" w:hAnsi="Times New Roman"/>
          <w:sz w:val="20"/>
        </w:rPr>
        <w:fldChar w:fldCharType="separate"/>
      </w:r>
      <w:r w:rsidRPr="002A7C03">
        <w:rPr>
          <w:rFonts w:ascii="Times New Roman" w:hAnsi="Times New Roman"/>
          <w:noProof/>
          <w:sz w:val="20"/>
        </w:rPr>
        <w:t>[13]</w:t>
      </w:r>
      <w:r w:rsidRPr="002A7C03">
        <w:rPr>
          <w:rFonts w:ascii="Times New Roman" w:hAnsi="Times New Roman"/>
          <w:sz w:val="20"/>
        </w:rPr>
        <w:fldChar w:fldCharType="end"/>
      </w:r>
      <w:r w:rsidRPr="002A7C03">
        <w:rPr>
          <w:rFonts w:ascii="Times New Roman" w:hAnsi="Times New Roman"/>
          <w:sz w:val="20"/>
        </w:rPr>
        <w:t>.</w:t>
      </w:r>
    </w:p>
    <w:p w14:paraId="5CEECAB9" w14:textId="5963BEAF" w:rsidR="00C22708" w:rsidRPr="002A7C03" w:rsidRDefault="00C22708" w:rsidP="00C22708">
      <w:pPr>
        <w:pStyle w:val="A09par"/>
        <w:spacing w:before="0"/>
        <w:ind w:firstLine="720"/>
        <w:rPr>
          <w:rFonts w:ascii="Times New Roman" w:hAnsi="Times New Roman"/>
          <w:sz w:val="20"/>
        </w:rPr>
      </w:pPr>
      <w:r w:rsidRPr="00C22708">
        <w:rPr>
          <w:rFonts w:ascii="Times New Roman" w:hAnsi="Times New Roman"/>
          <w:sz w:val="20"/>
        </w:rPr>
        <w:t xml:space="preserve">Another performance test is the chi-square test. </w:t>
      </w:r>
      <w:r w:rsidR="00450789">
        <w:rPr>
          <w:rFonts w:ascii="Times New Roman" w:hAnsi="Times New Roman"/>
          <w:sz w:val="20"/>
        </w:rPr>
        <w:t xml:space="preserve">The </w:t>
      </w:r>
      <w:r w:rsidRPr="00C22708">
        <w:rPr>
          <w:rFonts w:ascii="Times New Roman" w:hAnsi="Times New Roman"/>
          <w:sz w:val="20"/>
        </w:rPr>
        <w:t xml:space="preserve">Chi-square test </w:t>
      </w:r>
      <w:r w:rsidR="00450789">
        <w:rPr>
          <w:rFonts w:ascii="Times New Roman" w:hAnsi="Times New Roman"/>
          <w:sz w:val="20"/>
        </w:rPr>
        <w:t>determines</w:t>
      </w:r>
      <w:r w:rsidRPr="00C22708">
        <w:rPr>
          <w:rFonts w:ascii="Times New Roman" w:hAnsi="Times New Roman"/>
          <w:sz w:val="20"/>
        </w:rPr>
        <w:t xml:space="preserve"> the stability of a tool</w:t>
      </w:r>
      <w:r w:rsidR="00450789">
        <w:rPr>
          <w:rFonts w:ascii="Times New Roman" w:hAnsi="Times New Roman"/>
          <w:sz w:val="20"/>
        </w:rPr>
        <w:t>,</w:t>
      </w:r>
      <w:r w:rsidRPr="00C22708">
        <w:rPr>
          <w:rFonts w:ascii="Times New Roman" w:hAnsi="Times New Roman"/>
          <w:sz w:val="20"/>
        </w:rPr>
        <w:t xml:space="preserve"> or the measurement results follow the Gaussian distribution. Collecting count data 10 times </w:t>
      </w:r>
      <w:r w:rsidR="00A6790A">
        <w:rPr>
          <w:rFonts w:ascii="Times New Roman" w:hAnsi="Times New Roman"/>
          <w:sz w:val="20"/>
        </w:rPr>
        <w:t xml:space="preserve">is based on Figure 2 </w:t>
      </w:r>
      <w:r w:rsidRPr="00C22708">
        <w:rPr>
          <w:rFonts w:ascii="Times New Roman" w:hAnsi="Times New Roman"/>
          <w:sz w:val="20"/>
        </w:rPr>
        <w:t xml:space="preserve">at a detector-source distance of 1.5 cm and calculating the chi-square value with the equation </w:t>
      </w:r>
      <w:r w:rsidR="00A6790A">
        <w:rPr>
          <w:rFonts w:ascii="Times New Roman" w:hAnsi="Times New Roman"/>
          <w:sz w:val="20"/>
        </w:rPr>
        <w:t>(6)</w:t>
      </w:r>
      <w:r w:rsidRPr="002A7C03">
        <w:rPr>
          <w:rFonts w:ascii="Times New Roman" w:hAnsi="Times New Roman"/>
          <w:sz w:val="20"/>
        </w:rPr>
        <w:t xml:space="preserve">. </w:t>
      </w:r>
    </w:p>
    <w:p w14:paraId="4FE40E25" w14:textId="7590B71E" w:rsidR="00C22708" w:rsidRPr="002A7C03" w:rsidRDefault="001F2004" w:rsidP="00C22708">
      <w:pPr>
        <w:pStyle w:val="A09par"/>
        <w:spacing w:before="0"/>
        <w:jc w:val="right"/>
        <w:rPr>
          <w:rFonts w:ascii="Times New Roman" w:hAnsi="Times New Roman"/>
          <w:iCs/>
          <w:color w:val="000000"/>
          <w:sz w:val="20"/>
        </w:rPr>
      </w:pPr>
      <m:oMath>
        <m:sSup>
          <m:sSupPr>
            <m:ctrlPr>
              <w:rPr>
                <w:rFonts w:ascii="Cambria Math" w:hAnsi="Cambria Math"/>
                <w:i/>
                <w:iCs/>
                <w:color w:val="000000"/>
                <w:sz w:val="20"/>
              </w:rPr>
            </m:ctrlPr>
          </m:sSupPr>
          <m:e>
            <m:r>
              <w:rPr>
                <w:rFonts w:ascii="Cambria Math" w:hAnsi="Cambria Math"/>
                <w:color w:val="000000"/>
                <w:sz w:val="20"/>
              </w:rPr>
              <m:t>χ</m:t>
            </m:r>
          </m:e>
          <m:sup>
            <m:r>
              <w:rPr>
                <w:rFonts w:ascii="Cambria Math" w:hAnsi="Cambria Math"/>
                <w:color w:val="000000"/>
                <w:sz w:val="20"/>
              </w:rPr>
              <m:t>2</m:t>
            </m:r>
          </m:sup>
        </m:sSup>
        <m:r>
          <w:rPr>
            <w:rFonts w:ascii="Cambria Math" w:hAnsi="Cambria Math"/>
            <w:color w:val="000000"/>
            <w:sz w:val="20"/>
          </w:rPr>
          <m:t>=</m:t>
        </m:r>
        <m:f>
          <m:fPr>
            <m:ctrlPr>
              <w:rPr>
                <w:rFonts w:ascii="Cambria Math" w:hAnsi="Cambria Math"/>
                <w:i/>
                <w:iCs/>
                <w:color w:val="000000"/>
                <w:sz w:val="20"/>
              </w:rPr>
            </m:ctrlPr>
          </m:fPr>
          <m:num>
            <m:nary>
              <m:naryPr>
                <m:chr m:val="∑"/>
                <m:subHide m:val="1"/>
                <m:supHide m:val="1"/>
                <m:ctrlPr>
                  <w:rPr>
                    <w:rFonts w:ascii="Cambria Math" w:hAnsi="Cambria Math"/>
                    <w:i/>
                    <w:iCs/>
                    <w:color w:val="000000"/>
                    <w:sz w:val="20"/>
                  </w:rPr>
                </m:ctrlPr>
              </m:naryPr>
              <m:sub/>
              <m:sup/>
              <m:e>
                <m:sSup>
                  <m:sSupPr>
                    <m:ctrlPr>
                      <w:rPr>
                        <w:rFonts w:ascii="Cambria Math" w:hAnsi="Cambria Math"/>
                        <w:i/>
                        <w:iCs/>
                        <w:color w:val="000000"/>
                        <w:sz w:val="20"/>
                      </w:rPr>
                    </m:ctrlPr>
                  </m:sSupPr>
                  <m:e>
                    <m:r>
                      <w:rPr>
                        <w:rFonts w:ascii="Cambria Math" w:hAnsi="Cambria Math"/>
                        <w:color w:val="000000"/>
                        <w:sz w:val="20"/>
                      </w:rPr>
                      <m:t>(</m:t>
                    </m:r>
                    <m:sSub>
                      <m:sSubPr>
                        <m:ctrlPr>
                          <w:rPr>
                            <w:rFonts w:ascii="Cambria Math" w:hAnsi="Cambria Math"/>
                            <w:i/>
                            <w:iCs/>
                            <w:color w:val="000000"/>
                            <w:sz w:val="20"/>
                          </w:rPr>
                        </m:ctrlPr>
                      </m:sSubPr>
                      <m:e>
                        <m:r>
                          <w:rPr>
                            <w:rFonts w:ascii="Cambria Math" w:hAnsi="Cambria Math"/>
                            <w:color w:val="000000"/>
                            <w:sz w:val="20"/>
                          </w:rPr>
                          <m:t>C</m:t>
                        </m:r>
                      </m:e>
                      <m:sub>
                        <m:r>
                          <w:rPr>
                            <w:rFonts w:ascii="Cambria Math" w:hAnsi="Cambria Math"/>
                            <w:color w:val="000000"/>
                            <w:sz w:val="20"/>
                          </w:rPr>
                          <m:t>i</m:t>
                        </m:r>
                      </m:sub>
                    </m:sSub>
                    <m:r>
                      <w:rPr>
                        <w:rFonts w:ascii="Cambria Math" w:hAnsi="Cambria Math"/>
                        <w:color w:val="000000"/>
                        <w:sz w:val="20"/>
                      </w:rPr>
                      <m:t>-</m:t>
                    </m:r>
                    <m:acc>
                      <m:accPr>
                        <m:chr m:val="̅"/>
                        <m:ctrlPr>
                          <w:rPr>
                            <w:rFonts w:ascii="Cambria Math" w:hAnsi="Cambria Math"/>
                            <w:i/>
                            <w:iCs/>
                            <w:color w:val="000000"/>
                            <w:sz w:val="20"/>
                          </w:rPr>
                        </m:ctrlPr>
                      </m:accPr>
                      <m:e>
                        <m:r>
                          <w:rPr>
                            <w:rFonts w:ascii="Cambria Math" w:hAnsi="Cambria Math"/>
                            <w:color w:val="000000"/>
                            <w:sz w:val="20"/>
                          </w:rPr>
                          <m:t>C</m:t>
                        </m:r>
                      </m:e>
                    </m:acc>
                    <m:r>
                      <w:rPr>
                        <w:rFonts w:ascii="Cambria Math" w:hAnsi="Cambria Math"/>
                        <w:color w:val="000000"/>
                        <w:sz w:val="20"/>
                      </w:rPr>
                      <m:t>)</m:t>
                    </m:r>
                  </m:e>
                  <m:sup>
                    <m:r>
                      <w:rPr>
                        <w:rFonts w:ascii="Cambria Math" w:hAnsi="Cambria Math"/>
                        <w:color w:val="000000"/>
                        <w:sz w:val="20"/>
                      </w:rPr>
                      <m:t>2</m:t>
                    </m:r>
                  </m:sup>
                </m:sSup>
              </m:e>
            </m:nary>
          </m:num>
          <m:den>
            <m:acc>
              <m:accPr>
                <m:chr m:val="̅"/>
                <m:ctrlPr>
                  <w:rPr>
                    <w:rFonts w:ascii="Cambria Math" w:hAnsi="Cambria Math"/>
                    <w:i/>
                    <w:iCs/>
                    <w:color w:val="000000"/>
                    <w:sz w:val="20"/>
                  </w:rPr>
                </m:ctrlPr>
              </m:accPr>
              <m:e>
                <m:r>
                  <w:rPr>
                    <w:rFonts w:ascii="Cambria Math" w:hAnsi="Cambria Math"/>
                    <w:color w:val="000000"/>
                    <w:sz w:val="20"/>
                  </w:rPr>
                  <m:t>C</m:t>
                </m:r>
              </m:e>
            </m:acc>
          </m:den>
        </m:f>
      </m:oMath>
      <w:r w:rsidR="00C22708">
        <w:rPr>
          <w:rFonts w:ascii="Times New Roman" w:hAnsi="Times New Roman"/>
          <w:iCs/>
          <w:color w:val="000000"/>
          <w:sz w:val="20"/>
        </w:rPr>
        <w:tab/>
      </w:r>
      <w:r w:rsidR="00C22708">
        <w:rPr>
          <w:rFonts w:ascii="Times New Roman" w:hAnsi="Times New Roman"/>
          <w:iCs/>
          <w:color w:val="000000"/>
          <w:sz w:val="20"/>
        </w:rPr>
        <w:tab/>
      </w:r>
      <w:r w:rsidR="00C22708">
        <w:rPr>
          <w:rFonts w:ascii="Times New Roman" w:hAnsi="Times New Roman"/>
          <w:iCs/>
          <w:color w:val="000000"/>
          <w:sz w:val="20"/>
        </w:rPr>
        <w:tab/>
      </w:r>
      <w:r w:rsidR="00C22708">
        <w:rPr>
          <w:rFonts w:ascii="Times New Roman" w:hAnsi="Times New Roman"/>
          <w:iCs/>
          <w:color w:val="000000"/>
          <w:sz w:val="20"/>
        </w:rPr>
        <w:tab/>
      </w:r>
      <w:r w:rsidR="00C22708">
        <w:rPr>
          <w:rFonts w:ascii="Times New Roman" w:hAnsi="Times New Roman"/>
          <w:iCs/>
          <w:color w:val="000000"/>
          <w:sz w:val="20"/>
        </w:rPr>
        <w:tab/>
      </w:r>
      <w:r w:rsidR="00C22708">
        <w:rPr>
          <w:rFonts w:ascii="Times New Roman" w:hAnsi="Times New Roman"/>
          <w:iCs/>
          <w:color w:val="000000"/>
          <w:sz w:val="20"/>
        </w:rPr>
        <w:tab/>
        <w:t>(6)</w:t>
      </w:r>
    </w:p>
    <w:p w14:paraId="706D9A92" w14:textId="62275762" w:rsidR="009822B8" w:rsidRPr="006615A8" w:rsidRDefault="00C22708" w:rsidP="006615A8">
      <w:pPr>
        <w:pStyle w:val="A09par"/>
        <w:spacing w:before="0"/>
        <w:rPr>
          <w:rFonts w:ascii="Times New Roman" w:hAnsi="Times New Roman"/>
          <w:sz w:val="20"/>
        </w:rPr>
      </w:pPr>
      <w:r w:rsidRPr="00C22708">
        <w:rPr>
          <w:rFonts w:ascii="Times New Roman" w:hAnsi="Times New Roman"/>
          <w:sz w:val="20"/>
        </w:rPr>
        <w:lastRenderedPageBreak/>
        <w:t xml:space="preserve">where </w:t>
      </w:r>
      <m:oMath>
        <m:sSub>
          <m:sSubPr>
            <m:ctrlPr>
              <w:rPr>
                <w:rFonts w:ascii="Cambria Math" w:hAnsi="Cambria Math"/>
                <w:sz w:val="20"/>
              </w:rPr>
            </m:ctrlPr>
          </m:sSubPr>
          <m:e>
            <m:r>
              <w:rPr>
                <w:rFonts w:ascii="Cambria Math" w:hAnsi="Cambria Math"/>
                <w:sz w:val="20"/>
              </w:rPr>
              <m:t>C</m:t>
            </m:r>
          </m:e>
          <m:sub>
            <m:r>
              <w:rPr>
                <w:rFonts w:ascii="Cambria Math" w:hAnsi="Cambria Math"/>
                <w:sz w:val="20"/>
              </w:rPr>
              <m:t>i</m:t>
            </m:r>
          </m:sub>
        </m:sSub>
      </m:oMath>
      <w:r>
        <w:rPr>
          <w:rFonts w:ascii="Times New Roman" w:hAnsi="Times New Roman"/>
          <w:sz w:val="20"/>
        </w:rPr>
        <w:t xml:space="preserve"> </w:t>
      </w:r>
      <w:r w:rsidRPr="00C22708">
        <w:rPr>
          <w:rFonts w:ascii="Times New Roman" w:hAnsi="Times New Roman"/>
          <w:sz w:val="20"/>
        </w:rPr>
        <w:t>is</w:t>
      </w:r>
      <w:r>
        <w:rPr>
          <w:rFonts w:ascii="Times New Roman" w:hAnsi="Times New Roman"/>
          <w:sz w:val="20"/>
        </w:rPr>
        <w:t xml:space="preserve"> </w:t>
      </w:r>
      <w:r w:rsidRPr="00C22708">
        <w:rPr>
          <w:rFonts w:ascii="Times New Roman" w:hAnsi="Times New Roman"/>
          <w:sz w:val="20"/>
        </w:rPr>
        <w:t xml:space="preserve">the i-th </w:t>
      </w:r>
      <w:r>
        <w:rPr>
          <w:rFonts w:ascii="Times New Roman" w:hAnsi="Times New Roman"/>
          <w:sz w:val="20"/>
        </w:rPr>
        <w:t xml:space="preserve">radiation </w:t>
      </w:r>
      <w:r w:rsidRPr="00C22708">
        <w:rPr>
          <w:rFonts w:ascii="Times New Roman" w:hAnsi="Times New Roman"/>
          <w:sz w:val="20"/>
        </w:rPr>
        <w:t>count</w:t>
      </w:r>
      <w:r>
        <w:rPr>
          <w:rFonts w:ascii="Times New Roman" w:hAnsi="Times New Roman"/>
          <w:sz w:val="20"/>
        </w:rPr>
        <w:t xml:space="preserve"> and</w:t>
      </w:r>
      <w:r w:rsidRPr="00C22708">
        <w:rPr>
          <w:rFonts w:ascii="Times New Roman" w:hAnsi="Times New Roman"/>
          <w:sz w:val="20"/>
        </w:rPr>
        <w:t xml:space="preserve"> </w:t>
      </w:r>
      <m:oMath>
        <m:acc>
          <m:accPr>
            <m:chr m:val="̅"/>
            <m:ctrlPr>
              <w:rPr>
                <w:rFonts w:ascii="Cambria Math" w:hAnsi="Cambria Math"/>
                <w:sz w:val="20"/>
              </w:rPr>
            </m:ctrlPr>
          </m:accPr>
          <m:e>
            <m:r>
              <w:rPr>
                <w:rFonts w:ascii="Cambria Math" w:hAnsi="Cambria Math"/>
                <w:sz w:val="20"/>
              </w:rPr>
              <m:t>C</m:t>
            </m:r>
          </m:e>
        </m:acc>
      </m:oMath>
      <w:r w:rsidRPr="00C22708">
        <w:rPr>
          <w:rFonts w:ascii="Times New Roman" w:hAnsi="Times New Roman"/>
          <w:sz w:val="20"/>
        </w:rPr>
        <w:t xml:space="preserve"> is the average</w:t>
      </w:r>
      <w:r>
        <w:rPr>
          <w:rFonts w:ascii="Times New Roman" w:hAnsi="Times New Roman"/>
          <w:sz w:val="20"/>
        </w:rPr>
        <w:t xml:space="preserve"> radiation</w:t>
      </w:r>
      <w:r w:rsidRPr="00C22708">
        <w:rPr>
          <w:rFonts w:ascii="Times New Roman" w:hAnsi="Times New Roman"/>
          <w:sz w:val="20"/>
        </w:rPr>
        <w:t xml:space="preserve"> count</w:t>
      </w:r>
      <w:r w:rsidRPr="00C22708">
        <w:rPr>
          <w:rFonts w:ascii="Times New Roman" w:hAnsi="Times New Roman"/>
          <w:iCs/>
          <w:color w:val="000000"/>
          <w:sz w:val="20"/>
        </w:rPr>
        <w:t xml:space="preserve"> </w:t>
      </w:r>
      <w:r w:rsidRPr="00C22708">
        <w:rPr>
          <w:rFonts w:ascii="Times New Roman" w:hAnsi="Times New Roman"/>
          <w:iCs/>
          <w:color w:val="000000"/>
          <w:sz w:val="20"/>
        </w:rPr>
        <w:fldChar w:fldCharType="begin" w:fldLock="1"/>
      </w:r>
      <w:r w:rsidRPr="00C22708">
        <w:rPr>
          <w:rFonts w:ascii="Times New Roman" w:hAnsi="Times New Roman"/>
          <w:iCs/>
          <w:color w:val="000000"/>
          <w:sz w:val="20"/>
        </w:rPr>
        <w:instrText>ADDIN CSL_CITATION {"citationItems":[{"id":"ITEM-1","itemData":{"abstract":"Quality Control (QC), test procedures for Nuclear Instrumentation are important for assurance of proper and safe operation of the instruments, especially with regard to equipment related to radiological safety, human health and national safety. Correct measurements of radiation parameters must be ensured, i.e., accurate measurement of the number of radioactive events, counting times and in some cases accurate measurements of the radiation energy and occuring time of the nuclear events. There are several kinds of testing on nuclear instruments, for example, type-testing done by suppliers, acceptance testing made by the end users, Quality Control tests after repair and Quality Assurance/Quality Controls tests made by end-users. All of these tests are based in many cases on practical guidelines or on the experience of the own specialist, the available standards on this topic also need to be adapted to specific instruments. The IAEA has provided nuclear instruments and supported the operational maintenance efforts of the Member States. Although Nuclear Instrumentation is continuously upgraded, some older or aged instruments are still in use and in good working condition. Some of these instruments may not, however, meet modern requirements for the end-user therefore, Member States, mostly those with emerging economies, modernize/refurbish such instruments to meet the end-user demands. As a result, new instrumentation which is not commercially available, or modernized/refurbished instruments, need to be tested or verified with QC procedures to meet national or international certification requirements. A technical meeting on QC procedures applied to nuclear instruments was organized in Vienna from 23 to 24 August 2007. Existing and required QC test procedures necessary for the verification of operation and measurement of the main characteristics of nuclear instruments was the focus of discussion at this meeting. Presentations made at the technical meeting provided valuable information, new proposals, and technical opinions which have been compiled and summarized in this publication and should be useful for technical staff dealing with QC test procedures for maintenance, repair, design and modernization/refurbishment of nuclear instruments. Nine experts in this field as well as users of nuclear instruments presented their latest results; discussions held during the meeting and following the presentations included many technical comments. This publication is a c…","author":[{"dropping-particle":"","family":"IAEA","given":"","non-dropping-particle":"","parse-names":false,"suffix":""}],"container-title":"Iaea-Tecdoc","id":"ITEM-1","issue":"August 2007","issued":{"date-parts":[["2008"]]},"page":"69","title":"Quality Control Procedures Applied to Nuclear Instruments","type":"article-journal","volume":"1599"},"uris":["http://www.mendeley.com/documents/?uuid=c986f8a3-2860-4ffa-a64b-15581b07b910"]}],"mendeley":{"formattedCitation":"[22]","plainTextFormattedCitation":"[22]","previouslyFormattedCitation":"[22]"},"properties":{"noteIndex":0},"schema":"https://github.com/citation-style-language/schema/raw/master/csl-citation.json"}</w:instrText>
      </w:r>
      <w:r w:rsidRPr="00C22708">
        <w:rPr>
          <w:rFonts w:ascii="Times New Roman" w:hAnsi="Times New Roman"/>
          <w:iCs/>
          <w:color w:val="000000"/>
          <w:sz w:val="20"/>
        </w:rPr>
        <w:fldChar w:fldCharType="separate"/>
      </w:r>
      <w:r w:rsidRPr="00C22708">
        <w:rPr>
          <w:rFonts w:ascii="Times New Roman" w:hAnsi="Times New Roman"/>
          <w:iCs/>
          <w:noProof/>
          <w:color w:val="000000"/>
          <w:sz w:val="20"/>
        </w:rPr>
        <w:t>[22]</w:t>
      </w:r>
      <w:r w:rsidRPr="00C22708">
        <w:rPr>
          <w:rFonts w:ascii="Times New Roman" w:hAnsi="Times New Roman"/>
          <w:iCs/>
          <w:color w:val="000000"/>
          <w:sz w:val="20"/>
        </w:rPr>
        <w:fldChar w:fldCharType="end"/>
      </w:r>
      <w:r w:rsidR="006615A8">
        <w:rPr>
          <w:rFonts w:ascii="Times New Roman" w:hAnsi="Times New Roman"/>
          <w:iCs/>
          <w:color w:val="000000"/>
          <w:sz w:val="20"/>
        </w:rPr>
        <w:t>.</w:t>
      </w:r>
    </w:p>
    <w:p w14:paraId="4EEFA1E3" w14:textId="5C2ACA38" w:rsidR="005518F9" w:rsidRDefault="005518F9" w:rsidP="005518F9">
      <w:pPr>
        <w:pStyle w:val="Heading2"/>
      </w:pPr>
      <w:r w:rsidRPr="005518F9">
        <w:t>Digital Image Viewer</w:t>
      </w:r>
    </w:p>
    <w:p w14:paraId="59726062" w14:textId="7BACC97E" w:rsidR="005518F9" w:rsidRDefault="000343E4" w:rsidP="005518F9">
      <w:pPr>
        <w:pStyle w:val="Paragraph"/>
        <w:rPr>
          <w:noProof/>
        </w:rPr>
      </w:pPr>
      <w:r w:rsidRPr="000343E4">
        <w:rPr>
          <w:noProof/>
        </w:rPr>
        <w:t xml:space="preserve">The image is the reconstruction of the gamma radiation counting matrix. </w:t>
      </w:r>
      <w:r w:rsidR="008863B9" w:rsidRPr="008863B9">
        <w:rPr>
          <w:noProof/>
        </w:rPr>
        <w:t>The scintillation detector is placed in front of the source 1 cm apart</w:t>
      </w:r>
      <w:r w:rsidR="00485608">
        <w:rPr>
          <w:noProof/>
        </w:rPr>
        <w:t>,</w:t>
      </w:r>
      <w:r w:rsidR="008863B9">
        <w:rPr>
          <w:noProof/>
        </w:rPr>
        <w:t xml:space="preserve"> as shown in Figure 2</w:t>
      </w:r>
      <w:r w:rsidR="008863B9" w:rsidRPr="008863B9">
        <w:rPr>
          <w:noProof/>
        </w:rPr>
        <w:t>.</w:t>
      </w:r>
      <w:r w:rsidR="008863B9">
        <w:rPr>
          <w:noProof/>
        </w:rPr>
        <w:t xml:space="preserve"> </w:t>
      </w:r>
      <w:r w:rsidRPr="000343E4">
        <w:rPr>
          <w:noProof/>
        </w:rPr>
        <w:t xml:space="preserve">The source Cs-137 </w:t>
      </w:r>
      <w:r w:rsidR="00450789">
        <w:rPr>
          <w:noProof/>
        </w:rPr>
        <w:t xml:space="preserve">was </w:t>
      </w:r>
      <w:r w:rsidRPr="000343E4">
        <w:rPr>
          <w:noProof/>
        </w:rPr>
        <w:t xml:space="preserve">placed in a 7×7 cm acrylic phantom with three different positions (40,30; 20,50; and 13.5,13.5; in mm) based on the coordinates </w:t>
      </w:r>
      <w:r>
        <w:rPr>
          <w:noProof/>
        </w:rPr>
        <w:t>in</w:t>
      </w:r>
      <w:r w:rsidRPr="000343E4">
        <w:rPr>
          <w:noProof/>
        </w:rPr>
        <w:t xml:space="preserve"> </w:t>
      </w:r>
      <w:r w:rsidR="008863B9">
        <w:rPr>
          <w:noProof/>
        </w:rPr>
        <w:t xml:space="preserve">Figure </w:t>
      </w:r>
      <w:r w:rsidRPr="000343E4">
        <w:rPr>
          <w:noProof/>
        </w:rPr>
        <w:t>3</w:t>
      </w:r>
      <w:r w:rsidR="00485608">
        <w:rPr>
          <w:noProof/>
        </w:rPr>
        <w:t>. T</w:t>
      </w:r>
      <w:r w:rsidR="008863B9">
        <w:rPr>
          <w:noProof/>
        </w:rPr>
        <w:t xml:space="preserve">he position of the Cs-137 in </w:t>
      </w:r>
      <w:r w:rsidR="00485608">
        <w:rPr>
          <w:noProof/>
        </w:rPr>
        <w:t xml:space="preserve">the </w:t>
      </w:r>
      <w:r w:rsidR="008863B9">
        <w:rPr>
          <w:noProof/>
        </w:rPr>
        <w:t>phantom is shown in Figure 4</w:t>
      </w:r>
      <w:r w:rsidRPr="000343E4">
        <w:rPr>
          <w:noProof/>
        </w:rPr>
        <w:t>.</w:t>
      </w:r>
      <w:r w:rsidR="00CD13AC">
        <w:rPr>
          <w:noProof/>
        </w:rPr>
        <w:t xml:space="preserve"> </w:t>
      </w:r>
      <w:r w:rsidR="00A96134" w:rsidRPr="00A96134">
        <w:rPr>
          <w:noProof/>
        </w:rPr>
        <w:t>These positions represent the location of Cs-137 in the middle and at the edge of the observation object.</w:t>
      </w:r>
    </w:p>
    <w:p w14:paraId="709CABCB" w14:textId="7EA0EFB9" w:rsidR="005518F9" w:rsidRDefault="005518F9" w:rsidP="000343E4">
      <w:pPr>
        <w:pStyle w:val="Paragraph"/>
        <w:ind w:firstLine="0"/>
        <w:jc w:val="center"/>
      </w:pPr>
      <w:r>
        <w:rPr>
          <w:noProof/>
        </w:rPr>
        <w:drawing>
          <wp:inline distT="0" distB="0" distL="0" distR="0" wp14:anchorId="110E122A" wp14:editId="5044E8B9">
            <wp:extent cx="4738255" cy="1344176"/>
            <wp:effectExtent l="0" t="0" r="571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356" b="36407"/>
                    <a:stretch/>
                  </pic:blipFill>
                  <pic:spPr bwMode="auto">
                    <a:xfrm>
                      <a:off x="0" y="0"/>
                      <a:ext cx="4744303" cy="1345892"/>
                    </a:xfrm>
                    <a:prstGeom prst="rect">
                      <a:avLst/>
                    </a:prstGeom>
                    <a:noFill/>
                    <a:ln>
                      <a:noFill/>
                    </a:ln>
                    <a:extLst>
                      <a:ext uri="{53640926-AAD7-44D8-BBD7-CCE9431645EC}">
                        <a14:shadowObscured xmlns:a14="http://schemas.microsoft.com/office/drawing/2010/main"/>
                      </a:ext>
                    </a:extLst>
                  </pic:spPr>
                </pic:pic>
              </a:graphicData>
            </a:graphic>
          </wp:inline>
        </w:drawing>
      </w:r>
    </w:p>
    <w:p w14:paraId="7F198955" w14:textId="1BAF0744" w:rsidR="000343E4" w:rsidRDefault="000343E4" w:rsidP="000343E4">
      <w:pPr>
        <w:pStyle w:val="FigureCaption"/>
      </w:pPr>
      <w:r w:rsidRPr="000343E4">
        <w:rPr>
          <w:b/>
          <w:bCs/>
        </w:rPr>
        <w:t xml:space="preserve">FIGURE </w:t>
      </w:r>
      <w:r>
        <w:rPr>
          <w:b/>
          <w:bCs/>
        </w:rPr>
        <w:t>2</w:t>
      </w:r>
      <w:r w:rsidRPr="000343E4">
        <w:rPr>
          <w:b/>
          <w:bCs/>
        </w:rPr>
        <w:t>.</w:t>
      </w:r>
      <w:r>
        <w:t xml:space="preserve"> </w:t>
      </w:r>
      <w:r w:rsidRPr="000343E4">
        <w:t>Block diagram of radiation count image data retrieval</w:t>
      </w:r>
      <w:r>
        <w:t xml:space="preserve"> </w:t>
      </w:r>
    </w:p>
    <w:p w14:paraId="419CB2CE" w14:textId="33846500" w:rsidR="000343E4" w:rsidRDefault="000343E4" w:rsidP="000343E4">
      <w:pPr>
        <w:pStyle w:val="Paragraph"/>
      </w:pPr>
    </w:p>
    <w:p w14:paraId="79237482" w14:textId="6F826CDD" w:rsidR="000343E4" w:rsidRDefault="000343E4" w:rsidP="000343E4">
      <w:pPr>
        <w:pStyle w:val="Paragraph"/>
        <w:ind w:firstLine="0"/>
        <w:jc w:val="center"/>
      </w:pPr>
      <w:r w:rsidRPr="002A7C03">
        <w:rPr>
          <w:noProof/>
        </w:rPr>
        <w:drawing>
          <wp:inline distT="0" distB="0" distL="0" distR="0" wp14:anchorId="47E3B631" wp14:editId="5E128A17">
            <wp:extent cx="2317102" cy="2275025"/>
            <wp:effectExtent l="0" t="0" r="0" b="7620"/>
            <wp:docPr id="4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1.png"/>
                    <pic:cNvPicPr/>
                  </pic:nvPicPr>
                  <pic:blipFill>
                    <a:blip r:embed="rId13" cstate="print"/>
                    <a:stretch>
                      <a:fillRect/>
                    </a:stretch>
                  </pic:blipFill>
                  <pic:spPr>
                    <a:xfrm>
                      <a:off x="0" y="0"/>
                      <a:ext cx="2317102" cy="2275025"/>
                    </a:xfrm>
                    <a:prstGeom prst="rect">
                      <a:avLst/>
                    </a:prstGeom>
                  </pic:spPr>
                </pic:pic>
              </a:graphicData>
            </a:graphic>
          </wp:inline>
        </w:drawing>
      </w:r>
    </w:p>
    <w:p w14:paraId="799752FE" w14:textId="0A676B45" w:rsidR="000343E4" w:rsidRDefault="000343E4" w:rsidP="000343E4">
      <w:pPr>
        <w:pStyle w:val="FigureCaption"/>
      </w:pPr>
      <w:r w:rsidRPr="000343E4">
        <w:rPr>
          <w:b/>
          <w:bCs/>
        </w:rPr>
        <w:t>FIGURE 3.</w:t>
      </w:r>
      <w:r>
        <w:t xml:space="preserve"> Data collection coordinate</w:t>
      </w:r>
    </w:p>
    <w:p w14:paraId="63CF9729" w14:textId="6FB822B4" w:rsidR="000343E4" w:rsidRDefault="000343E4" w:rsidP="000343E4">
      <w:pPr>
        <w:pStyle w:val="Paragraph"/>
        <w:rPr>
          <w:shd w:val="clear" w:color="auto" w:fill="FFFFFF"/>
        </w:rPr>
      </w:pPr>
    </w:p>
    <w:p w14:paraId="06184882" w14:textId="511C5584" w:rsidR="008863B9" w:rsidRDefault="008863B9" w:rsidP="008863B9">
      <w:pPr>
        <w:pStyle w:val="Paragraph"/>
        <w:ind w:firstLine="0"/>
        <w:jc w:val="center"/>
        <w:rPr>
          <w:shd w:val="clear" w:color="auto" w:fill="FFFFFF"/>
        </w:rPr>
      </w:pPr>
      <w:r>
        <w:rPr>
          <w:noProof/>
        </w:rPr>
        <w:drawing>
          <wp:inline distT="0" distB="0" distL="0" distR="0" wp14:anchorId="2A5B0F46" wp14:editId="41EB22EE">
            <wp:extent cx="4248807" cy="1671661"/>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70296" cy="1680116"/>
                    </a:xfrm>
                    <a:prstGeom prst="rect">
                      <a:avLst/>
                    </a:prstGeom>
                    <a:noFill/>
                  </pic:spPr>
                </pic:pic>
              </a:graphicData>
            </a:graphic>
          </wp:inline>
        </w:drawing>
      </w:r>
    </w:p>
    <w:p w14:paraId="470987D0" w14:textId="539B292A" w:rsidR="008863B9" w:rsidRDefault="008863B9" w:rsidP="008863B9">
      <w:pPr>
        <w:pStyle w:val="FigureCaption"/>
        <w:rPr>
          <w:shd w:val="clear" w:color="auto" w:fill="FFFFFF"/>
        </w:rPr>
      </w:pPr>
      <w:r>
        <w:rPr>
          <w:shd w:val="clear" w:color="auto" w:fill="FFFFFF"/>
        </w:rPr>
        <w:tab/>
      </w:r>
      <w:r w:rsidRPr="008863B9">
        <w:rPr>
          <w:b/>
          <w:bCs/>
          <w:shd w:val="clear" w:color="auto" w:fill="FFFFFF"/>
        </w:rPr>
        <w:t>FIGURE 4.</w:t>
      </w:r>
      <w:r>
        <w:rPr>
          <w:shd w:val="clear" w:color="auto" w:fill="FFFFFF"/>
        </w:rPr>
        <w:t xml:space="preserve"> </w:t>
      </w:r>
      <w:r>
        <w:t>The position of Gamma source, (a) first coordinate 40;30, (b) second coordinate 20;50, (c) third coordinate 13.5;13.5</w:t>
      </w:r>
    </w:p>
    <w:p w14:paraId="3C8AE918" w14:textId="59048959" w:rsidR="000343E4" w:rsidRDefault="000343E4" w:rsidP="000343E4">
      <w:pPr>
        <w:pStyle w:val="Paragraph"/>
      </w:pPr>
      <w:r w:rsidRPr="002A7C03">
        <w:rPr>
          <w:shd w:val="clear" w:color="auto" w:fill="FFFFFF"/>
        </w:rPr>
        <w:t>Gamma radiation is counted using a CsI(Tl) detector which has been given a lead (Pb) collimator</w:t>
      </w:r>
      <w:r w:rsidRPr="002A7C03">
        <w:t>.</w:t>
      </w:r>
      <w:r>
        <w:t xml:space="preserve"> </w:t>
      </w:r>
      <w:r w:rsidRPr="000343E4">
        <w:t xml:space="preserve">The collimator is used to focus the beam and to limit the catching area of the detector. The beam that escapes from the collimator will </w:t>
      </w:r>
      <w:r w:rsidRPr="000343E4">
        <w:lastRenderedPageBreak/>
        <w:t>go to the detector</w:t>
      </w:r>
      <w:r w:rsidR="00450789">
        <w:t xml:space="preserve">, hit the scintillation crystal inside the detector, </w:t>
      </w:r>
      <w:r w:rsidR="00485608">
        <w:t>turn into a light spark captured by the photocathode, and then forwar</w:t>
      </w:r>
      <w:r w:rsidRPr="000343E4">
        <w:t xml:space="preserve">d to the SSPM (Solid-State Photomultiplier) in the CsI(Tl) detector. This SSPM produces a z signal which is the emission from a gamma source (radioisotope). The measurement results are automatically sent via </w:t>
      </w:r>
      <w:r w:rsidR="00450789">
        <w:t>B</w:t>
      </w:r>
      <w:r w:rsidRPr="000343E4">
        <w:t>luetooth and displayed on the screen of the Android-based Atom Fast application</w:t>
      </w:r>
      <w:r w:rsidR="00485608">
        <w:t>. T</w:t>
      </w:r>
      <w:r w:rsidRPr="000343E4">
        <w:t xml:space="preserve">he stored data </w:t>
      </w:r>
      <w:r w:rsidR="00485608">
        <w:t xml:space="preserve">is </w:t>
      </w:r>
      <w:r w:rsidR="004B6DEF" w:rsidRPr="000343E4">
        <w:t>transferred</w:t>
      </w:r>
      <w:r w:rsidRPr="000343E4">
        <w:t xml:space="preserve"> to a computer for processing. The x and y coordinates </w:t>
      </w:r>
      <w:r w:rsidR="00450789">
        <w:t>representing the position of the test object image are obtained from the shift of the CsI(Tl) detector with the x, y coordinates</w:t>
      </w:r>
      <w:r w:rsidRPr="000343E4">
        <w:t xml:space="preserve"> determined based on Figur</w:t>
      </w:r>
      <w:r>
        <w:t xml:space="preserve">e 3. </w:t>
      </w:r>
    </w:p>
    <w:p w14:paraId="39F40E29" w14:textId="256B9DFA" w:rsidR="000343E4" w:rsidRDefault="000343E4" w:rsidP="000343E4">
      <w:pPr>
        <w:pStyle w:val="Paragraph"/>
      </w:pPr>
      <w:r w:rsidRPr="000343E4">
        <w:t>The results of the radiation count values are used as discrete values</w:t>
      </w:r>
      <w:r w:rsidR="00450789">
        <w:t>,</w:t>
      </w:r>
      <w:r w:rsidRPr="000343E4">
        <w:t xml:space="preserve"> which are then represented as the position of an image position of the phantom/test object using Python software. This image formation was carried out to determine the performance of the CsI(Tl) detector in planar scintigraphy imaging techniques.</w:t>
      </w:r>
    </w:p>
    <w:p w14:paraId="3DB1E46B" w14:textId="748A6705" w:rsidR="000343E4" w:rsidRDefault="004B66CF" w:rsidP="000343E4">
      <w:pPr>
        <w:pStyle w:val="Paragraph"/>
      </w:pPr>
      <w:r w:rsidRPr="004B66CF">
        <w:t xml:space="preserve">Data collection was done every 5 mm, so we have 15 points of measurement on each axis. </w:t>
      </w:r>
      <w:r w:rsidR="00485608" w:rsidRPr="00485608">
        <w:t>The 225 count data is formed into a 15</w:t>
      </w:r>
      <w:r w:rsidR="002270E4">
        <w:t>×</w:t>
      </w:r>
      <w:r w:rsidR="00485608" w:rsidRPr="00485608">
        <w:t>15 matrix. Furthermore, it is used as an image with a resolution of 15</w:t>
      </w:r>
      <w:r w:rsidR="002270E4">
        <w:t>×</w:t>
      </w:r>
      <w:r w:rsidR="00485608" w:rsidRPr="00485608">
        <w:t>15 pixels</w:t>
      </w:r>
      <w:r w:rsidRPr="004B66CF">
        <w:t>. Then the image resolution is enlarged to 70</w:t>
      </w:r>
      <w:r w:rsidR="002270E4">
        <w:t>×</w:t>
      </w:r>
      <w:r w:rsidRPr="004B66CF">
        <w:t>70 pixels (following the 70</w:t>
      </w:r>
      <w:r w:rsidR="002270E4">
        <w:t>×</w:t>
      </w:r>
      <w:r w:rsidRPr="004B66CF">
        <w:t>70 mm phantom size)</w:t>
      </w:r>
      <w:r w:rsidR="00A729F5">
        <w:t xml:space="preserve"> </w:t>
      </w:r>
      <w:r w:rsidR="00A729F5" w:rsidRPr="00A729F5">
        <w:t xml:space="preserve">because the image is </w:t>
      </w:r>
      <w:r w:rsidR="00A729F5">
        <w:t>coarse</w:t>
      </w:r>
      <w:r w:rsidR="00A729F5" w:rsidRPr="00A729F5">
        <w:t xml:space="preserve"> and difficult to observe visually</w:t>
      </w:r>
      <w:r w:rsidRPr="004B66CF">
        <w:t>. After the count value is converted into grayscale with a value ranging from 0 to 255, the next step is the thresholding process to convert it into a binary image (black and white). Thresholding is done with the condition that the gray color of the image has an intensity between the lower limit (min) and the upper limit (max)</w:t>
      </w:r>
      <w:r w:rsidR="00450789">
        <w:t>,</w:t>
      </w:r>
      <w:r w:rsidRPr="004B66CF">
        <w:t xml:space="preserve"> ranging from 0 to 255. The upper and lower limit values are between 0 to 1. In this study, the thresholding limit value is 0.71-0.88. Digital image processing is shown in </w:t>
      </w:r>
      <w:r>
        <w:t>F</w:t>
      </w:r>
      <w:r w:rsidRPr="004B66CF">
        <w:t>igure 4.</w:t>
      </w:r>
    </w:p>
    <w:p w14:paraId="5EDDFB00" w14:textId="77777777" w:rsidR="004B66CF" w:rsidRDefault="004B66CF" w:rsidP="000343E4">
      <w:pPr>
        <w:pStyle w:val="Paragraph"/>
      </w:pPr>
    </w:p>
    <w:p w14:paraId="4E4FE248" w14:textId="6087E3FE" w:rsidR="004B66CF" w:rsidRDefault="003E727F" w:rsidP="003E727F">
      <w:pPr>
        <w:pStyle w:val="Paragraph"/>
        <w:ind w:firstLine="0"/>
        <w:jc w:val="center"/>
      </w:pPr>
      <w:r w:rsidRPr="002A7C03">
        <w:object w:dxaOrig="9997" w:dyaOrig="1116" w14:anchorId="69A8B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42.6pt" o:ole="">
            <v:imagedata r:id="rId15" o:title=""/>
          </v:shape>
          <o:OLEObject Type="Embed" ProgID="Visio.Drawing.15" ShapeID="_x0000_i1025" DrawAspect="Content" ObjectID="_1694788515" r:id="rId16"/>
        </w:object>
      </w:r>
    </w:p>
    <w:p w14:paraId="7C6D1D57" w14:textId="5CD877C6" w:rsidR="004B66CF" w:rsidRDefault="004B66CF" w:rsidP="004B66CF">
      <w:pPr>
        <w:pStyle w:val="FigureCaption"/>
      </w:pPr>
      <w:r w:rsidRPr="004B66CF">
        <w:rPr>
          <w:b/>
          <w:bCs/>
        </w:rPr>
        <w:t>FIGURE 4.</w:t>
      </w:r>
      <w:r>
        <w:t xml:space="preserve"> </w:t>
      </w:r>
      <w:r w:rsidRPr="004B66CF">
        <w:t>Digital image processing</w:t>
      </w:r>
      <w:r>
        <w:t>’s flowchart</w:t>
      </w:r>
    </w:p>
    <w:p w14:paraId="56865493" w14:textId="5AC57798" w:rsidR="00974B1B" w:rsidRDefault="00974B1B" w:rsidP="00974B1B">
      <w:pPr>
        <w:pStyle w:val="Heading1"/>
      </w:pPr>
      <w:r>
        <w:t>result and discussion</w:t>
      </w:r>
    </w:p>
    <w:p w14:paraId="6489D889" w14:textId="709DC422" w:rsidR="00974B1B" w:rsidRDefault="008863B9" w:rsidP="008863B9">
      <w:pPr>
        <w:pStyle w:val="Heading2"/>
      </w:pPr>
      <w:r>
        <w:t>Test Result of Detector to Source Ideal Distance</w:t>
      </w:r>
    </w:p>
    <w:p w14:paraId="6F7A3134" w14:textId="382671DE" w:rsidR="008863B9" w:rsidRDefault="008863B9" w:rsidP="008863B9">
      <w:pPr>
        <w:pStyle w:val="Paragraph"/>
      </w:pPr>
      <w:r w:rsidRPr="008863B9">
        <w:t xml:space="preserve">The distance between the source and detector being tested is from 1 cm to 4 cm with an interval of 0.5 cm. For each distance variation, the total and background were counted 10 times, then averaged and calculated limit of detection (LOD) and limit </w:t>
      </w:r>
      <w:r>
        <w:t xml:space="preserve">of </w:t>
      </w:r>
      <w:r w:rsidRPr="008863B9">
        <w:t xml:space="preserve">quantization (LOQ) based on equations (1) and (2). If the </w:t>
      </w:r>
      <w:r w:rsidR="00485608">
        <w:t>net radiation count resul</w:t>
      </w:r>
      <w:r w:rsidRPr="008863B9">
        <w:t xml:space="preserve">t is </w:t>
      </w:r>
      <w:r w:rsidR="00485608">
        <w:t>more excellent</w:t>
      </w:r>
      <w:r w:rsidRPr="008863B9">
        <w:t xml:space="preserve"> than the LOD and LOQ, it is passed. The test results are presented in </w:t>
      </w:r>
      <w:r w:rsidR="00485608">
        <w:t>T</w:t>
      </w:r>
      <w:r w:rsidRPr="008863B9">
        <w:t>able 2</w:t>
      </w:r>
      <w:r>
        <w:t>.</w:t>
      </w:r>
    </w:p>
    <w:p w14:paraId="24D2A0AE" w14:textId="4275871A" w:rsidR="00662E9F" w:rsidRDefault="003E727F" w:rsidP="00662E9F">
      <w:pPr>
        <w:pStyle w:val="TableCaption"/>
      </w:pPr>
      <w:bookmarkStart w:id="0" w:name="_Hlk79762239"/>
      <w:r>
        <w:rPr>
          <w:b/>
          <w:bCs/>
        </w:rPr>
        <w:t>Table</w:t>
      </w:r>
      <w:r w:rsidR="00662E9F" w:rsidRPr="00662E9F">
        <w:rPr>
          <w:b/>
          <w:bCs/>
        </w:rPr>
        <w:t xml:space="preserve"> 2.</w:t>
      </w:r>
      <w:r w:rsidR="00662E9F">
        <w:t xml:space="preserve"> The test results of LOD dan LOQ</w:t>
      </w:r>
    </w:p>
    <w:tbl>
      <w:tblPr>
        <w:tblW w:w="9639" w:type="dxa"/>
        <w:jc w:val="center"/>
        <w:tblBorders>
          <w:bottom w:val="single" w:sz="4" w:space="0" w:color="auto"/>
        </w:tblBorders>
        <w:tblLayout w:type="fixed"/>
        <w:tblLook w:val="0000" w:firstRow="0" w:lastRow="0" w:firstColumn="0" w:lastColumn="0" w:noHBand="0" w:noVBand="0"/>
      </w:tblPr>
      <w:tblGrid>
        <w:gridCol w:w="993"/>
        <w:gridCol w:w="1418"/>
        <w:gridCol w:w="1275"/>
        <w:gridCol w:w="1276"/>
        <w:gridCol w:w="992"/>
        <w:gridCol w:w="992"/>
        <w:gridCol w:w="2693"/>
      </w:tblGrid>
      <w:tr w:rsidR="00662E9F" w:rsidRPr="00075EA6" w14:paraId="4AE59688" w14:textId="15E03E02" w:rsidTr="00662E9F">
        <w:trPr>
          <w:cantSplit/>
          <w:trHeight w:val="272"/>
          <w:jc w:val="center"/>
        </w:trPr>
        <w:tc>
          <w:tcPr>
            <w:tcW w:w="993" w:type="dxa"/>
            <w:tcBorders>
              <w:top w:val="single" w:sz="4" w:space="0" w:color="auto"/>
              <w:bottom w:val="single" w:sz="4" w:space="0" w:color="auto"/>
            </w:tcBorders>
            <w:vAlign w:val="center"/>
          </w:tcPr>
          <w:p w14:paraId="3B58FF6B" w14:textId="5FE71CF1" w:rsidR="00662E9F" w:rsidRPr="00075EA6" w:rsidRDefault="00662E9F" w:rsidP="00662E9F">
            <w:pPr>
              <w:jc w:val="center"/>
            </w:pPr>
            <w:r>
              <w:rPr>
                <w:b/>
                <w:sz w:val="18"/>
                <w:szCs w:val="18"/>
              </w:rPr>
              <w:t>Distance (cm)</w:t>
            </w:r>
          </w:p>
        </w:tc>
        <w:tc>
          <w:tcPr>
            <w:tcW w:w="1418" w:type="dxa"/>
            <w:tcBorders>
              <w:top w:val="single" w:sz="4" w:space="0" w:color="auto"/>
              <w:bottom w:val="single" w:sz="4" w:space="0" w:color="auto"/>
            </w:tcBorders>
            <w:vAlign w:val="center"/>
          </w:tcPr>
          <w:p w14:paraId="60FF27DD" w14:textId="673E2E20" w:rsidR="00662E9F" w:rsidRPr="00075EA6" w:rsidRDefault="00662E9F" w:rsidP="00662E9F">
            <w:pPr>
              <w:jc w:val="center"/>
              <w:rPr>
                <w:b/>
                <w:sz w:val="18"/>
                <w:szCs w:val="18"/>
              </w:rPr>
            </w:pPr>
            <w:r>
              <w:rPr>
                <w:b/>
                <w:sz w:val="18"/>
                <w:szCs w:val="18"/>
              </w:rPr>
              <w:t>Average total radiation count (cps)</w:t>
            </w:r>
          </w:p>
        </w:tc>
        <w:tc>
          <w:tcPr>
            <w:tcW w:w="1275" w:type="dxa"/>
            <w:tcBorders>
              <w:top w:val="single" w:sz="4" w:space="0" w:color="auto"/>
              <w:bottom w:val="single" w:sz="4" w:space="0" w:color="auto"/>
            </w:tcBorders>
            <w:vAlign w:val="center"/>
          </w:tcPr>
          <w:p w14:paraId="604B76CC" w14:textId="340C39BB" w:rsidR="00662E9F" w:rsidRPr="00075EA6" w:rsidRDefault="00662E9F" w:rsidP="00662E9F">
            <w:pPr>
              <w:jc w:val="center"/>
              <w:rPr>
                <w:b/>
                <w:sz w:val="18"/>
                <w:szCs w:val="18"/>
              </w:rPr>
            </w:pPr>
            <w:r>
              <w:rPr>
                <w:b/>
                <w:sz w:val="18"/>
                <w:szCs w:val="18"/>
              </w:rPr>
              <w:t>Average background radiation count (cps)</w:t>
            </w:r>
          </w:p>
        </w:tc>
        <w:tc>
          <w:tcPr>
            <w:tcW w:w="1276" w:type="dxa"/>
            <w:tcBorders>
              <w:top w:val="single" w:sz="4" w:space="0" w:color="auto"/>
              <w:bottom w:val="single" w:sz="4" w:space="0" w:color="auto"/>
            </w:tcBorders>
            <w:vAlign w:val="center"/>
          </w:tcPr>
          <w:p w14:paraId="4A196286" w14:textId="53EF99AF" w:rsidR="00662E9F" w:rsidRPr="00075EA6" w:rsidRDefault="00662E9F" w:rsidP="00662E9F">
            <w:pPr>
              <w:jc w:val="center"/>
              <w:rPr>
                <w:b/>
                <w:sz w:val="18"/>
                <w:szCs w:val="18"/>
              </w:rPr>
            </w:pPr>
            <w:r>
              <w:rPr>
                <w:b/>
                <w:sz w:val="18"/>
                <w:szCs w:val="18"/>
              </w:rPr>
              <w:t>Average net radiation count (cps)</w:t>
            </w:r>
          </w:p>
        </w:tc>
        <w:tc>
          <w:tcPr>
            <w:tcW w:w="992" w:type="dxa"/>
            <w:tcBorders>
              <w:top w:val="single" w:sz="4" w:space="0" w:color="auto"/>
              <w:bottom w:val="single" w:sz="4" w:space="0" w:color="auto"/>
            </w:tcBorders>
            <w:vAlign w:val="center"/>
          </w:tcPr>
          <w:p w14:paraId="25A535D5" w14:textId="3763F92B" w:rsidR="00662E9F" w:rsidRPr="00075EA6" w:rsidRDefault="00662E9F" w:rsidP="00662E9F">
            <w:pPr>
              <w:jc w:val="center"/>
              <w:rPr>
                <w:b/>
                <w:sz w:val="18"/>
                <w:szCs w:val="18"/>
              </w:rPr>
            </w:pPr>
            <w:r w:rsidRPr="00662E9F">
              <w:rPr>
                <w:b/>
                <w:sz w:val="18"/>
                <w:szCs w:val="18"/>
              </w:rPr>
              <w:t>L</w:t>
            </w:r>
            <w:r>
              <w:rPr>
                <w:b/>
                <w:sz w:val="18"/>
                <w:szCs w:val="18"/>
              </w:rPr>
              <w:t>OD</w:t>
            </w:r>
            <w:r w:rsidRPr="00662E9F">
              <w:rPr>
                <w:b/>
                <w:sz w:val="18"/>
                <w:szCs w:val="18"/>
              </w:rPr>
              <w:t xml:space="preserve"> 3σ</w:t>
            </w:r>
          </w:p>
        </w:tc>
        <w:tc>
          <w:tcPr>
            <w:tcW w:w="992" w:type="dxa"/>
            <w:tcBorders>
              <w:top w:val="single" w:sz="4" w:space="0" w:color="auto"/>
              <w:bottom w:val="single" w:sz="4" w:space="0" w:color="auto"/>
            </w:tcBorders>
            <w:vAlign w:val="center"/>
          </w:tcPr>
          <w:p w14:paraId="41B68B1C" w14:textId="4ABB6BA0" w:rsidR="00662E9F" w:rsidRPr="00075EA6" w:rsidRDefault="00662E9F" w:rsidP="00662E9F">
            <w:pPr>
              <w:jc w:val="center"/>
              <w:rPr>
                <w:b/>
                <w:sz w:val="18"/>
                <w:szCs w:val="18"/>
              </w:rPr>
            </w:pPr>
            <w:r w:rsidRPr="00662E9F">
              <w:rPr>
                <w:b/>
                <w:sz w:val="18"/>
                <w:szCs w:val="18"/>
              </w:rPr>
              <w:t>L</w:t>
            </w:r>
            <w:r>
              <w:rPr>
                <w:b/>
                <w:sz w:val="18"/>
                <w:szCs w:val="18"/>
              </w:rPr>
              <w:t>OQ</w:t>
            </w:r>
            <w:r w:rsidRPr="00662E9F">
              <w:rPr>
                <w:b/>
                <w:sz w:val="18"/>
                <w:szCs w:val="18"/>
              </w:rPr>
              <w:t xml:space="preserve"> 7σ</w:t>
            </w:r>
          </w:p>
        </w:tc>
        <w:tc>
          <w:tcPr>
            <w:tcW w:w="2693" w:type="dxa"/>
            <w:tcBorders>
              <w:top w:val="single" w:sz="4" w:space="0" w:color="auto"/>
              <w:bottom w:val="single" w:sz="4" w:space="0" w:color="auto"/>
            </w:tcBorders>
            <w:vAlign w:val="center"/>
          </w:tcPr>
          <w:p w14:paraId="56B792B7" w14:textId="2006791B" w:rsidR="00662E9F" w:rsidRPr="00662E9F" w:rsidRDefault="00662E9F" w:rsidP="00662E9F">
            <w:pPr>
              <w:jc w:val="center"/>
              <w:rPr>
                <w:b/>
                <w:sz w:val="18"/>
                <w:szCs w:val="18"/>
              </w:rPr>
            </w:pPr>
            <w:r>
              <w:rPr>
                <w:b/>
                <w:sz w:val="18"/>
                <w:szCs w:val="18"/>
              </w:rPr>
              <w:t>Result</w:t>
            </w:r>
          </w:p>
        </w:tc>
      </w:tr>
      <w:tr w:rsidR="008C3970" w:rsidRPr="005A0E21" w14:paraId="42439848" w14:textId="5B8454F7" w:rsidTr="00662E9F">
        <w:trPr>
          <w:cantSplit/>
          <w:jc w:val="center"/>
        </w:trPr>
        <w:tc>
          <w:tcPr>
            <w:tcW w:w="993" w:type="dxa"/>
            <w:tcBorders>
              <w:top w:val="nil"/>
            </w:tcBorders>
            <w:vAlign w:val="bottom"/>
          </w:tcPr>
          <w:p w14:paraId="64CCAFCD" w14:textId="252D91D5" w:rsidR="008C3970" w:rsidRPr="00662E9F" w:rsidRDefault="008C3970" w:rsidP="008C3970">
            <w:pPr>
              <w:pStyle w:val="Paragraph"/>
              <w:ind w:firstLine="0"/>
              <w:jc w:val="center"/>
              <w:rPr>
                <w:sz w:val="18"/>
                <w:szCs w:val="18"/>
              </w:rPr>
            </w:pPr>
            <w:r w:rsidRPr="00662E9F">
              <w:rPr>
                <w:color w:val="000000"/>
                <w:sz w:val="18"/>
                <w:szCs w:val="18"/>
              </w:rPr>
              <w:t>4.0</w:t>
            </w:r>
          </w:p>
        </w:tc>
        <w:tc>
          <w:tcPr>
            <w:tcW w:w="1418" w:type="dxa"/>
            <w:tcBorders>
              <w:top w:val="nil"/>
            </w:tcBorders>
            <w:vAlign w:val="bottom"/>
          </w:tcPr>
          <w:p w14:paraId="6ECF3321" w14:textId="60405EF6" w:rsidR="008C3970" w:rsidRPr="00662E9F" w:rsidRDefault="008C3970" w:rsidP="008C3970">
            <w:pPr>
              <w:jc w:val="center"/>
              <w:rPr>
                <w:sz w:val="18"/>
                <w:szCs w:val="18"/>
              </w:rPr>
            </w:pPr>
            <w:r w:rsidRPr="00662E9F">
              <w:rPr>
                <w:color w:val="000000"/>
                <w:sz w:val="18"/>
                <w:szCs w:val="18"/>
              </w:rPr>
              <w:t>10</w:t>
            </w:r>
            <w:r>
              <w:rPr>
                <w:color w:val="000000"/>
                <w:sz w:val="18"/>
                <w:szCs w:val="18"/>
              </w:rPr>
              <w:t>.</w:t>
            </w:r>
            <w:r w:rsidRPr="00662E9F">
              <w:rPr>
                <w:color w:val="000000"/>
                <w:sz w:val="18"/>
                <w:szCs w:val="18"/>
              </w:rPr>
              <w:t>23</w:t>
            </w:r>
          </w:p>
        </w:tc>
        <w:tc>
          <w:tcPr>
            <w:tcW w:w="1275" w:type="dxa"/>
            <w:tcBorders>
              <w:top w:val="nil"/>
            </w:tcBorders>
            <w:vAlign w:val="bottom"/>
          </w:tcPr>
          <w:p w14:paraId="1B8147DB" w14:textId="2087E141" w:rsidR="008C3970" w:rsidRPr="00662E9F" w:rsidRDefault="008C3970" w:rsidP="008C3970">
            <w:pPr>
              <w:jc w:val="center"/>
              <w:rPr>
                <w:sz w:val="18"/>
                <w:szCs w:val="18"/>
              </w:rPr>
            </w:pPr>
            <w:r w:rsidRPr="00662E9F">
              <w:rPr>
                <w:color w:val="000000"/>
                <w:sz w:val="18"/>
                <w:szCs w:val="18"/>
              </w:rPr>
              <w:t>6</w:t>
            </w:r>
            <w:r>
              <w:rPr>
                <w:color w:val="000000"/>
                <w:sz w:val="18"/>
                <w:szCs w:val="18"/>
              </w:rPr>
              <w:t>.</w:t>
            </w:r>
            <w:r w:rsidRPr="00662E9F">
              <w:rPr>
                <w:color w:val="000000"/>
                <w:sz w:val="18"/>
                <w:szCs w:val="18"/>
              </w:rPr>
              <w:t>66</w:t>
            </w:r>
          </w:p>
        </w:tc>
        <w:tc>
          <w:tcPr>
            <w:tcW w:w="1276" w:type="dxa"/>
            <w:tcBorders>
              <w:top w:val="nil"/>
            </w:tcBorders>
            <w:vAlign w:val="bottom"/>
          </w:tcPr>
          <w:p w14:paraId="49AE641D" w14:textId="17D944F2" w:rsidR="008C3970" w:rsidRPr="00662E9F" w:rsidRDefault="008C3970" w:rsidP="008C3970">
            <w:pPr>
              <w:jc w:val="center"/>
              <w:rPr>
                <w:sz w:val="18"/>
                <w:szCs w:val="18"/>
              </w:rPr>
            </w:pPr>
            <w:r w:rsidRPr="00662E9F">
              <w:rPr>
                <w:color w:val="000000"/>
                <w:sz w:val="18"/>
                <w:szCs w:val="18"/>
              </w:rPr>
              <w:t>3</w:t>
            </w:r>
            <w:r>
              <w:rPr>
                <w:color w:val="000000"/>
                <w:sz w:val="18"/>
                <w:szCs w:val="18"/>
              </w:rPr>
              <w:t>.</w:t>
            </w:r>
            <w:r w:rsidRPr="00662E9F">
              <w:rPr>
                <w:color w:val="000000"/>
                <w:sz w:val="18"/>
                <w:szCs w:val="18"/>
              </w:rPr>
              <w:t>57</w:t>
            </w:r>
          </w:p>
        </w:tc>
        <w:tc>
          <w:tcPr>
            <w:tcW w:w="992" w:type="dxa"/>
            <w:tcBorders>
              <w:top w:val="nil"/>
            </w:tcBorders>
            <w:vAlign w:val="bottom"/>
          </w:tcPr>
          <w:p w14:paraId="2E8305A4" w14:textId="0536B296" w:rsidR="008C3970" w:rsidRPr="00662E9F" w:rsidRDefault="008C3970" w:rsidP="008C3970">
            <w:pPr>
              <w:jc w:val="center"/>
              <w:rPr>
                <w:sz w:val="18"/>
                <w:szCs w:val="18"/>
              </w:rPr>
            </w:pPr>
            <w:r w:rsidRPr="00662E9F">
              <w:rPr>
                <w:color w:val="000000"/>
                <w:sz w:val="18"/>
                <w:szCs w:val="18"/>
              </w:rPr>
              <w:t>7</w:t>
            </w:r>
            <w:r>
              <w:rPr>
                <w:color w:val="000000"/>
                <w:sz w:val="18"/>
                <w:szCs w:val="18"/>
              </w:rPr>
              <w:t>.</w:t>
            </w:r>
            <w:r w:rsidRPr="00662E9F">
              <w:rPr>
                <w:color w:val="000000"/>
                <w:sz w:val="18"/>
                <w:szCs w:val="18"/>
              </w:rPr>
              <w:t>74</w:t>
            </w:r>
          </w:p>
        </w:tc>
        <w:tc>
          <w:tcPr>
            <w:tcW w:w="992" w:type="dxa"/>
            <w:tcBorders>
              <w:top w:val="nil"/>
            </w:tcBorders>
            <w:vAlign w:val="bottom"/>
          </w:tcPr>
          <w:p w14:paraId="0994284B" w14:textId="1E6DE096" w:rsidR="008C3970" w:rsidRPr="00662E9F" w:rsidRDefault="008C3970" w:rsidP="008C3970">
            <w:pPr>
              <w:jc w:val="center"/>
              <w:rPr>
                <w:sz w:val="18"/>
                <w:szCs w:val="18"/>
              </w:rPr>
            </w:pPr>
            <w:r w:rsidRPr="00662E9F">
              <w:rPr>
                <w:color w:val="000000"/>
                <w:sz w:val="18"/>
                <w:szCs w:val="18"/>
              </w:rPr>
              <w:t>18</w:t>
            </w:r>
            <w:r>
              <w:rPr>
                <w:color w:val="000000"/>
                <w:sz w:val="18"/>
                <w:szCs w:val="18"/>
              </w:rPr>
              <w:t>.</w:t>
            </w:r>
            <w:r w:rsidRPr="00662E9F">
              <w:rPr>
                <w:color w:val="000000"/>
                <w:sz w:val="18"/>
                <w:szCs w:val="18"/>
              </w:rPr>
              <w:t>07</w:t>
            </w:r>
          </w:p>
        </w:tc>
        <w:tc>
          <w:tcPr>
            <w:tcW w:w="2693" w:type="dxa"/>
            <w:tcBorders>
              <w:top w:val="nil"/>
            </w:tcBorders>
          </w:tcPr>
          <w:p w14:paraId="7EBC6370" w14:textId="784DA7E4" w:rsidR="008C3970" w:rsidRPr="00662E9F" w:rsidRDefault="008C3970" w:rsidP="008C3970">
            <w:pPr>
              <w:jc w:val="center"/>
              <w:rPr>
                <w:sz w:val="20"/>
              </w:rPr>
            </w:pPr>
            <w:r>
              <w:rPr>
                <w:sz w:val="20"/>
              </w:rPr>
              <w:t>LOD and LOQ didn’t pass</w:t>
            </w:r>
          </w:p>
        </w:tc>
      </w:tr>
      <w:tr w:rsidR="008C3970" w:rsidRPr="005A0E21" w14:paraId="2A9F55EB" w14:textId="77777777" w:rsidTr="00662E9F">
        <w:trPr>
          <w:cantSplit/>
          <w:jc w:val="center"/>
        </w:trPr>
        <w:tc>
          <w:tcPr>
            <w:tcW w:w="993" w:type="dxa"/>
            <w:tcBorders>
              <w:top w:val="nil"/>
            </w:tcBorders>
            <w:vAlign w:val="bottom"/>
          </w:tcPr>
          <w:p w14:paraId="70B8C414" w14:textId="562EC805" w:rsidR="008C3970" w:rsidRPr="00662E9F" w:rsidRDefault="008C3970" w:rsidP="008C3970">
            <w:pPr>
              <w:pStyle w:val="Paragraph"/>
              <w:ind w:firstLine="0"/>
              <w:jc w:val="center"/>
              <w:rPr>
                <w:sz w:val="18"/>
                <w:szCs w:val="18"/>
              </w:rPr>
            </w:pPr>
            <w:r w:rsidRPr="00662E9F">
              <w:rPr>
                <w:color w:val="000000"/>
                <w:sz w:val="18"/>
                <w:szCs w:val="18"/>
              </w:rPr>
              <w:t>3.5</w:t>
            </w:r>
          </w:p>
        </w:tc>
        <w:tc>
          <w:tcPr>
            <w:tcW w:w="1418" w:type="dxa"/>
            <w:tcBorders>
              <w:top w:val="nil"/>
            </w:tcBorders>
            <w:vAlign w:val="bottom"/>
          </w:tcPr>
          <w:p w14:paraId="7B47223B" w14:textId="5BBC3AC3" w:rsidR="008C3970" w:rsidRPr="00662E9F" w:rsidRDefault="008C3970" w:rsidP="008C3970">
            <w:pPr>
              <w:jc w:val="center"/>
              <w:rPr>
                <w:sz w:val="18"/>
                <w:szCs w:val="18"/>
              </w:rPr>
            </w:pPr>
            <w:r w:rsidRPr="00662E9F">
              <w:rPr>
                <w:color w:val="000000"/>
                <w:sz w:val="18"/>
                <w:szCs w:val="18"/>
              </w:rPr>
              <w:t>11</w:t>
            </w:r>
            <w:r>
              <w:rPr>
                <w:color w:val="000000"/>
                <w:sz w:val="18"/>
                <w:szCs w:val="18"/>
              </w:rPr>
              <w:t>.</w:t>
            </w:r>
            <w:r w:rsidRPr="00662E9F">
              <w:rPr>
                <w:color w:val="000000"/>
                <w:sz w:val="18"/>
                <w:szCs w:val="18"/>
              </w:rPr>
              <w:t>73</w:t>
            </w:r>
          </w:p>
        </w:tc>
        <w:tc>
          <w:tcPr>
            <w:tcW w:w="1275" w:type="dxa"/>
            <w:tcBorders>
              <w:top w:val="nil"/>
            </w:tcBorders>
            <w:vAlign w:val="bottom"/>
          </w:tcPr>
          <w:p w14:paraId="72F93215" w14:textId="5F272799" w:rsidR="008C3970" w:rsidRPr="00662E9F" w:rsidRDefault="008C3970" w:rsidP="008C3970">
            <w:pPr>
              <w:jc w:val="center"/>
              <w:rPr>
                <w:sz w:val="18"/>
                <w:szCs w:val="18"/>
              </w:rPr>
            </w:pPr>
            <w:r w:rsidRPr="00662E9F">
              <w:rPr>
                <w:color w:val="000000"/>
                <w:sz w:val="18"/>
                <w:szCs w:val="18"/>
              </w:rPr>
              <w:t>7</w:t>
            </w:r>
            <w:r>
              <w:rPr>
                <w:color w:val="000000"/>
                <w:sz w:val="18"/>
                <w:szCs w:val="18"/>
              </w:rPr>
              <w:t>.</w:t>
            </w:r>
            <w:r w:rsidRPr="00662E9F">
              <w:rPr>
                <w:color w:val="000000"/>
                <w:sz w:val="18"/>
                <w:szCs w:val="18"/>
              </w:rPr>
              <w:t>44</w:t>
            </w:r>
          </w:p>
        </w:tc>
        <w:tc>
          <w:tcPr>
            <w:tcW w:w="1276" w:type="dxa"/>
            <w:tcBorders>
              <w:top w:val="nil"/>
            </w:tcBorders>
            <w:vAlign w:val="bottom"/>
          </w:tcPr>
          <w:p w14:paraId="5D034B2F" w14:textId="7C2713D6" w:rsidR="008C3970" w:rsidRPr="00662E9F" w:rsidRDefault="008C3970" w:rsidP="008C3970">
            <w:pPr>
              <w:jc w:val="center"/>
              <w:rPr>
                <w:sz w:val="18"/>
                <w:szCs w:val="18"/>
              </w:rPr>
            </w:pPr>
            <w:r w:rsidRPr="00662E9F">
              <w:rPr>
                <w:color w:val="000000"/>
                <w:sz w:val="18"/>
                <w:szCs w:val="18"/>
              </w:rPr>
              <w:t>4</w:t>
            </w:r>
            <w:r>
              <w:rPr>
                <w:color w:val="000000"/>
                <w:sz w:val="18"/>
                <w:szCs w:val="18"/>
              </w:rPr>
              <w:t>.</w:t>
            </w:r>
            <w:r w:rsidRPr="00662E9F">
              <w:rPr>
                <w:color w:val="000000"/>
                <w:sz w:val="18"/>
                <w:szCs w:val="18"/>
              </w:rPr>
              <w:t>29</w:t>
            </w:r>
          </w:p>
        </w:tc>
        <w:tc>
          <w:tcPr>
            <w:tcW w:w="992" w:type="dxa"/>
            <w:tcBorders>
              <w:top w:val="nil"/>
            </w:tcBorders>
            <w:vAlign w:val="bottom"/>
          </w:tcPr>
          <w:p w14:paraId="62683824" w14:textId="0230F13B" w:rsidR="008C3970" w:rsidRPr="00662E9F" w:rsidRDefault="008C3970" w:rsidP="008C3970">
            <w:pPr>
              <w:jc w:val="center"/>
              <w:rPr>
                <w:sz w:val="18"/>
                <w:szCs w:val="18"/>
              </w:rPr>
            </w:pPr>
            <w:r w:rsidRPr="00662E9F">
              <w:rPr>
                <w:color w:val="000000"/>
                <w:sz w:val="18"/>
                <w:szCs w:val="18"/>
              </w:rPr>
              <w:t>8</w:t>
            </w:r>
            <w:r>
              <w:rPr>
                <w:color w:val="000000"/>
                <w:sz w:val="18"/>
                <w:szCs w:val="18"/>
              </w:rPr>
              <w:t>.</w:t>
            </w:r>
            <w:r w:rsidRPr="00662E9F">
              <w:rPr>
                <w:color w:val="000000"/>
                <w:sz w:val="18"/>
                <w:szCs w:val="18"/>
              </w:rPr>
              <w:t>18</w:t>
            </w:r>
          </w:p>
        </w:tc>
        <w:tc>
          <w:tcPr>
            <w:tcW w:w="992" w:type="dxa"/>
            <w:tcBorders>
              <w:top w:val="nil"/>
            </w:tcBorders>
            <w:vAlign w:val="bottom"/>
          </w:tcPr>
          <w:p w14:paraId="533EB6C3" w14:textId="2AA31AE8" w:rsidR="008C3970" w:rsidRPr="00662E9F" w:rsidRDefault="008C3970" w:rsidP="008C3970">
            <w:pPr>
              <w:jc w:val="center"/>
              <w:rPr>
                <w:sz w:val="18"/>
                <w:szCs w:val="18"/>
              </w:rPr>
            </w:pPr>
            <w:r w:rsidRPr="00662E9F">
              <w:rPr>
                <w:color w:val="000000"/>
                <w:sz w:val="18"/>
                <w:szCs w:val="18"/>
              </w:rPr>
              <w:t>19</w:t>
            </w:r>
            <w:r>
              <w:rPr>
                <w:color w:val="000000"/>
                <w:sz w:val="18"/>
                <w:szCs w:val="18"/>
              </w:rPr>
              <w:t>.</w:t>
            </w:r>
            <w:r w:rsidRPr="00662E9F">
              <w:rPr>
                <w:color w:val="000000"/>
                <w:sz w:val="18"/>
                <w:szCs w:val="18"/>
              </w:rPr>
              <w:t>10</w:t>
            </w:r>
          </w:p>
        </w:tc>
        <w:tc>
          <w:tcPr>
            <w:tcW w:w="2693" w:type="dxa"/>
            <w:tcBorders>
              <w:top w:val="nil"/>
            </w:tcBorders>
          </w:tcPr>
          <w:p w14:paraId="27F63015" w14:textId="4E4C1225" w:rsidR="008C3970" w:rsidRPr="00662E9F" w:rsidRDefault="008C3970" w:rsidP="008C3970">
            <w:pPr>
              <w:jc w:val="center"/>
              <w:rPr>
                <w:sz w:val="20"/>
              </w:rPr>
            </w:pPr>
            <w:r>
              <w:rPr>
                <w:sz w:val="20"/>
              </w:rPr>
              <w:t>LOD and LOQ didn’t pass</w:t>
            </w:r>
          </w:p>
        </w:tc>
      </w:tr>
      <w:tr w:rsidR="008C3970" w:rsidRPr="005A0E21" w14:paraId="3C79C144" w14:textId="77777777" w:rsidTr="00662E9F">
        <w:trPr>
          <w:cantSplit/>
          <w:jc w:val="center"/>
        </w:trPr>
        <w:tc>
          <w:tcPr>
            <w:tcW w:w="993" w:type="dxa"/>
            <w:tcBorders>
              <w:top w:val="nil"/>
            </w:tcBorders>
            <w:vAlign w:val="bottom"/>
          </w:tcPr>
          <w:p w14:paraId="11DC96F5" w14:textId="5760FA72" w:rsidR="008C3970" w:rsidRPr="00662E9F" w:rsidRDefault="008C3970" w:rsidP="008C3970">
            <w:pPr>
              <w:pStyle w:val="Paragraph"/>
              <w:ind w:firstLine="0"/>
              <w:jc w:val="center"/>
              <w:rPr>
                <w:sz w:val="18"/>
                <w:szCs w:val="18"/>
              </w:rPr>
            </w:pPr>
            <w:r w:rsidRPr="00662E9F">
              <w:rPr>
                <w:color w:val="000000"/>
                <w:sz w:val="18"/>
                <w:szCs w:val="18"/>
              </w:rPr>
              <w:t>3.0</w:t>
            </w:r>
          </w:p>
        </w:tc>
        <w:tc>
          <w:tcPr>
            <w:tcW w:w="1418" w:type="dxa"/>
            <w:tcBorders>
              <w:top w:val="nil"/>
            </w:tcBorders>
            <w:vAlign w:val="bottom"/>
          </w:tcPr>
          <w:p w14:paraId="5697F2AB" w14:textId="3E74BB8F" w:rsidR="008C3970" w:rsidRPr="00662E9F" w:rsidRDefault="008C3970" w:rsidP="008C3970">
            <w:pPr>
              <w:jc w:val="center"/>
              <w:rPr>
                <w:sz w:val="18"/>
                <w:szCs w:val="18"/>
              </w:rPr>
            </w:pPr>
            <w:r w:rsidRPr="00662E9F">
              <w:rPr>
                <w:color w:val="000000"/>
                <w:sz w:val="18"/>
                <w:szCs w:val="18"/>
              </w:rPr>
              <w:t>13</w:t>
            </w:r>
            <w:r>
              <w:rPr>
                <w:color w:val="000000"/>
                <w:sz w:val="18"/>
                <w:szCs w:val="18"/>
              </w:rPr>
              <w:t>.</w:t>
            </w:r>
            <w:r w:rsidRPr="00662E9F">
              <w:rPr>
                <w:color w:val="000000"/>
                <w:sz w:val="18"/>
                <w:szCs w:val="18"/>
              </w:rPr>
              <w:t>29</w:t>
            </w:r>
          </w:p>
        </w:tc>
        <w:tc>
          <w:tcPr>
            <w:tcW w:w="1275" w:type="dxa"/>
            <w:tcBorders>
              <w:top w:val="nil"/>
            </w:tcBorders>
            <w:vAlign w:val="bottom"/>
          </w:tcPr>
          <w:p w14:paraId="1E4576C5" w14:textId="1F4C361E" w:rsidR="008C3970" w:rsidRPr="00662E9F" w:rsidRDefault="008C3970" w:rsidP="008C3970">
            <w:pPr>
              <w:jc w:val="center"/>
              <w:rPr>
                <w:sz w:val="18"/>
                <w:szCs w:val="18"/>
              </w:rPr>
            </w:pPr>
            <w:r w:rsidRPr="00662E9F">
              <w:rPr>
                <w:color w:val="000000"/>
                <w:sz w:val="18"/>
                <w:szCs w:val="18"/>
              </w:rPr>
              <w:t>8</w:t>
            </w:r>
            <w:r>
              <w:rPr>
                <w:color w:val="000000"/>
                <w:sz w:val="18"/>
                <w:szCs w:val="18"/>
              </w:rPr>
              <w:t>.</w:t>
            </w:r>
            <w:r w:rsidRPr="00662E9F">
              <w:rPr>
                <w:color w:val="000000"/>
                <w:sz w:val="18"/>
                <w:szCs w:val="18"/>
              </w:rPr>
              <w:t>22</w:t>
            </w:r>
          </w:p>
        </w:tc>
        <w:tc>
          <w:tcPr>
            <w:tcW w:w="1276" w:type="dxa"/>
            <w:tcBorders>
              <w:top w:val="nil"/>
            </w:tcBorders>
            <w:vAlign w:val="bottom"/>
          </w:tcPr>
          <w:p w14:paraId="69EA2593" w14:textId="49C4D638" w:rsidR="008C3970" w:rsidRPr="00662E9F" w:rsidRDefault="008C3970" w:rsidP="008C3970">
            <w:pPr>
              <w:jc w:val="center"/>
              <w:rPr>
                <w:sz w:val="18"/>
                <w:szCs w:val="18"/>
              </w:rPr>
            </w:pPr>
            <w:r w:rsidRPr="00662E9F">
              <w:rPr>
                <w:color w:val="000000"/>
                <w:sz w:val="18"/>
                <w:szCs w:val="18"/>
              </w:rPr>
              <w:t>5</w:t>
            </w:r>
            <w:r>
              <w:rPr>
                <w:color w:val="000000"/>
                <w:sz w:val="18"/>
                <w:szCs w:val="18"/>
              </w:rPr>
              <w:t>.</w:t>
            </w:r>
            <w:r w:rsidRPr="00662E9F">
              <w:rPr>
                <w:color w:val="000000"/>
                <w:sz w:val="18"/>
                <w:szCs w:val="18"/>
              </w:rPr>
              <w:t>07</w:t>
            </w:r>
          </w:p>
        </w:tc>
        <w:tc>
          <w:tcPr>
            <w:tcW w:w="992" w:type="dxa"/>
            <w:tcBorders>
              <w:top w:val="nil"/>
            </w:tcBorders>
            <w:vAlign w:val="bottom"/>
          </w:tcPr>
          <w:p w14:paraId="56B07994" w14:textId="1F5AFA76" w:rsidR="008C3970" w:rsidRPr="00662E9F" w:rsidRDefault="008C3970" w:rsidP="008C3970">
            <w:pPr>
              <w:jc w:val="center"/>
              <w:rPr>
                <w:sz w:val="18"/>
                <w:szCs w:val="18"/>
              </w:rPr>
            </w:pPr>
            <w:r w:rsidRPr="00662E9F">
              <w:rPr>
                <w:color w:val="000000"/>
                <w:sz w:val="18"/>
                <w:szCs w:val="18"/>
              </w:rPr>
              <w:t>8</w:t>
            </w:r>
            <w:r>
              <w:rPr>
                <w:color w:val="000000"/>
                <w:sz w:val="18"/>
                <w:szCs w:val="18"/>
              </w:rPr>
              <w:t>.</w:t>
            </w:r>
            <w:r w:rsidRPr="00662E9F">
              <w:rPr>
                <w:color w:val="000000"/>
                <w:sz w:val="18"/>
                <w:szCs w:val="18"/>
              </w:rPr>
              <w:t>60</w:t>
            </w:r>
          </w:p>
        </w:tc>
        <w:tc>
          <w:tcPr>
            <w:tcW w:w="992" w:type="dxa"/>
            <w:tcBorders>
              <w:top w:val="nil"/>
            </w:tcBorders>
            <w:vAlign w:val="bottom"/>
          </w:tcPr>
          <w:p w14:paraId="4B35024D" w14:textId="00474BBA" w:rsidR="008C3970" w:rsidRPr="00662E9F" w:rsidRDefault="008C3970" w:rsidP="008C3970">
            <w:pPr>
              <w:jc w:val="center"/>
              <w:rPr>
                <w:sz w:val="18"/>
                <w:szCs w:val="18"/>
              </w:rPr>
            </w:pPr>
            <w:r w:rsidRPr="00662E9F">
              <w:rPr>
                <w:color w:val="000000"/>
                <w:sz w:val="18"/>
                <w:szCs w:val="18"/>
              </w:rPr>
              <w:t>20</w:t>
            </w:r>
            <w:r>
              <w:rPr>
                <w:color w:val="000000"/>
                <w:sz w:val="18"/>
                <w:szCs w:val="18"/>
              </w:rPr>
              <w:t>.</w:t>
            </w:r>
            <w:r w:rsidRPr="00662E9F">
              <w:rPr>
                <w:color w:val="000000"/>
                <w:sz w:val="18"/>
                <w:szCs w:val="18"/>
              </w:rPr>
              <w:t>07</w:t>
            </w:r>
          </w:p>
        </w:tc>
        <w:tc>
          <w:tcPr>
            <w:tcW w:w="2693" w:type="dxa"/>
            <w:tcBorders>
              <w:top w:val="nil"/>
            </w:tcBorders>
          </w:tcPr>
          <w:p w14:paraId="4BA60E27" w14:textId="4A30BD4A" w:rsidR="008C3970" w:rsidRPr="00662E9F" w:rsidRDefault="008C3970" w:rsidP="008C3970">
            <w:pPr>
              <w:jc w:val="center"/>
              <w:rPr>
                <w:sz w:val="20"/>
              </w:rPr>
            </w:pPr>
            <w:r>
              <w:rPr>
                <w:sz w:val="20"/>
              </w:rPr>
              <w:t>LOD and LOQ didn’t pass</w:t>
            </w:r>
          </w:p>
        </w:tc>
      </w:tr>
      <w:tr w:rsidR="008C3970" w:rsidRPr="005A0E21" w14:paraId="329B7227" w14:textId="77777777" w:rsidTr="00662E9F">
        <w:trPr>
          <w:cantSplit/>
          <w:jc w:val="center"/>
        </w:trPr>
        <w:tc>
          <w:tcPr>
            <w:tcW w:w="993" w:type="dxa"/>
            <w:tcBorders>
              <w:top w:val="nil"/>
            </w:tcBorders>
            <w:vAlign w:val="bottom"/>
          </w:tcPr>
          <w:p w14:paraId="7C88B695" w14:textId="4ADAABDB" w:rsidR="008C3970" w:rsidRPr="00662E9F" w:rsidRDefault="008C3970" w:rsidP="008C3970">
            <w:pPr>
              <w:pStyle w:val="Paragraph"/>
              <w:ind w:firstLine="0"/>
              <w:jc w:val="center"/>
              <w:rPr>
                <w:sz w:val="18"/>
                <w:szCs w:val="18"/>
              </w:rPr>
            </w:pPr>
            <w:r w:rsidRPr="00662E9F">
              <w:rPr>
                <w:color w:val="000000"/>
                <w:sz w:val="18"/>
                <w:szCs w:val="18"/>
              </w:rPr>
              <w:t>2.5</w:t>
            </w:r>
          </w:p>
        </w:tc>
        <w:tc>
          <w:tcPr>
            <w:tcW w:w="1418" w:type="dxa"/>
            <w:tcBorders>
              <w:top w:val="nil"/>
            </w:tcBorders>
            <w:vAlign w:val="bottom"/>
          </w:tcPr>
          <w:p w14:paraId="23D1751B" w14:textId="41FFCEF8" w:rsidR="008C3970" w:rsidRPr="00662E9F" w:rsidRDefault="008C3970" w:rsidP="008C3970">
            <w:pPr>
              <w:jc w:val="center"/>
              <w:rPr>
                <w:sz w:val="18"/>
                <w:szCs w:val="18"/>
              </w:rPr>
            </w:pPr>
            <w:r w:rsidRPr="00662E9F">
              <w:rPr>
                <w:color w:val="000000"/>
                <w:sz w:val="18"/>
                <w:szCs w:val="18"/>
              </w:rPr>
              <w:t>20</w:t>
            </w:r>
            <w:r>
              <w:rPr>
                <w:color w:val="000000"/>
                <w:sz w:val="18"/>
                <w:szCs w:val="18"/>
              </w:rPr>
              <w:t>.</w:t>
            </w:r>
            <w:r w:rsidRPr="00662E9F">
              <w:rPr>
                <w:color w:val="000000"/>
                <w:sz w:val="18"/>
                <w:szCs w:val="18"/>
              </w:rPr>
              <w:t>73</w:t>
            </w:r>
          </w:p>
        </w:tc>
        <w:tc>
          <w:tcPr>
            <w:tcW w:w="1275" w:type="dxa"/>
            <w:tcBorders>
              <w:top w:val="nil"/>
            </w:tcBorders>
            <w:vAlign w:val="bottom"/>
          </w:tcPr>
          <w:p w14:paraId="358653C4" w14:textId="0DB3D4D7" w:rsidR="008C3970" w:rsidRPr="00662E9F" w:rsidRDefault="008C3970" w:rsidP="008C3970">
            <w:pPr>
              <w:jc w:val="center"/>
              <w:rPr>
                <w:sz w:val="18"/>
                <w:szCs w:val="18"/>
              </w:rPr>
            </w:pPr>
            <w:r w:rsidRPr="00662E9F">
              <w:rPr>
                <w:color w:val="000000"/>
                <w:sz w:val="18"/>
                <w:szCs w:val="18"/>
              </w:rPr>
              <w:t>9</w:t>
            </w:r>
            <w:r>
              <w:rPr>
                <w:color w:val="000000"/>
                <w:sz w:val="18"/>
                <w:szCs w:val="18"/>
              </w:rPr>
              <w:t>.</w:t>
            </w:r>
            <w:r w:rsidRPr="00662E9F">
              <w:rPr>
                <w:color w:val="000000"/>
                <w:sz w:val="18"/>
                <w:szCs w:val="18"/>
              </w:rPr>
              <w:t>00</w:t>
            </w:r>
          </w:p>
        </w:tc>
        <w:tc>
          <w:tcPr>
            <w:tcW w:w="1276" w:type="dxa"/>
            <w:tcBorders>
              <w:top w:val="nil"/>
            </w:tcBorders>
            <w:vAlign w:val="bottom"/>
          </w:tcPr>
          <w:p w14:paraId="7D486090" w14:textId="46F9004A" w:rsidR="008C3970" w:rsidRPr="00662E9F" w:rsidRDefault="008C3970" w:rsidP="008C3970">
            <w:pPr>
              <w:jc w:val="center"/>
              <w:rPr>
                <w:sz w:val="18"/>
                <w:szCs w:val="18"/>
              </w:rPr>
            </w:pPr>
            <w:r w:rsidRPr="00662E9F">
              <w:rPr>
                <w:color w:val="000000"/>
                <w:sz w:val="18"/>
                <w:szCs w:val="18"/>
              </w:rPr>
              <w:t>11</w:t>
            </w:r>
            <w:r>
              <w:rPr>
                <w:color w:val="000000"/>
                <w:sz w:val="18"/>
                <w:szCs w:val="18"/>
              </w:rPr>
              <w:t>.</w:t>
            </w:r>
            <w:r w:rsidRPr="00662E9F">
              <w:rPr>
                <w:color w:val="000000"/>
                <w:sz w:val="18"/>
                <w:szCs w:val="18"/>
              </w:rPr>
              <w:t>73</w:t>
            </w:r>
          </w:p>
        </w:tc>
        <w:tc>
          <w:tcPr>
            <w:tcW w:w="992" w:type="dxa"/>
            <w:tcBorders>
              <w:top w:val="nil"/>
            </w:tcBorders>
            <w:vAlign w:val="bottom"/>
          </w:tcPr>
          <w:p w14:paraId="5CAD76C3" w14:textId="598CFBF6" w:rsidR="008C3970" w:rsidRPr="00662E9F" w:rsidRDefault="008C3970" w:rsidP="008C3970">
            <w:pPr>
              <w:jc w:val="center"/>
              <w:rPr>
                <w:sz w:val="18"/>
                <w:szCs w:val="18"/>
              </w:rPr>
            </w:pPr>
            <w:r w:rsidRPr="00662E9F">
              <w:rPr>
                <w:color w:val="000000"/>
                <w:sz w:val="18"/>
                <w:szCs w:val="18"/>
              </w:rPr>
              <w:t>9</w:t>
            </w:r>
            <w:r>
              <w:rPr>
                <w:color w:val="000000"/>
                <w:sz w:val="18"/>
                <w:szCs w:val="18"/>
              </w:rPr>
              <w:t>.</w:t>
            </w:r>
            <w:r w:rsidRPr="00662E9F">
              <w:rPr>
                <w:color w:val="000000"/>
                <w:sz w:val="18"/>
                <w:szCs w:val="18"/>
              </w:rPr>
              <w:t>00</w:t>
            </w:r>
          </w:p>
        </w:tc>
        <w:tc>
          <w:tcPr>
            <w:tcW w:w="992" w:type="dxa"/>
            <w:tcBorders>
              <w:top w:val="nil"/>
            </w:tcBorders>
            <w:vAlign w:val="bottom"/>
          </w:tcPr>
          <w:p w14:paraId="05B1F9D3" w14:textId="10AAE77C" w:rsidR="008C3970" w:rsidRPr="00662E9F" w:rsidRDefault="008C3970" w:rsidP="008C3970">
            <w:pPr>
              <w:jc w:val="center"/>
              <w:rPr>
                <w:sz w:val="18"/>
                <w:szCs w:val="18"/>
              </w:rPr>
            </w:pPr>
            <w:r w:rsidRPr="00662E9F">
              <w:rPr>
                <w:color w:val="000000"/>
                <w:sz w:val="18"/>
                <w:szCs w:val="18"/>
              </w:rPr>
              <w:t>21</w:t>
            </w:r>
            <w:r>
              <w:rPr>
                <w:color w:val="000000"/>
                <w:sz w:val="18"/>
                <w:szCs w:val="18"/>
              </w:rPr>
              <w:t>.</w:t>
            </w:r>
            <w:r w:rsidRPr="00662E9F">
              <w:rPr>
                <w:color w:val="000000"/>
                <w:sz w:val="18"/>
                <w:szCs w:val="18"/>
              </w:rPr>
              <w:t>00</w:t>
            </w:r>
          </w:p>
        </w:tc>
        <w:tc>
          <w:tcPr>
            <w:tcW w:w="2693" w:type="dxa"/>
            <w:tcBorders>
              <w:top w:val="nil"/>
            </w:tcBorders>
          </w:tcPr>
          <w:p w14:paraId="17C9C51C" w14:textId="077F2EBB" w:rsidR="008C3970" w:rsidRPr="00662E9F" w:rsidRDefault="008C3970" w:rsidP="008C3970">
            <w:pPr>
              <w:jc w:val="center"/>
              <w:rPr>
                <w:sz w:val="20"/>
              </w:rPr>
            </w:pPr>
            <w:r>
              <w:rPr>
                <w:sz w:val="20"/>
              </w:rPr>
              <w:t>LOD passed, LOQ didn’t</w:t>
            </w:r>
          </w:p>
        </w:tc>
      </w:tr>
      <w:tr w:rsidR="008C3970" w:rsidRPr="005A0E21" w14:paraId="5B53DDBE" w14:textId="77777777" w:rsidTr="00662E9F">
        <w:trPr>
          <w:cantSplit/>
          <w:jc w:val="center"/>
        </w:trPr>
        <w:tc>
          <w:tcPr>
            <w:tcW w:w="993" w:type="dxa"/>
            <w:tcBorders>
              <w:top w:val="nil"/>
            </w:tcBorders>
            <w:vAlign w:val="bottom"/>
          </w:tcPr>
          <w:p w14:paraId="4694FFFA" w14:textId="353075A1" w:rsidR="008C3970" w:rsidRPr="00662E9F" w:rsidRDefault="008C3970" w:rsidP="008C3970">
            <w:pPr>
              <w:pStyle w:val="Paragraph"/>
              <w:ind w:firstLine="0"/>
              <w:jc w:val="center"/>
              <w:rPr>
                <w:sz w:val="18"/>
                <w:szCs w:val="18"/>
              </w:rPr>
            </w:pPr>
            <w:r w:rsidRPr="00662E9F">
              <w:rPr>
                <w:color w:val="000000"/>
                <w:sz w:val="18"/>
                <w:szCs w:val="18"/>
              </w:rPr>
              <w:t>2.0</w:t>
            </w:r>
          </w:p>
        </w:tc>
        <w:tc>
          <w:tcPr>
            <w:tcW w:w="1418" w:type="dxa"/>
            <w:tcBorders>
              <w:top w:val="nil"/>
            </w:tcBorders>
            <w:vAlign w:val="bottom"/>
          </w:tcPr>
          <w:p w14:paraId="5D2CF47B" w14:textId="1F1D7616" w:rsidR="008C3970" w:rsidRPr="00662E9F" w:rsidRDefault="008C3970" w:rsidP="008C3970">
            <w:pPr>
              <w:jc w:val="center"/>
              <w:rPr>
                <w:sz w:val="18"/>
                <w:szCs w:val="18"/>
              </w:rPr>
            </w:pPr>
            <w:r w:rsidRPr="00662E9F">
              <w:rPr>
                <w:color w:val="000000"/>
                <w:sz w:val="18"/>
                <w:szCs w:val="18"/>
              </w:rPr>
              <w:t>32</w:t>
            </w:r>
            <w:r>
              <w:rPr>
                <w:color w:val="000000"/>
                <w:sz w:val="18"/>
                <w:szCs w:val="18"/>
              </w:rPr>
              <w:t>.</w:t>
            </w:r>
            <w:r w:rsidRPr="00662E9F">
              <w:rPr>
                <w:color w:val="000000"/>
                <w:sz w:val="18"/>
                <w:szCs w:val="18"/>
              </w:rPr>
              <w:t>34</w:t>
            </w:r>
          </w:p>
        </w:tc>
        <w:tc>
          <w:tcPr>
            <w:tcW w:w="1275" w:type="dxa"/>
            <w:tcBorders>
              <w:top w:val="nil"/>
            </w:tcBorders>
            <w:vAlign w:val="bottom"/>
          </w:tcPr>
          <w:p w14:paraId="20AC0AA5" w14:textId="4847E03D" w:rsidR="008C3970" w:rsidRPr="00662E9F" w:rsidRDefault="008C3970" w:rsidP="008C3970">
            <w:pPr>
              <w:jc w:val="center"/>
              <w:rPr>
                <w:sz w:val="18"/>
                <w:szCs w:val="18"/>
              </w:rPr>
            </w:pPr>
            <w:r w:rsidRPr="00662E9F">
              <w:rPr>
                <w:color w:val="000000"/>
                <w:sz w:val="18"/>
                <w:szCs w:val="18"/>
              </w:rPr>
              <w:t>9</w:t>
            </w:r>
            <w:r>
              <w:rPr>
                <w:color w:val="000000"/>
                <w:sz w:val="18"/>
                <w:szCs w:val="18"/>
              </w:rPr>
              <w:t>.</w:t>
            </w:r>
            <w:r w:rsidRPr="00662E9F">
              <w:rPr>
                <w:color w:val="000000"/>
                <w:sz w:val="18"/>
                <w:szCs w:val="18"/>
              </w:rPr>
              <w:t>78</w:t>
            </w:r>
          </w:p>
        </w:tc>
        <w:tc>
          <w:tcPr>
            <w:tcW w:w="1276" w:type="dxa"/>
            <w:tcBorders>
              <w:top w:val="nil"/>
            </w:tcBorders>
            <w:vAlign w:val="bottom"/>
          </w:tcPr>
          <w:p w14:paraId="03212E5E" w14:textId="0872717C" w:rsidR="008C3970" w:rsidRPr="00662E9F" w:rsidRDefault="008C3970" w:rsidP="008C3970">
            <w:pPr>
              <w:jc w:val="center"/>
              <w:rPr>
                <w:sz w:val="18"/>
                <w:szCs w:val="18"/>
              </w:rPr>
            </w:pPr>
            <w:r w:rsidRPr="00662E9F">
              <w:rPr>
                <w:color w:val="000000"/>
                <w:sz w:val="18"/>
                <w:szCs w:val="18"/>
              </w:rPr>
              <w:t>22</w:t>
            </w:r>
            <w:r>
              <w:rPr>
                <w:color w:val="000000"/>
                <w:sz w:val="18"/>
                <w:szCs w:val="18"/>
              </w:rPr>
              <w:t>.</w:t>
            </w:r>
            <w:r w:rsidRPr="00662E9F">
              <w:rPr>
                <w:color w:val="000000"/>
                <w:sz w:val="18"/>
                <w:szCs w:val="18"/>
              </w:rPr>
              <w:t>56</w:t>
            </w:r>
          </w:p>
        </w:tc>
        <w:tc>
          <w:tcPr>
            <w:tcW w:w="992" w:type="dxa"/>
            <w:tcBorders>
              <w:top w:val="nil"/>
            </w:tcBorders>
            <w:vAlign w:val="bottom"/>
          </w:tcPr>
          <w:p w14:paraId="2AFC7822" w14:textId="2978560C" w:rsidR="008C3970" w:rsidRPr="00662E9F" w:rsidRDefault="008C3970" w:rsidP="008C3970">
            <w:pPr>
              <w:jc w:val="center"/>
              <w:rPr>
                <w:sz w:val="18"/>
                <w:szCs w:val="18"/>
              </w:rPr>
            </w:pPr>
            <w:r w:rsidRPr="00662E9F">
              <w:rPr>
                <w:color w:val="000000"/>
                <w:sz w:val="18"/>
                <w:szCs w:val="18"/>
              </w:rPr>
              <w:t>9</w:t>
            </w:r>
            <w:r>
              <w:rPr>
                <w:color w:val="000000"/>
                <w:sz w:val="18"/>
                <w:szCs w:val="18"/>
              </w:rPr>
              <w:t>.</w:t>
            </w:r>
            <w:r w:rsidRPr="00662E9F">
              <w:rPr>
                <w:color w:val="000000"/>
                <w:sz w:val="18"/>
                <w:szCs w:val="18"/>
              </w:rPr>
              <w:t>38</w:t>
            </w:r>
          </w:p>
        </w:tc>
        <w:tc>
          <w:tcPr>
            <w:tcW w:w="992" w:type="dxa"/>
            <w:tcBorders>
              <w:top w:val="nil"/>
            </w:tcBorders>
            <w:vAlign w:val="bottom"/>
          </w:tcPr>
          <w:p w14:paraId="32997BBC" w14:textId="0889E673" w:rsidR="008C3970" w:rsidRPr="00662E9F" w:rsidRDefault="008C3970" w:rsidP="008C3970">
            <w:pPr>
              <w:jc w:val="center"/>
              <w:rPr>
                <w:sz w:val="18"/>
                <w:szCs w:val="18"/>
              </w:rPr>
            </w:pPr>
            <w:r w:rsidRPr="00662E9F">
              <w:rPr>
                <w:color w:val="000000"/>
                <w:sz w:val="18"/>
                <w:szCs w:val="18"/>
              </w:rPr>
              <w:t>21</w:t>
            </w:r>
            <w:r>
              <w:rPr>
                <w:color w:val="000000"/>
                <w:sz w:val="18"/>
                <w:szCs w:val="18"/>
              </w:rPr>
              <w:t>.</w:t>
            </w:r>
            <w:r w:rsidRPr="00662E9F">
              <w:rPr>
                <w:color w:val="000000"/>
                <w:sz w:val="18"/>
                <w:szCs w:val="18"/>
              </w:rPr>
              <w:t>90</w:t>
            </w:r>
          </w:p>
        </w:tc>
        <w:tc>
          <w:tcPr>
            <w:tcW w:w="2693" w:type="dxa"/>
            <w:tcBorders>
              <w:top w:val="nil"/>
            </w:tcBorders>
          </w:tcPr>
          <w:p w14:paraId="452C9B6F" w14:textId="2D5A8652" w:rsidR="008C3970" w:rsidRPr="00662E9F" w:rsidRDefault="008C3970" w:rsidP="008C3970">
            <w:pPr>
              <w:jc w:val="center"/>
              <w:rPr>
                <w:sz w:val="20"/>
              </w:rPr>
            </w:pPr>
            <w:r>
              <w:rPr>
                <w:sz w:val="20"/>
              </w:rPr>
              <w:t>LOD and LOQ passed</w:t>
            </w:r>
          </w:p>
        </w:tc>
      </w:tr>
      <w:tr w:rsidR="008C3970" w:rsidRPr="005A0E21" w14:paraId="10AEB444" w14:textId="1C3FCC7B" w:rsidTr="00662E9F">
        <w:trPr>
          <w:cantSplit/>
          <w:jc w:val="center"/>
        </w:trPr>
        <w:tc>
          <w:tcPr>
            <w:tcW w:w="993" w:type="dxa"/>
            <w:vAlign w:val="bottom"/>
          </w:tcPr>
          <w:p w14:paraId="3635E3A4" w14:textId="04DFC8A4" w:rsidR="008C3970" w:rsidRPr="00662E9F" w:rsidRDefault="008C3970" w:rsidP="008C3970">
            <w:pPr>
              <w:pStyle w:val="Paragraph"/>
              <w:ind w:firstLine="0"/>
              <w:jc w:val="center"/>
              <w:rPr>
                <w:sz w:val="18"/>
                <w:szCs w:val="18"/>
              </w:rPr>
            </w:pPr>
            <w:r w:rsidRPr="00662E9F">
              <w:rPr>
                <w:color w:val="000000"/>
                <w:sz w:val="18"/>
                <w:szCs w:val="18"/>
              </w:rPr>
              <w:t>1.5</w:t>
            </w:r>
          </w:p>
        </w:tc>
        <w:tc>
          <w:tcPr>
            <w:tcW w:w="1418" w:type="dxa"/>
            <w:vAlign w:val="bottom"/>
          </w:tcPr>
          <w:p w14:paraId="20FABD34" w14:textId="1820EEAF" w:rsidR="008C3970" w:rsidRPr="00662E9F" w:rsidRDefault="008C3970" w:rsidP="008C3970">
            <w:pPr>
              <w:jc w:val="center"/>
              <w:rPr>
                <w:sz w:val="18"/>
                <w:szCs w:val="18"/>
              </w:rPr>
            </w:pPr>
            <w:r w:rsidRPr="00662E9F">
              <w:rPr>
                <w:color w:val="000000"/>
                <w:sz w:val="18"/>
                <w:szCs w:val="18"/>
              </w:rPr>
              <w:t>45</w:t>
            </w:r>
            <w:r>
              <w:rPr>
                <w:color w:val="000000"/>
                <w:sz w:val="18"/>
                <w:szCs w:val="18"/>
              </w:rPr>
              <w:t>.</w:t>
            </w:r>
            <w:r w:rsidRPr="00662E9F">
              <w:rPr>
                <w:color w:val="000000"/>
                <w:sz w:val="18"/>
                <w:szCs w:val="18"/>
              </w:rPr>
              <w:t>94</w:t>
            </w:r>
          </w:p>
        </w:tc>
        <w:tc>
          <w:tcPr>
            <w:tcW w:w="1275" w:type="dxa"/>
            <w:vAlign w:val="bottom"/>
          </w:tcPr>
          <w:p w14:paraId="4C6ACA1E" w14:textId="42715E68" w:rsidR="008C3970" w:rsidRPr="00662E9F" w:rsidRDefault="008C3970" w:rsidP="008C3970">
            <w:pPr>
              <w:jc w:val="center"/>
              <w:rPr>
                <w:sz w:val="18"/>
                <w:szCs w:val="18"/>
              </w:rPr>
            </w:pPr>
            <w:r w:rsidRPr="00662E9F">
              <w:rPr>
                <w:color w:val="000000"/>
                <w:sz w:val="18"/>
                <w:szCs w:val="18"/>
              </w:rPr>
              <w:t>10</w:t>
            </w:r>
            <w:r>
              <w:rPr>
                <w:color w:val="000000"/>
                <w:sz w:val="18"/>
                <w:szCs w:val="18"/>
              </w:rPr>
              <w:t>.</w:t>
            </w:r>
            <w:r w:rsidRPr="00662E9F">
              <w:rPr>
                <w:color w:val="000000"/>
                <w:sz w:val="18"/>
                <w:szCs w:val="18"/>
              </w:rPr>
              <w:t>56</w:t>
            </w:r>
          </w:p>
        </w:tc>
        <w:tc>
          <w:tcPr>
            <w:tcW w:w="1276" w:type="dxa"/>
            <w:vAlign w:val="bottom"/>
          </w:tcPr>
          <w:p w14:paraId="37D8BBF0" w14:textId="123F836A" w:rsidR="008C3970" w:rsidRPr="00662E9F" w:rsidRDefault="008C3970" w:rsidP="008C3970">
            <w:pPr>
              <w:jc w:val="center"/>
              <w:rPr>
                <w:sz w:val="18"/>
                <w:szCs w:val="18"/>
              </w:rPr>
            </w:pPr>
            <w:r w:rsidRPr="00662E9F">
              <w:rPr>
                <w:color w:val="000000"/>
                <w:sz w:val="18"/>
                <w:szCs w:val="18"/>
              </w:rPr>
              <w:t>35</w:t>
            </w:r>
            <w:r>
              <w:rPr>
                <w:color w:val="000000"/>
                <w:sz w:val="18"/>
                <w:szCs w:val="18"/>
              </w:rPr>
              <w:t>.</w:t>
            </w:r>
            <w:r w:rsidRPr="00662E9F">
              <w:rPr>
                <w:color w:val="000000"/>
                <w:sz w:val="18"/>
                <w:szCs w:val="18"/>
              </w:rPr>
              <w:t>37</w:t>
            </w:r>
          </w:p>
        </w:tc>
        <w:tc>
          <w:tcPr>
            <w:tcW w:w="992" w:type="dxa"/>
            <w:vAlign w:val="bottom"/>
          </w:tcPr>
          <w:p w14:paraId="7FFAA5F9" w14:textId="29A145DD" w:rsidR="008C3970" w:rsidRPr="00662E9F" w:rsidRDefault="008C3970" w:rsidP="008C3970">
            <w:pPr>
              <w:jc w:val="center"/>
              <w:rPr>
                <w:sz w:val="18"/>
                <w:szCs w:val="18"/>
              </w:rPr>
            </w:pPr>
            <w:r w:rsidRPr="00662E9F">
              <w:rPr>
                <w:color w:val="000000"/>
                <w:sz w:val="18"/>
                <w:szCs w:val="18"/>
              </w:rPr>
              <w:t>9</w:t>
            </w:r>
            <w:r>
              <w:rPr>
                <w:color w:val="000000"/>
                <w:sz w:val="18"/>
                <w:szCs w:val="18"/>
              </w:rPr>
              <w:t>.</w:t>
            </w:r>
            <w:r w:rsidRPr="00662E9F">
              <w:rPr>
                <w:color w:val="000000"/>
                <w:sz w:val="18"/>
                <w:szCs w:val="18"/>
              </w:rPr>
              <w:t>75</w:t>
            </w:r>
          </w:p>
        </w:tc>
        <w:tc>
          <w:tcPr>
            <w:tcW w:w="992" w:type="dxa"/>
            <w:vAlign w:val="bottom"/>
          </w:tcPr>
          <w:p w14:paraId="3DE35390" w14:textId="2B01E649" w:rsidR="008C3970" w:rsidRPr="00662E9F" w:rsidRDefault="008C3970" w:rsidP="008C3970">
            <w:pPr>
              <w:jc w:val="center"/>
              <w:rPr>
                <w:sz w:val="18"/>
                <w:szCs w:val="18"/>
              </w:rPr>
            </w:pPr>
            <w:r w:rsidRPr="00662E9F">
              <w:rPr>
                <w:color w:val="000000"/>
                <w:sz w:val="18"/>
                <w:szCs w:val="18"/>
              </w:rPr>
              <w:t>22</w:t>
            </w:r>
            <w:r>
              <w:rPr>
                <w:color w:val="000000"/>
                <w:sz w:val="18"/>
                <w:szCs w:val="18"/>
              </w:rPr>
              <w:t>.</w:t>
            </w:r>
            <w:r w:rsidRPr="00662E9F">
              <w:rPr>
                <w:color w:val="000000"/>
                <w:sz w:val="18"/>
                <w:szCs w:val="18"/>
              </w:rPr>
              <w:t>75</w:t>
            </w:r>
          </w:p>
        </w:tc>
        <w:tc>
          <w:tcPr>
            <w:tcW w:w="2693" w:type="dxa"/>
          </w:tcPr>
          <w:p w14:paraId="569449D9" w14:textId="02EC3E70" w:rsidR="008C3970" w:rsidRPr="00662E9F" w:rsidRDefault="008C3970" w:rsidP="008C3970">
            <w:pPr>
              <w:jc w:val="center"/>
              <w:rPr>
                <w:sz w:val="20"/>
              </w:rPr>
            </w:pPr>
            <w:r>
              <w:rPr>
                <w:sz w:val="20"/>
              </w:rPr>
              <w:t>LOD and LOQ passed</w:t>
            </w:r>
          </w:p>
        </w:tc>
      </w:tr>
      <w:tr w:rsidR="008C3970" w:rsidRPr="005A0E21" w14:paraId="636C86B2" w14:textId="77777777" w:rsidTr="00662E9F">
        <w:trPr>
          <w:cantSplit/>
          <w:trHeight w:val="237"/>
          <w:jc w:val="center"/>
        </w:trPr>
        <w:tc>
          <w:tcPr>
            <w:tcW w:w="993" w:type="dxa"/>
            <w:vAlign w:val="bottom"/>
          </w:tcPr>
          <w:p w14:paraId="66AC71BF" w14:textId="3C23FFD7" w:rsidR="008C3970" w:rsidRPr="00662E9F" w:rsidRDefault="008C3970" w:rsidP="008C3970">
            <w:pPr>
              <w:pStyle w:val="Paragraph"/>
              <w:ind w:firstLine="0"/>
              <w:jc w:val="center"/>
              <w:rPr>
                <w:color w:val="000000"/>
                <w:sz w:val="18"/>
                <w:szCs w:val="18"/>
              </w:rPr>
            </w:pPr>
            <w:r w:rsidRPr="00662E9F">
              <w:rPr>
                <w:color w:val="000000"/>
                <w:sz w:val="18"/>
                <w:szCs w:val="18"/>
              </w:rPr>
              <w:t>1.0</w:t>
            </w:r>
          </w:p>
        </w:tc>
        <w:tc>
          <w:tcPr>
            <w:tcW w:w="1418" w:type="dxa"/>
            <w:vAlign w:val="bottom"/>
          </w:tcPr>
          <w:p w14:paraId="00948FBF" w14:textId="4C1ABAF1" w:rsidR="008C3970" w:rsidRPr="00662E9F" w:rsidRDefault="008C3970" w:rsidP="008C3970">
            <w:pPr>
              <w:jc w:val="center"/>
              <w:rPr>
                <w:color w:val="000000"/>
                <w:sz w:val="18"/>
                <w:szCs w:val="18"/>
              </w:rPr>
            </w:pPr>
            <w:r w:rsidRPr="00662E9F">
              <w:rPr>
                <w:color w:val="000000"/>
                <w:sz w:val="18"/>
                <w:szCs w:val="18"/>
              </w:rPr>
              <w:t>78</w:t>
            </w:r>
            <w:r>
              <w:rPr>
                <w:color w:val="000000"/>
                <w:sz w:val="18"/>
                <w:szCs w:val="18"/>
              </w:rPr>
              <w:t>.</w:t>
            </w:r>
            <w:r w:rsidRPr="00662E9F">
              <w:rPr>
                <w:color w:val="000000"/>
                <w:sz w:val="18"/>
                <w:szCs w:val="18"/>
              </w:rPr>
              <w:t>12</w:t>
            </w:r>
          </w:p>
        </w:tc>
        <w:tc>
          <w:tcPr>
            <w:tcW w:w="1275" w:type="dxa"/>
            <w:vAlign w:val="bottom"/>
          </w:tcPr>
          <w:p w14:paraId="5E5B4051" w14:textId="3882863E" w:rsidR="008C3970" w:rsidRPr="00662E9F" w:rsidRDefault="008C3970" w:rsidP="008C3970">
            <w:pPr>
              <w:jc w:val="center"/>
              <w:rPr>
                <w:color w:val="000000"/>
                <w:sz w:val="18"/>
                <w:szCs w:val="18"/>
              </w:rPr>
            </w:pPr>
            <w:r w:rsidRPr="00662E9F">
              <w:rPr>
                <w:color w:val="000000"/>
                <w:sz w:val="18"/>
                <w:szCs w:val="18"/>
              </w:rPr>
              <w:t>11</w:t>
            </w:r>
            <w:r>
              <w:rPr>
                <w:color w:val="000000"/>
                <w:sz w:val="18"/>
                <w:szCs w:val="18"/>
              </w:rPr>
              <w:t>.</w:t>
            </w:r>
            <w:r w:rsidRPr="00662E9F">
              <w:rPr>
                <w:color w:val="000000"/>
                <w:sz w:val="18"/>
                <w:szCs w:val="18"/>
              </w:rPr>
              <w:t>34</w:t>
            </w:r>
          </w:p>
        </w:tc>
        <w:tc>
          <w:tcPr>
            <w:tcW w:w="1276" w:type="dxa"/>
            <w:vAlign w:val="bottom"/>
          </w:tcPr>
          <w:p w14:paraId="6DBF4A87" w14:textId="0264D870" w:rsidR="008C3970" w:rsidRPr="00662E9F" w:rsidRDefault="008C3970" w:rsidP="008C3970">
            <w:pPr>
              <w:jc w:val="center"/>
              <w:rPr>
                <w:color w:val="000000"/>
                <w:sz w:val="18"/>
                <w:szCs w:val="18"/>
              </w:rPr>
            </w:pPr>
            <w:r w:rsidRPr="00662E9F">
              <w:rPr>
                <w:color w:val="000000"/>
                <w:sz w:val="18"/>
                <w:szCs w:val="18"/>
              </w:rPr>
              <w:t>66</w:t>
            </w:r>
            <w:r>
              <w:rPr>
                <w:color w:val="000000"/>
                <w:sz w:val="18"/>
                <w:szCs w:val="18"/>
              </w:rPr>
              <w:t>.</w:t>
            </w:r>
            <w:r w:rsidRPr="00662E9F">
              <w:rPr>
                <w:color w:val="000000"/>
                <w:sz w:val="18"/>
                <w:szCs w:val="18"/>
              </w:rPr>
              <w:t>78</w:t>
            </w:r>
          </w:p>
        </w:tc>
        <w:tc>
          <w:tcPr>
            <w:tcW w:w="992" w:type="dxa"/>
            <w:vAlign w:val="bottom"/>
          </w:tcPr>
          <w:p w14:paraId="5E9AFFF2" w14:textId="71CFE0FB" w:rsidR="008C3970" w:rsidRPr="00662E9F" w:rsidRDefault="008C3970" w:rsidP="008C3970">
            <w:pPr>
              <w:jc w:val="center"/>
              <w:rPr>
                <w:color w:val="000000"/>
                <w:sz w:val="18"/>
                <w:szCs w:val="18"/>
              </w:rPr>
            </w:pPr>
            <w:r w:rsidRPr="00662E9F">
              <w:rPr>
                <w:color w:val="000000"/>
                <w:sz w:val="18"/>
                <w:szCs w:val="18"/>
              </w:rPr>
              <w:t>10</w:t>
            </w:r>
            <w:r>
              <w:rPr>
                <w:color w:val="000000"/>
                <w:sz w:val="18"/>
                <w:szCs w:val="18"/>
              </w:rPr>
              <w:t>.</w:t>
            </w:r>
            <w:r w:rsidRPr="00662E9F">
              <w:rPr>
                <w:color w:val="000000"/>
                <w:sz w:val="18"/>
                <w:szCs w:val="18"/>
              </w:rPr>
              <w:t>10</w:t>
            </w:r>
          </w:p>
        </w:tc>
        <w:tc>
          <w:tcPr>
            <w:tcW w:w="992" w:type="dxa"/>
            <w:vAlign w:val="bottom"/>
          </w:tcPr>
          <w:p w14:paraId="7B59DE1F" w14:textId="4EF6E20A" w:rsidR="008C3970" w:rsidRPr="00662E9F" w:rsidRDefault="008C3970" w:rsidP="008C3970">
            <w:pPr>
              <w:jc w:val="center"/>
              <w:rPr>
                <w:color w:val="000000"/>
                <w:sz w:val="18"/>
                <w:szCs w:val="18"/>
              </w:rPr>
            </w:pPr>
            <w:r w:rsidRPr="00662E9F">
              <w:rPr>
                <w:color w:val="000000"/>
                <w:sz w:val="18"/>
                <w:szCs w:val="18"/>
              </w:rPr>
              <w:t>23</w:t>
            </w:r>
            <w:r>
              <w:rPr>
                <w:color w:val="000000"/>
                <w:sz w:val="18"/>
                <w:szCs w:val="18"/>
              </w:rPr>
              <w:t>.</w:t>
            </w:r>
            <w:r w:rsidRPr="00662E9F">
              <w:rPr>
                <w:color w:val="000000"/>
                <w:sz w:val="18"/>
                <w:szCs w:val="18"/>
              </w:rPr>
              <w:t>58</w:t>
            </w:r>
          </w:p>
        </w:tc>
        <w:tc>
          <w:tcPr>
            <w:tcW w:w="2693" w:type="dxa"/>
          </w:tcPr>
          <w:p w14:paraId="41AB4B17" w14:textId="704A76EA" w:rsidR="008C3970" w:rsidRDefault="008C3970" w:rsidP="008C3970">
            <w:pPr>
              <w:jc w:val="center"/>
              <w:rPr>
                <w:sz w:val="20"/>
              </w:rPr>
            </w:pPr>
            <w:r>
              <w:rPr>
                <w:sz w:val="20"/>
              </w:rPr>
              <w:t>LOD and LOQ passed</w:t>
            </w:r>
          </w:p>
        </w:tc>
      </w:tr>
    </w:tbl>
    <w:p w14:paraId="0C7A085B" w14:textId="73C0F4AD" w:rsidR="008863B9" w:rsidRDefault="008863B9" w:rsidP="008863B9">
      <w:pPr>
        <w:pStyle w:val="Paragraph"/>
      </w:pPr>
    </w:p>
    <w:p w14:paraId="4C7792D9" w14:textId="7607532E" w:rsidR="008C3970" w:rsidRDefault="00485608" w:rsidP="008863B9">
      <w:pPr>
        <w:pStyle w:val="Paragraph"/>
      </w:pPr>
      <w:r>
        <w:t>Using</w:t>
      </w:r>
      <w:r w:rsidR="00C4116F" w:rsidRPr="00C4116F">
        <w:t xml:space="preserve"> the same data, the RMSE calculation is then carried out using equation (3). RMSE calculation results are presented in </w:t>
      </w:r>
      <w:r>
        <w:t>T</w:t>
      </w:r>
      <w:r w:rsidR="00C4116F" w:rsidRPr="00C4116F">
        <w:t>able 3</w:t>
      </w:r>
      <w:r w:rsidR="008C3970">
        <w:t>.</w:t>
      </w:r>
    </w:p>
    <w:p w14:paraId="3BFBF7A4" w14:textId="278302D6" w:rsidR="008C3970" w:rsidRDefault="008C3970" w:rsidP="008C3970">
      <w:pPr>
        <w:pStyle w:val="TableCaption"/>
      </w:pPr>
      <w:r w:rsidRPr="00662E9F">
        <w:rPr>
          <w:b/>
          <w:bCs/>
        </w:rPr>
        <w:t>Tabl</w:t>
      </w:r>
      <w:r w:rsidR="003E727F">
        <w:rPr>
          <w:b/>
          <w:bCs/>
        </w:rPr>
        <w:t>e</w:t>
      </w:r>
      <w:r w:rsidRPr="00662E9F">
        <w:rPr>
          <w:b/>
          <w:bCs/>
        </w:rPr>
        <w:t xml:space="preserve"> </w:t>
      </w:r>
      <w:r>
        <w:rPr>
          <w:b/>
          <w:bCs/>
        </w:rPr>
        <w:t>3</w:t>
      </w:r>
      <w:r w:rsidRPr="00662E9F">
        <w:rPr>
          <w:b/>
          <w:bCs/>
        </w:rPr>
        <w:t>.</w:t>
      </w:r>
      <w:r>
        <w:t xml:space="preserve"> Calculation of RMSE</w:t>
      </w:r>
    </w:p>
    <w:tbl>
      <w:tblPr>
        <w:tblW w:w="4393" w:type="dxa"/>
        <w:jc w:val="center"/>
        <w:tblBorders>
          <w:bottom w:val="single" w:sz="4" w:space="0" w:color="auto"/>
        </w:tblBorders>
        <w:tblLayout w:type="fixed"/>
        <w:tblLook w:val="0000" w:firstRow="0" w:lastRow="0" w:firstColumn="0" w:lastColumn="0" w:noHBand="0" w:noVBand="0"/>
      </w:tblPr>
      <w:tblGrid>
        <w:gridCol w:w="1842"/>
        <w:gridCol w:w="2551"/>
      </w:tblGrid>
      <w:tr w:rsidR="008C3970" w:rsidRPr="00075EA6" w14:paraId="145CB83E" w14:textId="77777777" w:rsidTr="006615A8">
        <w:trPr>
          <w:cantSplit/>
          <w:trHeight w:val="272"/>
          <w:tblHeader/>
          <w:jc w:val="center"/>
        </w:trPr>
        <w:tc>
          <w:tcPr>
            <w:tcW w:w="1842" w:type="dxa"/>
            <w:tcBorders>
              <w:top w:val="single" w:sz="4" w:space="0" w:color="auto"/>
              <w:bottom w:val="single" w:sz="4" w:space="0" w:color="auto"/>
            </w:tcBorders>
            <w:vAlign w:val="center"/>
          </w:tcPr>
          <w:p w14:paraId="4C582306" w14:textId="77777777" w:rsidR="008C3970" w:rsidRPr="00075EA6" w:rsidRDefault="008C3970" w:rsidP="001E6D87">
            <w:pPr>
              <w:jc w:val="center"/>
            </w:pPr>
            <w:r>
              <w:rPr>
                <w:b/>
                <w:sz w:val="18"/>
                <w:szCs w:val="18"/>
              </w:rPr>
              <w:t>Distance (cm)</w:t>
            </w:r>
          </w:p>
        </w:tc>
        <w:tc>
          <w:tcPr>
            <w:tcW w:w="2551" w:type="dxa"/>
            <w:tcBorders>
              <w:top w:val="single" w:sz="4" w:space="0" w:color="auto"/>
              <w:bottom w:val="single" w:sz="4" w:space="0" w:color="auto"/>
            </w:tcBorders>
            <w:vAlign w:val="center"/>
          </w:tcPr>
          <w:p w14:paraId="6C446BDA" w14:textId="0A8109A4" w:rsidR="008C3970" w:rsidRPr="00075EA6" w:rsidRDefault="008C3970" w:rsidP="001E6D87">
            <w:pPr>
              <w:jc w:val="center"/>
              <w:rPr>
                <w:b/>
                <w:sz w:val="18"/>
                <w:szCs w:val="18"/>
              </w:rPr>
            </w:pPr>
            <w:r>
              <w:rPr>
                <w:b/>
                <w:sz w:val="18"/>
                <w:szCs w:val="18"/>
              </w:rPr>
              <w:t>RMSE value</w:t>
            </w:r>
          </w:p>
        </w:tc>
      </w:tr>
      <w:tr w:rsidR="008C3970" w:rsidRPr="005A0E21" w14:paraId="4D131368" w14:textId="77777777" w:rsidTr="008C3970">
        <w:trPr>
          <w:cantSplit/>
          <w:jc w:val="center"/>
        </w:trPr>
        <w:tc>
          <w:tcPr>
            <w:tcW w:w="1842" w:type="dxa"/>
            <w:tcBorders>
              <w:top w:val="nil"/>
            </w:tcBorders>
            <w:vAlign w:val="bottom"/>
          </w:tcPr>
          <w:p w14:paraId="4414D8EC" w14:textId="77777777" w:rsidR="008C3970" w:rsidRPr="00662E9F" w:rsidRDefault="008C3970" w:rsidP="001E6D87">
            <w:pPr>
              <w:pStyle w:val="Paragraph"/>
              <w:ind w:firstLine="0"/>
              <w:jc w:val="center"/>
              <w:rPr>
                <w:sz w:val="18"/>
                <w:szCs w:val="18"/>
              </w:rPr>
            </w:pPr>
            <w:r w:rsidRPr="00662E9F">
              <w:rPr>
                <w:color w:val="000000"/>
                <w:sz w:val="18"/>
                <w:szCs w:val="18"/>
              </w:rPr>
              <w:t>4.0</w:t>
            </w:r>
          </w:p>
        </w:tc>
        <w:tc>
          <w:tcPr>
            <w:tcW w:w="2551" w:type="dxa"/>
            <w:tcBorders>
              <w:top w:val="nil"/>
            </w:tcBorders>
            <w:vAlign w:val="bottom"/>
          </w:tcPr>
          <w:p w14:paraId="6ED2AAA0" w14:textId="2EF1F9AC" w:rsidR="008C3970" w:rsidRPr="00662E9F" w:rsidRDefault="008C3970" w:rsidP="001E6D87">
            <w:pPr>
              <w:jc w:val="center"/>
              <w:rPr>
                <w:sz w:val="18"/>
                <w:szCs w:val="18"/>
              </w:rPr>
            </w:pPr>
            <w:r>
              <w:rPr>
                <w:sz w:val="18"/>
                <w:szCs w:val="18"/>
              </w:rPr>
              <w:t>388.95</w:t>
            </w:r>
          </w:p>
        </w:tc>
      </w:tr>
      <w:tr w:rsidR="008C3970" w:rsidRPr="005A0E21" w14:paraId="451BD0A6" w14:textId="77777777" w:rsidTr="008C3970">
        <w:trPr>
          <w:cantSplit/>
          <w:jc w:val="center"/>
        </w:trPr>
        <w:tc>
          <w:tcPr>
            <w:tcW w:w="1842" w:type="dxa"/>
            <w:tcBorders>
              <w:top w:val="nil"/>
            </w:tcBorders>
            <w:vAlign w:val="bottom"/>
          </w:tcPr>
          <w:p w14:paraId="6FDC5C89" w14:textId="77777777" w:rsidR="008C3970" w:rsidRPr="00662E9F" w:rsidRDefault="008C3970" w:rsidP="001E6D87">
            <w:pPr>
              <w:pStyle w:val="Paragraph"/>
              <w:ind w:firstLine="0"/>
              <w:jc w:val="center"/>
              <w:rPr>
                <w:sz w:val="18"/>
                <w:szCs w:val="18"/>
              </w:rPr>
            </w:pPr>
            <w:r w:rsidRPr="00662E9F">
              <w:rPr>
                <w:color w:val="000000"/>
                <w:sz w:val="18"/>
                <w:szCs w:val="18"/>
              </w:rPr>
              <w:t>3.5</w:t>
            </w:r>
          </w:p>
        </w:tc>
        <w:tc>
          <w:tcPr>
            <w:tcW w:w="2551" w:type="dxa"/>
            <w:tcBorders>
              <w:top w:val="nil"/>
            </w:tcBorders>
            <w:vAlign w:val="bottom"/>
          </w:tcPr>
          <w:p w14:paraId="73D6F937" w14:textId="6909F712" w:rsidR="008C3970" w:rsidRPr="00662E9F" w:rsidRDefault="008C3970" w:rsidP="001E6D87">
            <w:pPr>
              <w:jc w:val="center"/>
              <w:rPr>
                <w:sz w:val="18"/>
                <w:szCs w:val="18"/>
              </w:rPr>
            </w:pPr>
            <w:r>
              <w:rPr>
                <w:sz w:val="18"/>
                <w:szCs w:val="18"/>
              </w:rPr>
              <w:t>367.56</w:t>
            </w:r>
          </w:p>
        </w:tc>
      </w:tr>
      <w:tr w:rsidR="008C3970" w:rsidRPr="005A0E21" w14:paraId="1FEB6D09" w14:textId="77777777" w:rsidTr="008C3970">
        <w:trPr>
          <w:cantSplit/>
          <w:jc w:val="center"/>
        </w:trPr>
        <w:tc>
          <w:tcPr>
            <w:tcW w:w="1842" w:type="dxa"/>
            <w:tcBorders>
              <w:top w:val="nil"/>
            </w:tcBorders>
            <w:vAlign w:val="bottom"/>
          </w:tcPr>
          <w:p w14:paraId="57205382" w14:textId="77777777" w:rsidR="008C3970" w:rsidRPr="00662E9F" w:rsidRDefault="008C3970" w:rsidP="001E6D87">
            <w:pPr>
              <w:pStyle w:val="Paragraph"/>
              <w:ind w:firstLine="0"/>
              <w:jc w:val="center"/>
              <w:rPr>
                <w:sz w:val="18"/>
                <w:szCs w:val="18"/>
              </w:rPr>
            </w:pPr>
            <w:r w:rsidRPr="00662E9F">
              <w:rPr>
                <w:color w:val="000000"/>
                <w:sz w:val="18"/>
                <w:szCs w:val="18"/>
              </w:rPr>
              <w:t>3.0</w:t>
            </w:r>
          </w:p>
        </w:tc>
        <w:tc>
          <w:tcPr>
            <w:tcW w:w="2551" w:type="dxa"/>
            <w:tcBorders>
              <w:top w:val="nil"/>
            </w:tcBorders>
            <w:vAlign w:val="bottom"/>
          </w:tcPr>
          <w:p w14:paraId="0E308EF3" w14:textId="5BDD5680" w:rsidR="008C3970" w:rsidRPr="00662E9F" w:rsidRDefault="008C3970" w:rsidP="001E6D87">
            <w:pPr>
              <w:jc w:val="center"/>
              <w:rPr>
                <w:sz w:val="18"/>
                <w:szCs w:val="18"/>
              </w:rPr>
            </w:pPr>
            <w:r>
              <w:rPr>
                <w:sz w:val="18"/>
                <w:szCs w:val="18"/>
              </w:rPr>
              <w:t>352.90</w:t>
            </w:r>
          </w:p>
        </w:tc>
      </w:tr>
      <w:tr w:rsidR="008C3970" w:rsidRPr="005A0E21" w14:paraId="5441F4A8" w14:textId="77777777" w:rsidTr="008C3970">
        <w:trPr>
          <w:cantSplit/>
          <w:jc w:val="center"/>
        </w:trPr>
        <w:tc>
          <w:tcPr>
            <w:tcW w:w="1842" w:type="dxa"/>
            <w:tcBorders>
              <w:top w:val="nil"/>
            </w:tcBorders>
            <w:vAlign w:val="bottom"/>
          </w:tcPr>
          <w:p w14:paraId="25C2A9F1" w14:textId="77777777" w:rsidR="008C3970" w:rsidRPr="00662E9F" w:rsidRDefault="008C3970" w:rsidP="001E6D87">
            <w:pPr>
              <w:pStyle w:val="Paragraph"/>
              <w:ind w:firstLine="0"/>
              <w:jc w:val="center"/>
              <w:rPr>
                <w:sz w:val="18"/>
                <w:szCs w:val="18"/>
              </w:rPr>
            </w:pPr>
            <w:r w:rsidRPr="00662E9F">
              <w:rPr>
                <w:color w:val="000000"/>
                <w:sz w:val="18"/>
                <w:szCs w:val="18"/>
              </w:rPr>
              <w:t>2.5</w:t>
            </w:r>
          </w:p>
        </w:tc>
        <w:tc>
          <w:tcPr>
            <w:tcW w:w="2551" w:type="dxa"/>
            <w:tcBorders>
              <w:top w:val="nil"/>
            </w:tcBorders>
            <w:vAlign w:val="bottom"/>
          </w:tcPr>
          <w:p w14:paraId="37FE5AD1" w14:textId="11EB18EE" w:rsidR="008C3970" w:rsidRPr="00662E9F" w:rsidRDefault="008C3970" w:rsidP="001E6D87">
            <w:pPr>
              <w:jc w:val="center"/>
              <w:rPr>
                <w:sz w:val="18"/>
                <w:szCs w:val="18"/>
              </w:rPr>
            </w:pPr>
            <w:r>
              <w:rPr>
                <w:sz w:val="18"/>
                <w:szCs w:val="18"/>
              </w:rPr>
              <w:t>334.35</w:t>
            </w:r>
          </w:p>
        </w:tc>
      </w:tr>
      <w:tr w:rsidR="008C3970" w:rsidRPr="005A0E21" w14:paraId="4A5E8E93" w14:textId="77777777" w:rsidTr="008C3970">
        <w:trPr>
          <w:cantSplit/>
          <w:jc w:val="center"/>
        </w:trPr>
        <w:tc>
          <w:tcPr>
            <w:tcW w:w="1842" w:type="dxa"/>
            <w:tcBorders>
              <w:top w:val="nil"/>
            </w:tcBorders>
            <w:vAlign w:val="bottom"/>
          </w:tcPr>
          <w:p w14:paraId="0153BE6E" w14:textId="77777777" w:rsidR="008C3970" w:rsidRPr="00662E9F" w:rsidRDefault="008C3970" w:rsidP="001E6D87">
            <w:pPr>
              <w:pStyle w:val="Paragraph"/>
              <w:ind w:firstLine="0"/>
              <w:jc w:val="center"/>
              <w:rPr>
                <w:sz w:val="18"/>
                <w:szCs w:val="18"/>
              </w:rPr>
            </w:pPr>
            <w:r w:rsidRPr="00662E9F">
              <w:rPr>
                <w:color w:val="000000"/>
                <w:sz w:val="18"/>
                <w:szCs w:val="18"/>
              </w:rPr>
              <w:t>2.0</w:t>
            </w:r>
          </w:p>
        </w:tc>
        <w:tc>
          <w:tcPr>
            <w:tcW w:w="2551" w:type="dxa"/>
            <w:tcBorders>
              <w:top w:val="nil"/>
            </w:tcBorders>
            <w:vAlign w:val="bottom"/>
          </w:tcPr>
          <w:p w14:paraId="04BD3CEF" w14:textId="3AF87138" w:rsidR="008C3970" w:rsidRPr="00662E9F" w:rsidRDefault="008C3970" w:rsidP="001E6D87">
            <w:pPr>
              <w:jc w:val="center"/>
              <w:rPr>
                <w:sz w:val="18"/>
                <w:szCs w:val="18"/>
              </w:rPr>
            </w:pPr>
            <w:r>
              <w:rPr>
                <w:sz w:val="18"/>
                <w:szCs w:val="18"/>
              </w:rPr>
              <w:t>288.78</w:t>
            </w:r>
          </w:p>
        </w:tc>
      </w:tr>
      <w:tr w:rsidR="008C3970" w:rsidRPr="005A0E21" w14:paraId="2B3399B3" w14:textId="77777777" w:rsidTr="008C3970">
        <w:trPr>
          <w:cantSplit/>
          <w:jc w:val="center"/>
        </w:trPr>
        <w:tc>
          <w:tcPr>
            <w:tcW w:w="1842" w:type="dxa"/>
            <w:vAlign w:val="bottom"/>
          </w:tcPr>
          <w:p w14:paraId="28908089" w14:textId="77777777" w:rsidR="008C3970" w:rsidRPr="00662E9F" w:rsidRDefault="008C3970" w:rsidP="001E6D87">
            <w:pPr>
              <w:pStyle w:val="Paragraph"/>
              <w:ind w:firstLine="0"/>
              <w:jc w:val="center"/>
              <w:rPr>
                <w:sz w:val="18"/>
                <w:szCs w:val="18"/>
              </w:rPr>
            </w:pPr>
            <w:r w:rsidRPr="00662E9F">
              <w:rPr>
                <w:color w:val="000000"/>
                <w:sz w:val="18"/>
                <w:szCs w:val="18"/>
              </w:rPr>
              <w:lastRenderedPageBreak/>
              <w:t>1.5</w:t>
            </w:r>
          </w:p>
        </w:tc>
        <w:tc>
          <w:tcPr>
            <w:tcW w:w="2551" w:type="dxa"/>
            <w:vAlign w:val="bottom"/>
          </w:tcPr>
          <w:p w14:paraId="4A9FC729" w14:textId="018D3133" w:rsidR="008C3970" w:rsidRPr="00662E9F" w:rsidRDefault="008C3970" w:rsidP="001E6D87">
            <w:pPr>
              <w:jc w:val="center"/>
              <w:rPr>
                <w:sz w:val="18"/>
                <w:szCs w:val="18"/>
              </w:rPr>
            </w:pPr>
            <w:r>
              <w:rPr>
                <w:sz w:val="18"/>
                <w:szCs w:val="18"/>
              </w:rPr>
              <w:t>2.35</w:t>
            </w:r>
          </w:p>
        </w:tc>
      </w:tr>
      <w:tr w:rsidR="008C3970" w:rsidRPr="005A0E21" w14:paraId="03982CDB" w14:textId="77777777" w:rsidTr="008C3970">
        <w:trPr>
          <w:cantSplit/>
          <w:trHeight w:val="237"/>
          <w:jc w:val="center"/>
        </w:trPr>
        <w:tc>
          <w:tcPr>
            <w:tcW w:w="1842" w:type="dxa"/>
            <w:vAlign w:val="bottom"/>
          </w:tcPr>
          <w:p w14:paraId="759C3547" w14:textId="77777777" w:rsidR="008C3970" w:rsidRPr="00662E9F" w:rsidRDefault="008C3970" w:rsidP="001E6D87">
            <w:pPr>
              <w:pStyle w:val="Paragraph"/>
              <w:ind w:firstLine="0"/>
              <w:jc w:val="center"/>
              <w:rPr>
                <w:color w:val="000000"/>
                <w:sz w:val="18"/>
                <w:szCs w:val="18"/>
              </w:rPr>
            </w:pPr>
            <w:r w:rsidRPr="00662E9F">
              <w:rPr>
                <w:color w:val="000000"/>
                <w:sz w:val="18"/>
                <w:szCs w:val="18"/>
              </w:rPr>
              <w:t>1.0</w:t>
            </w:r>
          </w:p>
        </w:tc>
        <w:tc>
          <w:tcPr>
            <w:tcW w:w="2551" w:type="dxa"/>
            <w:vAlign w:val="bottom"/>
          </w:tcPr>
          <w:p w14:paraId="04B4C90D" w14:textId="7565FF5E" w:rsidR="008C3970" w:rsidRPr="00662E9F" w:rsidRDefault="008C3970" w:rsidP="001E6D87">
            <w:pPr>
              <w:jc w:val="center"/>
              <w:rPr>
                <w:color w:val="000000"/>
                <w:sz w:val="18"/>
                <w:szCs w:val="18"/>
              </w:rPr>
            </w:pPr>
            <w:r>
              <w:rPr>
                <w:color w:val="000000"/>
                <w:sz w:val="18"/>
                <w:szCs w:val="18"/>
              </w:rPr>
              <w:t>1.21</w:t>
            </w:r>
          </w:p>
        </w:tc>
      </w:tr>
      <w:bookmarkEnd w:id="0"/>
    </w:tbl>
    <w:p w14:paraId="26EF8F8E" w14:textId="77777777" w:rsidR="008C3970" w:rsidRDefault="008C3970" w:rsidP="008863B9">
      <w:pPr>
        <w:pStyle w:val="Paragraph"/>
      </w:pPr>
    </w:p>
    <w:p w14:paraId="3C7CDEE3" w14:textId="01AC6280" w:rsidR="006C1A9D" w:rsidRDefault="00B51BB7" w:rsidP="008C3970">
      <w:pPr>
        <w:pStyle w:val="Paragraph"/>
      </w:pPr>
      <w:bookmarkStart w:id="1" w:name="_Hlk79762213"/>
      <w:r w:rsidRPr="00B51BB7">
        <w:t xml:space="preserve">The test results in </w:t>
      </w:r>
      <w:r w:rsidR="003E727F">
        <w:t>T</w:t>
      </w:r>
      <w:r w:rsidRPr="00B51BB7">
        <w:t xml:space="preserve">able 2 show that the net radiation count at a distance of less than 2 cm is greater than the LOD and LOQ. </w:t>
      </w:r>
      <w:r w:rsidR="00485608">
        <w:t>D</w:t>
      </w:r>
      <w:r w:rsidRPr="00B51BB7">
        <w:t>etector-source distance of 2 cm</w:t>
      </w:r>
      <w:r w:rsidR="00485608">
        <w:t xml:space="preserve"> means </w:t>
      </w:r>
      <w:r w:rsidRPr="00B51BB7">
        <w:t>the net radiation count can be distinguished from the background count or detected by the detector</w:t>
      </w:r>
      <w:r w:rsidR="00485608">
        <w:t>,</w:t>
      </w:r>
      <w:r w:rsidRPr="00B51BB7">
        <w:t xml:space="preserve"> and its value can be expressed quantitatively.</w:t>
      </w:r>
    </w:p>
    <w:p w14:paraId="6CFDBEB5" w14:textId="794BCDE9" w:rsidR="008C3970" w:rsidRDefault="00B51BB7" w:rsidP="008C3970">
      <w:pPr>
        <w:pStyle w:val="Paragraph"/>
      </w:pPr>
      <w:r w:rsidRPr="00B51BB7">
        <w:t>Then, looking at the RMSE, the value of the count distribution data is said to be good if the calculated RMSE value is getting smaller.</w:t>
      </w:r>
      <w:r w:rsidR="00D20768">
        <w:t xml:space="preserve"> </w:t>
      </w:r>
      <w:r w:rsidR="00D20768" w:rsidRPr="00761F58">
        <w:t>A low RMSE value indicates that the variation in the value produced by a forecast model is close to the variation in the observed value</w:t>
      </w:r>
      <w:r w:rsidR="00D20768">
        <w:t xml:space="preserve"> </w:t>
      </w:r>
      <w:r w:rsidR="00D20768">
        <w:fldChar w:fldCharType="begin" w:fldLock="1"/>
      </w:r>
      <w:r w:rsidR="00931386">
        <w:instrText>ADDIN CSL_CITATION {"citationItems":[{"id":"ITEM-1","itemData":{"DOI":"10.2307/2345077","ISSN":"00359238","abstract":"In this study, the authors used 111 time series to examine the accuracy of various forecasting methods, particularly time-series methods. The study shows, at least for time series, why some methods achieve greater accuracy than others for different types of data. The authors offer some explanation of the seemingly conflicting conclusions of past empirical research on the accuracy of forecasting. One novel contribution of the paper is the development of regression equations expressing accuracy as a function of factors such as randomness, seasonality, trend-cycle and the number of data points describing the series. Surprisingly, the study shows that for these 111 series simpler methods perform well in comparison to the more complex and statistically sophisticated ARMA models.","author":[{"dropping-particle":"","family":"Makridakis","given":"Spyros","non-dropping-particle":"","parse-names":false,"suffix":""},{"dropping-particle":"","family":"Hibon","given":"Michele","non-dropping-particle":"","parse-names":false,"suffix":""},{"dropping-particle":"","family":"Moser","given":"Claus","non-dropping-particle":"","parse-names":false,"suffix":""}],"container-title":"Journal of the Royal Statistical Society. Series A (General)","id":"ITEM-1","issue":"2","issued":{"date-parts":[["1982"]]},"page":"111-153","title":"Accuracy of Extrapolation (Time Series) Methods: Results of a Forecasting Competition","type":"article-journal","volume":"1"},"uris":["http://www.mendeley.com/documents/?uuid=85d7006d-e309-49e2-9909-36396d0eb84c"]}],"mendeley":{"formattedCitation":"[21]","plainTextFormattedCitation":"[21]","previouslyFormattedCitation":"[21]"},"properties":{"noteIndex":0},"schema":"https://github.com/citation-style-language/schema/raw/master/csl-citation.json"}</w:instrText>
      </w:r>
      <w:r w:rsidR="00D20768">
        <w:fldChar w:fldCharType="separate"/>
      </w:r>
      <w:r w:rsidR="00D20768" w:rsidRPr="00D20768">
        <w:rPr>
          <w:noProof/>
        </w:rPr>
        <w:t>[21]</w:t>
      </w:r>
      <w:r w:rsidR="00D20768">
        <w:fldChar w:fldCharType="end"/>
      </w:r>
      <w:r w:rsidR="00D20768">
        <w:t xml:space="preserve">. </w:t>
      </w:r>
      <w:r w:rsidR="002270E4" w:rsidRPr="002270E4">
        <w:t>Thus, a low RMSE value at a distance below 2 cm indicates that the detector is able to distinguish the presence of radiation sources significantly</w:t>
      </w:r>
      <w:r w:rsidR="008C3970">
        <w:t>.</w:t>
      </w:r>
      <w:r w:rsidR="008C3970" w:rsidRPr="008C3970">
        <w:t xml:space="preserve"> </w:t>
      </w:r>
    </w:p>
    <w:p w14:paraId="0030D0AF" w14:textId="619ED94F" w:rsidR="008C3970" w:rsidRDefault="00B51BB7" w:rsidP="008C3970">
      <w:pPr>
        <w:pStyle w:val="Paragraph"/>
      </w:pPr>
      <w:r w:rsidRPr="00B51BB7">
        <w:t>Thus, the type of CsI(Tl) Atom Fast Scintillation 8*8*50 Crystal Radiation detector used is capable of producing good phantom count distribution values at an ideal distance of less than 2 cm from the test object or phantom</w:t>
      </w:r>
      <w:r w:rsidR="008C3970">
        <w:t>.</w:t>
      </w:r>
    </w:p>
    <w:p w14:paraId="4E84EFF2" w14:textId="20DDF2F1" w:rsidR="00AA60BE" w:rsidRDefault="006A4809" w:rsidP="00AA60BE">
      <w:pPr>
        <w:pStyle w:val="Heading2"/>
      </w:pPr>
      <w:r>
        <w:t>The Efficiency of</w:t>
      </w:r>
      <w:r w:rsidR="00AA60BE">
        <w:t xml:space="preserve"> CsI(Tl)</w:t>
      </w:r>
      <w:r>
        <w:t xml:space="preserve"> Detector</w:t>
      </w:r>
    </w:p>
    <w:p w14:paraId="5BEF79D1" w14:textId="64812380" w:rsidR="00AA60BE" w:rsidRPr="002A7C03" w:rsidRDefault="00931386" w:rsidP="00AA60BE">
      <w:pPr>
        <w:pStyle w:val="Paragraph"/>
      </w:pPr>
      <w:r w:rsidRPr="00931386">
        <w:t>The average yield of 30 source count rate data is 67.37 cps. The data is taken with the distance from the source to the detector is 1 cm</w:t>
      </w:r>
      <w:r w:rsidR="002270E4">
        <w:t>,</w:t>
      </w:r>
      <w:r w:rsidRPr="00931386">
        <w:t xml:space="preserve"> and the radius of the detector used is 0.4 cm. The result of calculating the value of the geometry factor (Ω) based on equation (2) is 0.45</w:t>
      </w:r>
      <w:r w:rsidR="002270E4">
        <w:t>,</w:t>
      </w:r>
      <w:r w:rsidRPr="00931386">
        <w:t xml:space="preserve"> and the detector efficiency based on equation (1) is 2.07%.</w:t>
      </w:r>
    </w:p>
    <w:p w14:paraId="0D214003" w14:textId="19414391" w:rsidR="00AA60BE" w:rsidRPr="002A7C03" w:rsidRDefault="00931386" w:rsidP="00AA60BE">
      <w:pPr>
        <w:pStyle w:val="Paragraph"/>
      </w:pPr>
      <w:r w:rsidRPr="00931386">
        <w:t>From the results of the efficiency determination, it is known that the efficiency of the CsI(Tl) Atomfast type used is better than the CsI(Tl) detector type W556 7699 made by Hilger in the research of Sumanto et al</w:t>
      </w:r>
      <w:r w:rsidR="002270E4">
        <w:t>.</w:t>
      </w:r>
      <w:r w:rsidRPr="00931386">
        <w:t xml:space="preserve"> (2011)</w:t>
      </w:r>
      <w:r>
        <w:t xml:space="preserve"> </w:t>
      </w:r>
      <w:r>
        <w:fldChar w:fldCharType="begin" w:fldLock="1"/>
      </w:r>
      <w:r>
        <w:instrText>ADDIN CSL_CITATION {"citationItems":[{"id":"ITEM-1","itemData":{"ISSN":"1411-0296","author":[{"dropping-particle":"","family":"Sumanto","given":"Joko","non-dropping-particle":"","parse-names":false,"suffix":""},{"dropping-particle":"","family":"Bachtiar","given":"Sigit","non-dropping-particle":"","parse-names":false,"suffix":""},{"dropping-particle":"","family":"Jalil","given":"Abdul","non-dropping-particle":"","parse-names":false,"suffix":""}],"container-title":"PRIMA - Aplikasi dan Rekayasa dalam Bidang Iptek Nuklir","id":"ITEM-1","issue":"2","issued":{"date-parts":[["2011"]]},"page":"63-72","title":"Kajian Ki Nerja Sistem Deteksi Antara Detektor Nai(Tl) Dan Csi(Tl) Untuk Perangkat Renograf Portabel Jinjing","type":"article-journal","volume":"8"},"uris":["http://www.mendeley.com/documents/?uuid=db66bf40-92d1-414f-bd50-4f8b89a14867"]}],"mendeley":{"formattedCitation":"[23]","plainTextFormattedCitation":"[23]"},"properties":{"noteIndex":0},"schema":"https://github.com/citation-style-language/schema/raw/master/csl-citation.json"}</w:instrText>
      </w:r>
      <w:r>
        <w:fldChar w:fldCharType="separate"/>
      </w:r>
      <w:r w:rsidRPr="00931386">
        <w:rPr>
          <w:noProof/>
        </w:rPr>
        <w:t>[23]</w:t>
      </w:r>
      <w:r>
        <w:fldChar w:fldCharType="end"/>
      </w:r>
      <w:r w:rsidRPr="00931386">
        <w:t>. Using the Cs-137 source, the efficiency of the detector used in this study was 1.73%.</w:t>
      </w:r>
    </w:p>
    <w:p w14:paraId="195E0178" w14:textId="5D8FD66C" w:rsidR="00AA60BE" w:rsidRDefault="00931386" w:rsidP="006A4809">
      <w:pPr>
        <w:pStyle w:val="Paragraph"/>
      </w:pPr>
      <w:r w:rsidRPr="00931386">
        <w:t xml:space="preserve">The </w:t>
      </w:r>
      <w:r w:rsidR="002270E4">
        <w:t>detector’s efficiency</w:t>
      </w:r>
      <w:r w:rsidRPr="00931386">
        <w:t xml:space="preserve"> is the ratio between the number of counts and the absolute activity of the source, namely the number of radiation emitted by the source in all directions (4π). The geometric factor </w:t>
      </w:r>
      <w:r w:rsidR="002270E4">
        <w:t>is</w:t>
      </w:r>
      <w:r w:rsidRPr="00931386">
        <w:t xml:space="preserve"> 0.45 (close to 0.5 or 2π)</w:t>
      </w:r>
      <w:r w:rsidR="002270E4">
        <w:t>, which shows</w:t>
      </w:r>
      <w:r w:rsidRPr="00931386">
        <w:t xml:space="preserve"> that the detector </w:t>
      </w:r>
      <w:r w:rsidR="002270E4">
        <w:t>can</w:t>
      </w:r>
      <w:r w:rsidRPr="00931386">
        <w:t xml:space="preserve"> receive almost half of the radiation originating from the radiation source. </w:t>
      </w:r>
      <w:r w:rsidR="002270E4" w:rsidRPr="002270E4">
        <w:t>The detector</w:t>
      </w:r>
      <w:r w:rsidR="002270E4">
        <w:t>’</w:t>
      </w:r>
      <w:r w:rsidR="002270E4" w:rsidRPr="002270E4">
        <w:t xml:space="preserve">s ability to measure radiation can be affected by the distance from the radiation source to the detector, the medium between the detector and the radiation source, and the </w:t>
      </w:r>
      <w:r w:rsidR="002270E4">
        <w:t>detector’s active volume</w:t>
      </w:r>
      <w:r w:rsidR="002270E4" w:rsidRPr="002270E4">
        <w:t xml:space="preserve"> (scintillator)</w:t>
      </w:r>
      <w:r w:rsidRPr="00931386">
        <w:t xml:space="preserve">. The greater the active volume, the more the number of radiation counts that </w:t>
      </w:r>
      <w:r w:rsidR="002270E4">
        <w:t>a detector can receive</w:t>
      </w:r>
      <w:r w:rsidRPr="00931386">
        <w:t>.</w:t>
      </w:r>
      <w:r w:rsidR="00AA60BE" w:rsidRPr="002A7C03">
        <w:t xml:space="preserve"> </w:t>
      </w:r>
      <w:r w:rsidR="00AA60BE" w:rsidRPr="002A7C03">
        <w:fldChar w:fldCharType="begin" w:fldLock="1"/>
      </w:r>
      <w:r w:rsidR="00AA60BE" w:rsidRPr="002A7C03">
        <w:instrText>ADDIN CSL_CITATION {"citationItems":[{"id":"ITEM-1","itemData":{"abstract":"Telah dilakukan pengamatan dan perbandingan kinerja detektor CsI(Tl) pada spektroskopi gamma dengan detektor NaI(Tl). Sumber radiasi gamma yang digunakan adalah sumber radiasi standar yaitu Cs-137 dan Co-60 serta Eu-152 yang memiliki jumlah puncak spektrum tenaga gamma yang banyak. Pengamatan dengan menggunakan kedua detektor dilakukan pada kondisi maksimal dari peralatan spektroskopi yang digunakan. Dari spektrum tenaga gamma hasil perhitungan yang dilakukan diperoleh bahwa resolusi detektor NaI(Tl) lebih baik dibandingkan dengan detektor CsI(Tl), namun dari segi efisiensi menunjukkan bahwa detektor CsI(Tl) lebih baik dibandingkan dengan detektor NaI(Tl). Dari aspek lainnya, detektor CsI(Tl) masih memiliki kelebihan dibandingkan dengan detektor NaI(Tl) diantaranya lebih murah, ekonomis, praktis dalam penggunaannya karena bentuknya yang kecil dan kompak dan penyedia daya listrik yang digunakan lebih hemat yaitu ± 24 Volt untuk detektor CsI(Tl) sedangkan untuk detektor NaI(Tl) penyedia daya listrik yang digunakan berkisar diantara 500 Volt sampai 1200 Volt.","author":[{"dropping-particle":"","family":"Bahri","given":"Syamsul","non-dropping-particle":"","parse-names":false,"suffix":""}],"container-title":"Jurnal Gradien","id":"ITEM-1","issue":"1","issued":{"date-parts":[["2007"]]},"page":"204-209","title":"Perbandingan Kinerja Detektor NaI(Tl) Dengan Detektor CsI(Tl) Pada Spektroskopi Radiasi Gamma","type":"article-journal","volume":"3"},"uris":["http://www.mendeley.com/documents/?uuid=7da05953-0e14-4291-b039-334c0f34d39c"]}],"mendeley":{"formattedCitation":"[13]","plainTextFormattedCitation":"[13]","previouslyFormattedCitation":"[13]"},"properties":{"noteIndex":0},"schema":"https://github.com/citation-style-language/schema/raw/master/csl-citation.json"}</w:instrText>
      </w:r>
      <w:r w:rsidR="00AA60BE" w:rsidRPr="002A7C03">
        <w:fldChar w:fldCharType="separate"/>
      </w:r>
      <w:r w:rsidR="00AA60BE" w:rsidRPr="002A7C03">
        <w:rPr>
          <w:noProof/>
        </w:rPr>
        <w:t>[13]</w:t>
      </w:r>
      <w:r w:rsidR="00AA60BE" w:rsidRPr="002A7C03">
        <w:fldChar w:fldCharType="end"/>
      </w:r>
      <w:r w:rsidR="00AA60BE" w:rsidRPr="002A7C03">
        <w:t>.</w:t>
      </w:r>
    </w:p>
    <w:p w14:paraId="30642CE2" w14:textId="672F5EDF" w:rsidR="006A4809" w:rsidRDefault="006A4809" w:rsidP="006A4809">
      <w:pPr>
        <w:pStyle w:val="Heading2"/>
      </w:pPr>
      <w:r>
        <w:t>The Stability of CsI(Tl)</w:t>
      </w:r>
    </w:p>
    <w:p w14:paraId="1F57762B" w14:textId="158B6DD1" w:rsidR="006A4809" w:rsidRDefault="006A4809" w:rsidP="006A4809">
      <w:pPr>
        <w:pStyle w:val="Paragraph"/>
      </w:pPr>
      <w:r w:rsidRPr="006A4809">
        <w:t xml:space="preserve">This stability test uses the chi-square test. The radiation count was measured 10 times, then the chi-square was calculated based on equation (6). The calculation results are presented in </w:t>
      </w:r>
      <w:r w:rsidR="002270E4">
        <w:t>T</w:t>
      </w:r>
      <w:r w:rsidRPr="006A4809">
        <w:t>able 4.</w:t>
      </w:r>
    </w:p>
    <w:p w14:paraId="79C23C37" w14:textId="368C4C20" w:rsidR="006A4809" w:rsidRDefault="003E727F" w:rsidP="006A4809">
      <w:pPr>
        <w:pStyle w:val="TableCaption"/>
      </w:pPr>
      <w:r>
        <w:rPr>
          <w:b/>
          <w:bCs/>
        </w:rPr>
        <w:t xml:space="preserve">Table </w:t>
      </w:r>
      <w:r w:rsidR="006A4809">
        <w:rPr>
          <w:b/>
          <w:bCs/>
        </w:rPr>
        <w:t>4</w:t>
      </w:r>
      <w:r w:rsidR="006A4809" w:rsidRPr="00662E9F">
        <w:rPr>
          <w:b/>
          <w:bCs/>
        </w:rPr>
        <w:t>.</w:t>
      </w:r>
      <w:r w:rsidR="006A4809">
        <w:t xml:space="preserve"> The chi-square test</w:t>
      </w:r>
    </w:p>
    <w:tbl>
      <w:tblPr>
        <w:tblW w:w="6944" w:type="dxa"/>
        <w:jc w:val="center"/>
        <w:tblBorders>
          <w:bottom w:val="single" w:sz="4" w:space="0" w:color="auto"/>
        </w:tblBorders>
        <w:tblLayout w:type="fixed"/>
        <w:tblLook w:val="0000" w:firstRow="0" w:lastRow="0" w:firstColumn="0" w:lastColumn="0" w:noHBand="0" w:noVBand="0"/>
      </w:tblPr>
      <w:tblGrid>
        <w:gridCol w:w="1842"/>
        <w:gridCol w:w="2551"/>
        <w:gridCol w:w="2551"/>
      </w:tblGrid>
      <w:tr w:rsidR="006A4809" w:rsidRPr="00075EA6" w14:paraId="4C2FB9EE" w14:textId="3E15C0FC" w:rsidTr="009D5B6D">
        <w:trPr>
          <w:cantSplit/>
          <w:trHeight w:val="272"/>
          <w:jc w:val="center"/>
        </w:trPr>
        <w:tc>
          <w:tcPr>
            <w:tcW w:w="1842" w:type="dxa"/>
            <w:tcBorders>
              <w:top w:val="single" w:sz="4" w:space="0" w:color="auto"/>
              <w:bottom w:val="single" w:sz="4" w:space="0" w:color="auto"/>
            </w:tcBorders>
            <w:vAlign w:val="center"/>
          </w:tcPr>
          <w:p w14:paraId="2B8CF607" w14:textId="1A82E69E" w:rsidR="006A4809" w:rsidRPr="006A4809" w:rsidRDefault="006A4809" w:rsidP="006A4809">
            <w:pPr>
              <w:jc w:val="center"/>
              <w:rPr>
                <w:b/>
              </w:rPr>
            </w:pPr>
            <w:r w:rsidRPr="006A4809">
              <w:rPr>
                <w:b/>
                <w:sz w:val="18"/>
                <w:szCs w:val="18"/>
              </w:rPr>
              <w:t>Data</w:t>
            </w:r>
          </w:p>
        </w:tc>
        <w:tc>
          <w:tcPr>
            <w:tcW w:w="2551" w:type="dxa"/>
            <w:tcBorders>
              <w:top w:val="single" w:sz="4" w:space="0" w:color="auto"/>
              <w:bottom w:val="single" w:sz="4" w:space="0" w:color="auto"/>
            </w:tcBorders>
          </w:tcPr>
          <w:p w14:paraId="59C741AF" w14:textId="3BF5AC13" w:rsidR="006A4809" w:rsidRPr="006A4809" w:rsidRDefault="001F2004" w:rsidP="006A4809">
            <w:pPr>
              <w:jc w:val="center"/>
              <w:rPr>
                <w:b/>
                <w:sz w:val="18"/>
                <w:szCs w:val="18"/>
              </w:rPr>
            </w:pPr>
            <m:oMathPara>
              <m:oMath>
                <m:sSub>
                  <m:sSubPr>
                    <m:ctrlPr>
                      <w:rPr>
                        <w:rFonts w:ascii="Cambria Math" w:hAnsi="Cambria Math"/>
                        <w:b/>
                        <w:i/>
                        <w:iCs/>
                        <w:color w:val="000000"/>
                        <w:sz w:val="20"/>
                      </w:rPr>
                    </m:ctrlPr>
                  </m:sSubPr>
                  <m:e>
                    <m:r>
                      <m:rPr>
                        <m:sty m:val="bi"/>
                      </m:rPr>
                      <w:rPr>
                        <w:rFonts w:ascii="Cambria Math" w:hAnsi="Cambria Math"/>
                        <w:color w:val="000000"/>
                        <w:sz w:val="20"/>
                      </w:rPr>
                      <m:t>C</m:t>
                    </m:r>
                  </m:e>
                  <m:sub>
                    <m:r>
                      <m:rPr>
                        <m:sty m:val="bi"/>
                      </m:rPr>
                      <w:rPr>
                        <w:rFonts w:ascii="Cambria Math" w:hAnsi="Cambria Math"/>
                        <w:color w:val="000000"/>
                        <w:sz w:val="20"/>
                      </w:rPr>
                      <m:t>i</m:t>
                    </m:r>
                  </m:sub>
                </m:sSub>
              </m:oMath>
            </m:oMathPara>
          </w:p>
        </w:tc>
        <w:tc>
          <w:tcPr>
            <w:tcW w:w="2551" w:type="dxa"/>
            <w:tcBorders>
              <w:top w:val="single" w:sz="4" w:space="0" w:color="auto"/>
              <w:bottom w:val="single" w:sz="4" w:space="0" w:color="auto"/>
            </w:tcBorders>
          </w:tcPr>
          <w:p w14:paraId="63996866" w14:textId="4C58BF0B" w:rsidR="006A4809" w:rsidRPr="006A4809" w:rsidRDefault="006A4809" w:rsidP="006A4809">
            <w:pPr>
              <w:jc w:val="center"/>
              <w:rPr>
                <w:b/>
                <w:sz w:val="18"/>
                <w:szCs w:val="18"/>
              </w:rPr>
            </w:pPr>
            <w:r w:rsidRPr="006A4809">
              <w:rPr>
                <w:b/>
                <w:sz w:val="20"/>
              </w:rPr>
              <w:t xml:space="preserve"> </w:t>
            </w:r>
            <m:oMath>
              <m:sSup>
                <m:sSupPr>
                  <m:ctrlPr>
                    <w:rPr>
                      <w:rFonts w:ascii="Cambria Math" w:hAnsi="Cambria Math"/>
                      <w:b/>
                      <w:i/>
                      <w:sz w:val="20"/>
                    </w:rPr>
                  </m:ctrlPr>
                </m:sSupPr>
                <m:e>
                  <m:r>
                    <m:rPr>
                      <m:sty m:val="bi"/>
                    </m:rPr>
                    <w:rPr>
                      <w:rFonts w:ascii="Cambria Math" w:hAnsi="Cambria Math"/>
                      <w:sz w:val="20"/>
                    </w:rPr>
                    <m:t>(</m:t>
                  </m:r>
                  <m:sSub>
                    <m:sSubPr>
                      <m:ctrlPr>
                        <w:rPr>
                          <w:rFonts w:ascii="Cambria Math" w:hAnsi="Cambria Math"/>
                          <w:b/>
                          <w:i/>
                          <w:iCs/>
                          <w:color w:val="000000"/>
                          <w:sz w:val="20"/>
                        </w:rPr>
                      </m:ctrlPr>
                    </m:sSubPr>
                    <m:e>
                      <m:r>
                        <m:rPr>
                          <m:sty m:val="bi"/>
                        </m:rPr>
                        <w:rPr>
                          <w:rFonts w:ascii="Cambria Math" w:hAnsi="Cambria Math"/>
                          <w:color w:val="000000"/>
                          <w:sz w:val="20"/>
                        </w:rPr>
                        <m:t>C</m:t>
                      </m:r>
                    </m:e>
                    <m:sub>
                      <m:r>
                        <m:rPr>
                          <m:sty m:val="bi"/>
                        </m:rPr>
                        <w:rPr>
                          <w:rFonts w:ascii="Cambria Math" w:hAnsi="Cambria Math"/>
                          <w:color w:val="000000"/>
                          <w:sz w:val="20"/>
                        </w:rPr>
                        <m:t>i</m:t>
                      </m:r>
                    </m:sub>
                  </m:sSub>
                  <m:r>
                    <m:rPr>
                      <m:sty m:val="bi"/>
                    </m:rPr>
                    <w:rPr>
                      <w:rFonts w:ascii="Cambria Math" w:hAnsi="Cambria Math"/>
                      <w:color w:val="000000"/>
                      <w:sz w:val="20"/>
                    </w:rPr>
                    <m:t>-</m:t>
                  </m:r>
                  <m:acc>
                    <m:accPr>
                      <m:chr m:val="̅"/>
                      <m:ctrlPr>
                        <w:rPr>
                          <w:rFonts w:ascii="Cambria Math" w:hAnsi="Cambria Math"/>
                          <w:b/>
                          <w:i/>
                          <w:iCs/>
                          <w:color w:val="000000"/>
                          <w:sz w:val="20"/>
                        </w:rPr>
                      </m:ctrlPr>
                    </m:accPr>
                    <m:e>
                      <m:r>
                        <m:rPr>
                          <m:sty m:val="bi"/>
                        </m:rPr>
                        <w:rPr>
                          <w:rFonts w:ascii="Cambria Math" w:hAnsi="Cambria Math"/>
                          <w:color w:val="000000"/>
                          <w:sz w:val="20"/>
                        </w:rPr>
                        <m:t>C</m:t>
                      </m:r>
                    </m:e>
                  </m:acc>
                  <m:r>
                    <m:rPr>
                      <m:sty m:val="bi"/>
                    </m:rPr>
                    <w:rPr>
                      <w:rFonts w:ascii="Cambria Math" w:hAnsi="Cambria Math"/>
                      <w:sz w:val="20"/>
                    </w:rPr>
                    <m:t>)</m:t>
                  </m:r>
                </m:e>
                <m:sup>
                  <m:r>
                    <m:rPr>
                      <m:sty m:val="bi"/>
                    </m:rPr>
                    <w:rPr>
                      <w:rFonts w:ascii="Cambria Math" w:hAnsi="Cambria Math"/>
                      <w:sz w:val="20"/>
                    </w:rPr>
                    <m:t>2</m:t>
                  </m:r>
                </m:sup>
              </m:sSup>
            </m:oMath>
          </w:p>
        </w:tc>
      </w:tr>
      <w:tr w:rsidR="006A4809" w:rsidRPr="005A0E21" w14:paraId="1728476D" w14:textId="0F46FDA1" w:rsidTr="00E9051A">
        <w:trPr>
          <w:cantSplit/>
          <w:jc w:val="center"/>
        </w:trPr>
        <w:tc>
          <w:tcPr>
            <w:tcW w:w="1842" w:type="dxa"/>
            <w:tcBorders>
              <w:top w:val="nil"/>
            </w:tcBorders>
          </w:tcPr>
          <w:p w14:paraId="5DFCB3C1" w14:textId="5D312E2D" w:rsidR="006A4809" w:rsidRPr="00662E9F" w:rsidRDefault="006A4809" w:rsidP="006A4809">
            <w:pPr>
              <w:pStyle w:val="Paragraph"/>
              <w:ind w:firstLine="0"/>
              <w:jc w:val="center"/>
              <w:rPr>
                <w:sz w:val="18"/>
                <w:szCs w:val="18"/>
              </w:rPr>
            </w:pPr>
            <w:r w:rsidRPr="002A7C03">
              <w:t>1</w:t>
            </w:r>
          </w:p>
        </w:tc>
        <w:tc>
          <w:tcPr>
            <w:tcW w:w="2551" w:type="dxa"/>
            <w:tcBorders>
              <w:top w:val="nil"/>
            </w:tcBorders>
            <w:vAlign w:val="bottom"/>
          </w:tcPr>
          <w:p w14:paraId="4288DA37" w14:textId="42C54BF0" w:rsidR="006A4809" w:rsidRPr="00662E9F" w:rsidRDefault="006A4809" w:rsidP="006A4809">
            <w:pPr>
              <w:jc w:val="center"/>
              <w:rPr>
                <w:sz w:val="18"/>
                <w:szCs w:val="18"/>
              </w:rPr>
            </w:pPr>
            <w:r w:rsidRPr="002A7C03">
              <w:rPr>
                <w:color w:val="000000"/>
                <w:sz w:val="20"/>
              </w:rPr>
              <w:t>73</w:t>
            </w:r>
          </w:p>
        </w:tc>
        <w:tc>
          <w:tcPr>
            <w:tcW w:w="2551" w:type="dxa"/>
            <w:tcBorders>
              <w:top w:val="nil"/>
            </w:tcBorders>
            <w:vAlign w:val="bottom"/>
          </w:tcPr>
          <w:p w14:paraId="317CC488" w14:textId="25FF1CFE" w:rsidR="006A4809" w:rsidRDefault="006A4809" w:rsidP="006A4809">
            <w:pPr>
              <w:jc w:val="center"/>
              <w:rPr>
                <w:sz w:val="18"/>
                <w:szCs w:val="18"/>
              </w:rPr>
            </w:pPr>
            <w:r w:rsidRPr="002A7C03">
              <w:rPr>
                <w:color w:val="000000"/>
                <w:sz w:val="20"/>
              </w:rPr>
              <w:t>0</w:t>
            </w:r>
          </w:p>
        </w:tc>
      </w:tr>
      <w:tr w:rsidR="006A4809" w:rsidRPr="005A0E21" w14:paraId="6DEB8668" w14:textId="77777777" w:rsidTr="00E9051A">
        <w:trPr>
          <w:cantSplit/>
          <w:jc w:val="center"/>
        </w:trPr>
        <w:tc>
          <w:tcPr>
            <w:tcW w:w="1842" w:type="dxa"/>
            <w:tcBorders>
              <w:top w:val="nil"/>
            </w:tcBorders>
          </w:tcPr>
          <w:p w14:paraId="7365607D" w14:textId="4707F7D7" w:rsidR="006A4809" w:rsidRPr="00662E9F" w:rsidRDefault="006A4809" w:rsidP="006A4809">
            <w:pPr>
              <w:pStyle w:val="Paragraph"/>
              <w:ind w:firstLine="0"/>
              <w:jc w:val="center"/>
              <w:rPr>
                <w:sz w:val="18"/>
                <w:szCs w:val="18"/>
              </w:rPr>
            </w:pPr>
            <w:r w:rsidRPr="002A7C03">
              <w:t>2</w:t>
            </w:r>
          </w:p>
        </w:tc>
        <w:tc>
          <w:tcPr>
            <w:tcW w:w="2551" w:type="dxa"/>
            <w:tcBorders>
              <w:top w:val="nil"/>
            </w:tcBorders>
            <w:vAlign w:val="bottom"/>
          </w:tcPr>
          <w:p w14:paraId="133386C9" w14:textId="17BBDC75" w:rsidR="006A4809" w:rsidRPr="00662E9F" w:rsidRDefault="006A4809" w:rsidP="006A4809">
            <w:pPr>
              <w:jc w:val="center"/>
              <w:rPr>
                <w:sz w:val="18"/>
                <w:szCs w:val="18"/>
              </w:rPr>
            </w:pPr>
            <w:r w:rsidRPr="002A7C03">
              <w:rPr>
                <w:color w:val="000000"/>
                <w:sz w:val="20"/>
              </w:rPr>
              <w:t>75</w:t>
            </w:r>
          </w:p>
        </w:tc>
        <w:tc>
          <w:tcPr>
            <w:tcW w:w="2551" w:type="dxa"/>
            <w:tcBorders>
              <w:top w:val="nil"/>
            </w:tcBorders>
            <w:vAlign w:val="bottom"/>
          </w:tcPr>
          <w:p w14:paraId="3AC68BBC" w14:textId="1D0536D1" w:rsidR="006A4809" w:rsidRDefault="006A4809" w:rsidP="006A4809">
            <w:pPr>
              <w:jc w:val="center"/>
              <w:rPr>
                <w:sz w:val="18"/>
                <w:szCs w:val="18"/>
              </w:rPr>
            </w:pPr>
            <w:r w:rsidRPr="002A7C03">
              <w:rPr>
                <w:color w:val="000000"/>
                <w:sz w:val="20"/>
              </w:rPr>
              <w:t>6</w:t>
            </w:r>
          </w:p>
        </w:tc>
      </w:tr>
      <w:tr w:rsidR="006A4809" w:rsidRPr="005A0E21" w14:paraId="09CA0AD9" w14:textId="77777777" w:rsidTr="00E9051A">
        <w:trPr>
          <w:cantSplit/>
          <w:jc w:val="center"/>
        </w:trPr>
        <w:tc>
          <w:tcPr>
            <w:tcW w:w="1842" w:type="dxa"/>
            <w:tcBorders>
              <w:top w:val="nil"/>
            </w:tcBorders>
          </w:tcPr>
          <w:p w14:paraId="29BE13FF" w14:textId="6C14C03F" w:rsidR="006A4809" w:rsidRPr="00662E9F" w:rsidRDefault="006A4809" w:rsidP="006A4809">
            <w:pPr>
              <w:pStyle w:val="Paragraph"/>
              <w:ind w:firstLine="0"/>
              <w:jc w:val="center"/>
              <w:rPr>
                <w:sz w:val="18"/>
                <w:szCs w:val="18"/>
              </w:rPr>
            </w:pPr>
            <w:r w:rsidRPr="002A7C03">
              <w:t>3</w:t>
            </w:r>
          </w:p>
        </w:tc>
        <w:tc>
          <w:tcPr>
            <w:tcW w:w="2551" w:type="dxa"/>
            <w:tcBorders>
              <w:top w:val="nil"/>
            </w:tcBorders>
            <w:vAlign w:val="bottom"/>
          </w:tcPr>
          <w:p w14:paraId="7C11F29A" w14:textId="7320264C" w:rsidR="006A4809" w:rsidRPr="00662E9F" w:rsidRDefault="006A4809" w:rsidP="006A4809">
            <w:pPr>
              <w:jc w:val="center"/>
              <w:rPr>
                <w:sz w:val="18"/>
                <w:szCs w:val="18"/>
              </w:rPr>
            </w:pPr>
            <w:r w:rsidRPr="002A7C03">
              <w:rPr>
                <w:color w:val="000000"/>
                <w:sz w:val="20"/>
              </w:rPr>
              <w:t>73</w:t>
            </w:r>
          </w:p>
        </w:tc>
        <w:tc>
          <w:tcPr>
            <w:tcW w:w="2551" w:type="dxa"/>
            <w:tcBorders>
              <w:top w:val="nil"/>
            </w:tcBorders>
            <w:vAlign w:val="bottom"/>
          </w:tcPr>
          <w:p w14:paraId="5794FD66" w14:textId="336A23BA" w:rsidR="006A4809" w:rsidRDefault="006A4809" w:rsidP="006A4809">
            <w:pPr>
              <w:jc w:val="center"/>
              <w:rPr>
                <w:sz w:val="18"/>
                <w:szCs w:val="18"/>
              </w:rPr>
            </w:pPr>
            <w:r w:rsidRPr="002A7C03">
              <w:rPr>
                <w:color w:val="000000"/>
                <w:sz w:val="20"/>
              </w:rPr>
              <w:t>0</w:t>
            </w:r>
          </w:p>
        </w:tc>
      </w:tr>
      <w:tr w:rsidR="006A4809" w:rsidRPr="005A0E21" w14:paraId="3CCC9693" w14:textId="77777777" w:rsidTr="00E9051A">
        <w:trPr>
          <w:cantSplit/>
          <w:jc w:val="center"/>
        </w:trPr>
        <w:tc>
          <w:tcPr>
            <w:tcW w:w="1842" w:type="dxa"/>
            <w:tcBorders>
              <w:top w:val="nil"/>
            </w:tcBorders>
          </w:tcPr>
          <w:p w14:paraId="1FA77E96" w14:textId="09E962A0" w:rsidR="006A4809" w:rsidRPr="00662E9F" w:rsidRDefault="006A4809" w:rsidP="006A4809">
            <w:pPr>
              <w:pStyle w:val="Paragraph"/>
              <w:ind w:firstLine="0"/>
              <w:jc w:val="center"/>
              <w:rPr>
                <w:sz w:val="18"/>
                <w:szCs w:val="18"/>
              </w:rPr>
            </w:pPr>
            <w:r w:rsidRPr="002A7C03">
              <w:t>4</w:t>
            </w:r>
          </w:p>
        </w:tc>
        <w:tc>
          <w:tcPr>
            <w:tcW w:w="2551" w:type="dxa"/>
            <w:tcBorders>
              <w:top w:val="nil"/>
            </w:tcBorders>
            <w:vAlign w:val="bottom"/>
          </w:tcPr>
          <w:p w14:paraId="77B00F63" w14:textId="5979559C" w:rsidR="006A4809" w:rsidRPr="00662E9F" w:rsidRDefault="006A4809" w:rsidP="006A4809">
            <w:pPr>
              <w:jc w:val="center"/>
              <w:rPr>
                <w:sz w:val="18"/>
                <w:szCs w:val="18"/>
              </w:rPr>
            </w:pPr>
            <w:r w:rsidRPr="002A7C03">
              <w:rPr>
                <w:color w:val="000000"/>
                <w:sz w:val="20"/>
              </w:rPr>
              <w:t>70</w:t>
            </w:r>
          </w:p>
        </w:tc>
        <w:tc>
          <w:tcPr>
            <w:tcW w:w="2551" w:type="dxa"/>
            <w:tcBorders>
              <w:top w:val="nil"/>
            </w:tcBorders>
            <w:vAlign w:val="bottom"/>
          </w:tcPr>
          <w:p w14:paraId="384B536F" w14:textId="1ED63870" w:rsidR="006A4809" w:rsidRDefault="006A4809" w:rsidP="006A4809">
            <w:pPr>
              <w:jc w:val="center"/>
              <w:rPr>
                <w:sz w:val="18"/>
                <w:szCs w:val="18"/>
              </w:rPr>
            </w:pPr>
            <w:r w:rsidRPr="002A7C03">
              <w:rPr>
                <w:color w:val="000000"/>
                <w:sz w:val="20"/>
              </w:rPr>
              <w:t>8</w:t>
            </w:r>
          </w:p>
        </w:tc>
      </w:tr>
      <w:tr w:rsidR="006A4809" w:rsidRPr="005A0E21" w14:paraId="2B4FBE22" w14:textId="77777777" w:rsidTr="00E9051A">
        <w:trPr>
          <w:cantSplit/>
          <w:jc w:val="center"/>
        </w:trPr>
        <w:tc>
          <w:tcPr>
            <w:tcW w:w="1842" w:type="dxa"/>
            <w:tcBorders>
              <w:top w:val="nil"/>
            </w:tcBorders>
          </w:tcPr>
          <w:p w14:paraId="0559F522" w14:textId="1B3FD058" w:rsidR="006A4809" w:rsidRPr="00662E9F" w:rsidRDefault="006A4809" w:rsidP="006A4809">
            <w:pPr>
              <w:pStyle w:val="Paragraph"/>
              <w:ind w:firstLine="0"/>
              <w:jc w:val="center"/>
              <w:rPr>
                <w:sz w:val="18"/>
                <w:szCs w:val="18"/>
              </w:rPr>
            </w:pPr>
            <w:r w:rsidRPr="002A7C03">
              <w:t>5</w:t>
            </w:r>
          </w:p>
        </w:tc>
        <w:tc>
          <w:tcPr>
            <w:tcW w:w="2551" w:type="dxa"/>
            <w:tcBorders>
              <w:top w:val="nil"/>
            </w:tcBorders>
            <w:vAlign w:val="bottom"/>
          </w:tcPr>
          <w:p w14:paraId="671DBFF0" w14:textId="7A288786" w:rsidR="006A4809" w:rsidRPr="00662E9F" w:rsidRDefault="006A4809" w:rsidP="006A4809">
            <w:pPr>
              <w:jc w:val="center"/>
              <w:rPr>
                <w:sz w:val="18"/>
                <w:szCs w:val="18"/>
              </w:rPr>
            </w:pPr>
            <w:r w:rsidRPr="002A7C03">
              <w:rPr>
                <w:color w:val="000000"/>
                <w:sz w:val="20"/>
              </w:rPr>
              <w:t>73</w:t>
            </w:r>
          </w:p>
        </w:tc>
        <w:tc>
          <w:tcPr>
            <w:tcW w:w="2551" w:type="dxa"/>
            <w:tcBorders>
              <w:top w:val="nil"/>
            </w:tcBorders>
            <w:vAlign w:val="bottom"/>
          </w:tcPr>
          <w:p w14:paraId="7B5948EE" w14:textId="7FE40B6C" w:rsidR="006A4809" w:rsidRDefault="006A4809" w:rsidP="006A4809">
            <w:pPr>
              <w:jc w:val="center"/>
              <w:rPr>
                <w:sz w:val="18"/>
                <w:szCs w:val="18"/>
              </w:rPr>
            </w:pPr>
            <w:r w:rsidRPr="002A7C03">
              <w:rPr>
                <w:color w:val="000000"/>
                <w:sz w:val="20"/>
              </w:rPr>
              <w:t>0</w:t>
            </w:r>
          </w:p>
        </w:tc>
      </w:tr>
      <w:tr w:rsidR="006A4809" w:rsidRPr="005A0E21" w14:paraId="170DBCF6" w14:textId="77777777" w:rsidTr="00E9051A">
        <w:trPr>
          <w:cantSplit/>
          <w:jc w:val="center"/>
        </w:trPr>
        <w:tc>
          <w:tcPr>
            <w:tcW w:w="1842" w:type="dxa"/>
            <w:tcBorders>
              <w:top w:val="nil"/>
            </w:tcBorders>
          </w:tcPr>
          <w:p w14:paraId="221A2AF3" w14:textId="6A97363A" w:rsidR="006A4809" w:rsidRPr="00662E9F" w:rsidRDefault="006A4809" w:rsidP="006A4809">
            <w:pPr>
              <w:pStyle w:val="Paragraph"/>
              <w:ind w:firstLine="0"/>
              <w:jc w:val="center"/>
              <w:rPr>
                <w:sz w:val="18"/>
                <w:szCs w:val="18"/>
              </w:rPr>
            </w:pPr>
            <w:r w:rsidRPr="002A7C03">
              <w:t>6</w:t>
            </w:r>
          </w:p>
        </w:tc>
        <w:tc>
          <w:tcPr>
            <w:tcW w:w="2551" w:type="dxa"/>
            <w:tcBorders>
              <w:top w:val="nil"/>
            </w:tcBorders>
            <w:vAlign w:val="bottom"/>
          </w:tcPr>
          <w:p w14:paraId="60EE8045" w14:textId="460842FC" w:rsidR="006A4809" w:rsidRPr="00662E9F" w:rsidRDefault="006A4809" w:rsidP="006A4809">
            <w:pPr>
              <w:jc w:val="center"/>
              <w:rPr>
                <w:sz w:val="18"/>
                <w:szCs w:val="18"/>
              </w:rPr>
            </w:pPr>
            <w:r w:rsidRPr="002A7C03">
              <w:rPr>
                <w:color w:val="000000"/>
                <w:sz w:val="20"/>
              </w:rPr>
              <w:t>77</w:t>
            </w:r>
          </w:p>
        </w:tc>
        <w:tc>
          <w:tcPr>
            <w:tcW w:w="2551" w:type="dxa"/>
            <w:tcBorders>
              <w:top w:val="nil"/>
            </w:tcBorders>
            <w:vAlign w:val="bottom"/>
          </w:tcPr>
          <w:p w14:paraId="38BBC8A9" w14:textId="45FE9750" w:rsidR="006A4809" w:rsidRDefault="006A4809" w:rsidP="006A4809">
            <w:pPr>
              <w:jc w:val="center"/>
              <w:rPr>
                <w:sz w:val="18"/>
                <w:szCs w:val="18"/>
              </w:rPr>
            </w:pPr>
            <w:r w:rsidRPr="002A7C03">
              <w:rPr>
                <w:color w:val="000000"/>
                <w:sz w:val="20"/>
              </w:rPr>
              <w:t>14</w:t>
            </w:r>
          </w:p>
        </w:tc>
      </w:tr>
      <w:tr w:rsidR="006A4809" w:rsidRPr="005A0E21" w14:paraId="07A20C42" w14:textId="77777777" w:rsidTr="00E9051A">
        <w:trPr>
          <w:cantSplit/>
          <w:jc w:val="center"/>
        </w:trPr>
        <w:tc>
          <w:tcPr>
            <w:tcW w:w="1842" w:type="dxa"/>
            <w:tcBorders>
              <w:top w:val="nil"/>
            </w:tcBorders>
          </w:tcPr>
          <w:p w14:paraId="4F2B3BC4" w14:textId="52FFA2C4" w:rsidR="006A4809" w:rsidRPr="00662E9F" w:rsidRDefault="006A4809" w:rsidP="006A4809">
            <w:pPr>
              <w:pStyle w:val="Paragraph"/>
              <w:ind w:firstLine="0"/>
              <w:jc w:val="center"/>
              <w:rPr>
                <w:sz w:val="18"/>
                <w:szCs w:val="18"/>
              </w:rPr>
            </w:pPr>
            <w:r w:rsidRPr="002A7C03">
              <w:t>7</w:t>
            </w:r>
          </w:p>
        </w:tc>
        <w:tc>
          <w:tcPr>
            <w:tcW w:w="2551" w:type="dxa"/>
            <w:tcBorders>
              <w:top w:val="nil"/>
            </w:tcBorders>
            <w:vAlign w:val="bottom"/>
          </w:tcPr>
          <w:p w14:paraId="48A09D41" w14:textId="341416B7" w:rsidR="006A4809" w:rsidRPr="00662E9F" w:rsidRDefault="006A4809" w:rsidP="006A4809">
            <w:pPr>
              <w:jc w:val="center"/>
              <w:rPr>
                <w:sz w:val="18"/>
                <w:szCs w:val="18"/>
              </w:rPr>
            </w:pPr>
            <w:r w:rsidRPr="002A7C03">
              <w:rPr>
                <w:color w:val="000000"/>
                <w:sz w:val="20"/>
              </w:rPr>
              <w:t>78</w:t>
            </w:r>
          </w:p>
        </w:tc>
        <w:tc>
          <w:tcPr>
            <w:tcW w:w="2551" w:type="dxa"/>
            <w:tcBorders>
              <w:top w:val="nil"/>
            </w:tcBorders>
            <w:vAlign w:val="bottom"/>
          </w:tcPr>
          <w:p w14:paraId="54BD924A" w14:textId="01B83856" w:rsidR="006A4809" w:rsidRDefault="006A4809" w:rsidP="006A4809">
            <w:pPr>
              <w:jc w:val="center"/>
              <w:rPr>
                <w:sz w:val="18"/>
                <w:szCs w:val="18"/>
              </w:rPr>
            </w:pPr>
            <w:r w:rsidRPr="002A7C03">
              <w:rPr>
                <w:color w:val="000000"/>
                <w:sz w:val="20"/>
              </w:rPr>
              <w:t>25</w:t>
            </w:r>
          </w:p>
        </w:tc>
      </w:tr>
      <w:tr w:rsidR="006A4809" w:rsidRPr="005A0E21" w14:paraId="0A2EB64B" w14:textId="1A8C7458" w:rsidTr="00E9051A">
        <w:trPr>
          <w:cantSplit/>
          <w:jc w:val="center"/>
        </w:trPr>
        <w:tc>
          <w:tcPr>
            <w:tcW w:w="1842" w:type="dxa"/>
            <w:tcBorders>
              <w:top w:val="nil"/>
            </w:tcBorders>
          </w:tcPr>
          <w:p w14:paraId="7F48D319" w14:textId="1355E428" w:rsidR="006A4809" w:rsidRPr="00662E9F" w:rsidRDefault="006A4809" w:rsidP="006A4809">
            <w:pPr>
              <w:pStyle w:val="Paragraph"/>
              <w:ind w:firstLine="0"/>
              <w:jc w:val="center"/>
              <w:rPr>
                <w:sz w:val="18"/>
                <w:szCs w:val="18"/>
              </w:rPr>
            </w:pPr>
            <w:r w:rsidRPr="002A7C03">
              <w:t>8</w:t>
            </w:r>
          </w:p>
        </w:tc>
        <w:tc>
          <w:tcPr>
            <w:tcW w:w="2551" w:type="dxa"/>
            <w:tcBorders>
              <w:top w:val="nil"/>
            </w:tcBorders>
            <w:vAlign w:val="bottom"/>
          </w:tcPr>
          <w:p w14:paraId="27D75042" w14:textId="611E8CC0" w:rsidR="006A4809" w:rsidRPr="00662E9F" w:rsidRDefault="006A4809" w:rsidP="006A4809">
            <w:pPr>
              <w:jc w:val="center"/>
              <w:rPr>
                <w:sz w:val="18"/>
                <w:szCs w:val="18"/>
              </w:rPr>
            </w:pPr>
            <w:r w:rsidRPr="002A7C03">
              <w:rPr>
                <w:color w:val="000000"/>
                <w:sz w:val="20"/>
              </w:rPr>
              <w:t>55</w:t>
            </w:r>
          </w:p>
        </w:tc>
        <w:tc>
          <w:tcPr>
            <w:tcW w:w="2551" w:type="dxa"/>
            <w:tcBorders>
              <w:top w:val="nil"/>
            </w:tcBorders>
            <w:vAlign w:val="bottom"/>
          </w:tcPr>
          <w:p w14:paraId="19580CC4" w14:textId="6C0A97C2" w:rsidR="006A4809" w:rsidRDefault="006A4809" w:rsidP="006A4809">
            <w:pPr>
              <w:jc w:val="center"/>
              <w:rPr>
                <w:sz w:val="18"/>
                <w:szCs w:val="18"/>
              </w:rPr>
            </w:pPr>
            <w:r w:rsidRPr="002A7C03">
              <w:rPr>
                <w:color w:val="000000"/>
                <w:sz w:val="20"/>
              </w:rPr>
              <w:t>339</w:t>
            </w:r>
          </w:p>
        </w:tc>
      </w:tr>
      <w:tr w:rsidR="006A4809" w:rsidRPr="005A0E21" w14:paraId="7D8B2903" w14:textId="61EE88E7" w:rsidTr="00E9051A">
        <w:trPr>
          <w:cantSplit/>
          <w:jc w:val="center"/>
        </w:trPr>
        <w:tc>
          <w:tcPr>
            <w:tcW w:w="1842" w:type="dxa"/>
            <w:tcBorders>
              <w:top w:val="nil"/>
            </w:tcBorders>
          </w:tcPr>
          <w:p w14:paraId="3D140535" w14:textId="6D6CF0E6" w:rsidR="006A4809" w:rsidRPr="00662E9F" w:rsidRDefault="006A4809" w:rsidP="006A4809">
            <w:pPr>
              <w:pStyle w:val="Paragraph"/>
              <w:ind w:firstLine="0"/>
              <w:jc w:val="center"/>
              <w:rPr>
                <w:sz w:val="18"/>
                <w:szCs w:val="18"/>
              </w:rPr>
            </w:pPr>
            <w:r w:rsidRPr="002A7C03">
              <w:t>9</w:t>
            </w:r>
          </w:p>
        </w:tc>
        <w:tc>
          <w:tcPr>
            <w:tcW w:w="2551" w:type="dxa"/>
            <w:tcBorders>
              <w:top w:val="nil"/>
            </w:tcBorders>
            <w:vAlign w:val="bottom"/>
          </w:tcPr>
          <w:p w14:paraId="4418914E" w14:textId="0762987A" w:rsidR="006A4809" w:rsidRPr="00662E9F" w:rsidRDefault="006A4809" w:rsidP="006A4809">
            <w:pPr>
              <w:jc w:val="center"/>
              <w:rPr>
                <w:sz w:val="18"/>
                <w:szCs w:val="18"/>
              </w:rPr>
            </w:pPr>
            <w:r w:rsidRPr="002A7C03">
              <w:rPr>
                <w:color w:val="000000"/>
                <w:sz w:val="20"/>
              </w:rPr>
              <w:t>83</w:t>
            </w:r>
          </w:p>
        </w:tc>
        <w:tc>
          <w:tcPr>
            <w:tcW w:w="2551" w:type="dxa"/>
            <w:tcBorders>
              <w:top w:val="nil"/>
            </w:tcBorders>
            <w:vAlign w:val="bottom"/>
          </w:tcPr>
          <w:p w14:paraId="1706ED9F" w14:textId="6C80299A" w:rsidR="006A4809" w:rsidRDefault="006A4809" w:rsidP="006A4809">
            <w:pPr>
              <w:jc w:val="center"/>
              <w:rPr>
                <w:sz w:val="18"/>
                <w:szCs w:val="18"/>
              </w:rPr>
            </w:pPr>
            <w:r w:rsidRPr="002A7C03">
              <w:rPr>
                <w:color w:val="000000"/>
                <w:sz w:val="20"/>
              </w:rPr>
              <w:t>104</w:t>
            </w:r>
          </w:p>
        </w:tc>
      </w:tr>
      <w:tr w:rsidR="006A4809" w:rsidRPr="005A0E21" w14:paraId="33C32107" w14:textId="7FD6AF38" w:rsidTr="007A6CFF">
        <w:trPr>
          <w:cantSplit/>
          <w:jc w:val="center"/>
        </w:trPr>
        <w:tc>
          <w:tcPr>
            <w:tcW w:w="1842" w:type="dxa"/>
            <w:tcBorders>
              <w:top w:val="nil"/>
              <w:bottom w:val="single" w:sz="4" w:space="0" w:color="auto"/>
            </w:tcBorders>
          </w:tcPr>
          <w:p w14:paraId="5EB14376" w14:textId="0BC8FC60" w:rsidR="006A4809" w:rsidRPr="00662E9F" w:rsidRDefault="006A4809" w:rsidP="006A4809">
            <w:pPr>
              <w:pStyle w:val="Paragraph"/>
              <w:ind w:firstLine="0"/>
              <w:jc w:val="center"/>
              <w:rPr>
                <w:sz w:val="18"/>
                <w:szCs w:val="18"/>
              </w:rPr>
            </w:pPr>
            <w:r w:rsidRPr="002A7C03">
              <w:t>10</w:t>
            </w:r>
          </w:p>
        </w:tc>
        <w:tc>
          <w:tcPr>
            <w:tcW w:w="2551" w:type="dxa"/>
            <w:tcBorders>
              <w:top w:val="nil"/>
              <w:bottom w:val="single" w:sz="4" w:space="0" w:color="auto"/>
            </w:tcBorders>
            <w:vAlign w:val="bottom"/>
          </w:tcPr>
          <w:p w14:paraId="5175EAF2" w14:textId="38869311" w:rsidR="006A4809" w:rsidRPr="00662E9F" w:rsidRDefault="006A4809" w:rsidP="006A4809">
            <w:pPr>
              <w:jc w:val="center"/>
              <w:rPr>
                <w:sz w:val="18"/>
                <w:szCs w:val="18"/>
              </w:rPr>
            </w:pPr>
            <w:r w:rsidRPr="002A7C03">
              <w:rPr>
                <w:color w:val="000000"/>
                <w:sz w:val="20"/>
              </w:rPr>
              <w:t>70</w:t>
            </w:r>
          </w:p>
        </w:tc>
        <w:tc>
          <w:tcPr>
            <w:tcW w:w="2551" w:type="dxa"/>
            <w:tcBorders>
              <w:top w:val="nil"/>
              <w:bottom w:val="single" w:sz="4" w:space="0" w:color="auto"/>
            </w:tcBorders>
            <w:vAlign w:val="bottom"/>
          </w:tcPr>
          <w:p w14:paraId="6A0CFBF7" w14:textId="1DC4C2C1" w:rsidR="006A4809" w:rsidRDefault="006A4809" w:rsidP="006A4809">
            <w:pPr>
              <w:jc w:val="center"/>
              <w:rPr>
                <w:sz w:val="18"/>
                <w:szCs w:val="18"/>
              </w:rPr>
            </w:pPr>
            <w:r w:rsidRPr="002A7C03">
              <w:rPr>
                <w:color w:val="000000"/>
                <w:sz w:val="20"/>
              </w:rPr>
              <w:t>8</w:t>
            </w:r>
          </w:p>
        </w:tc>
      </w:tr>
      <w:tr w:rsidR="006A4809" w:rsidRPr="005A0E21" w14:paraId="39EFF5D1" w14:textId="0F2B200E" w:rsidTr="007A6CFF">
        <w:trPr>
          <w:cantSplit/>
          <w:jc w:val="center"/>
        </w:trPr>
        <w:tc>
          <w:tcPr>
            <w:tcW w:w="1842" w:type="dxa"/>
            <w:tcBorders>
              <w:top w:val="single" w:sz="4" w:space="0" w:color="auto"/>
              <w:bottom w:val="nil"/>
            </w:tcBorders>
            <w:vAlign w:val="bottom"/>
          </w:tcPr>
          <w:p w14:paraId="5FD6DE96" w14:textId="715A66B5" w:rsidR="006A4809" w:rsidRPr="00662E9F" w:rsidRDefault="006A4809" w:rsidP="006A4809">
            <w:pPr>
              <w:pStyle w:val="Paragraph"/>
              <w:ind w:firstLine="0"/>
              <w:jc w:val="center"/>
              <w:rPr>
                <w:sz w:val="18"/>
                <w:szCs w:val="18"/>
              </w:rPr>
            </w:pPr>
          </w:p>
        </w:tc>
        <w:tc>
          <w:tcPr>
            <w:tcW w:w="2551" w:type="dxa"/>
            <w:tcBorders>
              <w:top w:val="single" w:sz="4" w:space="0" w:color="auto"/>
              <w:bottom w:val="nil"/>
            </w:tcBorders>
            <w:vAlign w:val="bottom"/>
          </w:tcPr>
          <w:p w14:paraId="5126008D" w14:textId="567C627F" w:rsidR="006A4809" w:rsidRPr="00662E9F" w:rsidRDefault="001F2004" w:rsidP="006A4809">
            <w:pPr>
              <w:jc w:val="center"/>
              <w:rPr>
                <w:sz w:val="18"/>
                <w:szCs w:val="18"/>
              </w:rPr>
            </w:pPr>
            <m:oMath>
              <m:acc>
                <m:accPr>
                  <m:chr m:val="̅"/>
                  <m:ctrlPr>
                    <w:rPr>
                      <w:rFonts w:ascii="Cambria Math" w:hAnsi="Cambria Math"/>
                      <w:i/>
                      <w:iCs/>
                      <w:color w:val="000000"/>
                      <w:sz w:val="20"/>
                    </w:rPr>
                  </m:ctrlPr>
                </m:accPr>
                <m:e>
                  <m:r>
                    <w:rPr>
                      <w:rFonts w:ascii="Cambria Math" w:hAnsi="Cambria Math"/>
                      <w:color w:val="000000"/>
                      <w:sz w:val="20"/>
                    </w:rPr>
                    <m:t>C</m:t>
                  </m:r>
                </m:e>
              </m:acc>
              <m:r>
                <w:rPr>
                  <w:rFonts w:ascii="Cambria Math" w:hAnsi="Cambria Math"/>
                  <w:color w:val="000000"/>
                  <w:sz w:val="20"/>
                </w:rPr>
                <m:t>=</m:t>
              </m:r>
            </m:oMath>
            <w:r w:rsidR="006A4809" w:rsidRPr="002A7C03">
              <w:rPr>
                <w:color w:val="000000"/>
                <w:sz w:val="20"/>
              </w:rPr>
              <w:t>73</w:t>
            </w:r>
          </w:p>
        </w:tc>
        <w:tc>
          <w:tcPr>
            <w:tcW w:w="2551" w:type="dxa"/>
            <w:tcBorders>
              <w:top w:val="single" w:sz="4" w:space="0" w:color="auto"/>
              <w:bottom w:val="nil"/>
            </w:tcBorders>
            <w:vAlign w:val="bottom"/>
          </w:tcPr>
          <w:p w14:paraId="04796D17" w14:textId="7CDB973F" w:rsidR="006A4809" w:rsidRDefault="001F2004" w:rsidP="006A4809">
            <w:pPr>
              <w:jc w:val="center"/>
              <w:rPr>
                <w:sz w:val="18"/>
                <w:szCs w:val="18"/>
              </w:rPr>
            </w:pPr>
            <m:oMath>
              <m:nary>
                <m:naryPr>
                  <m:chr m:val="∑"/>
                  <m:limLoc m:val="undOvr"/>
                  <m:subHide m:val="1"/>
                  <m:supHide m:val="1"/>
                  <m:ctrlPr>
                    <w:rPr>
                      <w:rFonts w:ascii="Cambria Math" w:hAnsi="Cambria Math"/>
                      <w:i/>
                      <w:color w:val="000000"/>
                      <w:sz w:val="20"/>
                    </w:rPr>
                  </m:ctrlPr>
                </m:naryPr>
                <m:sub/>
                <m:sup/>
                <m:e>
                  <m:sSup>
                    <m:sSupPr>
                      <m:ctrlPr>
                        <w:rPr>
                          <w:rFonts w:ascii="Cambria Math" w:hAnsi="Cambria Math"/>
                          <w:i/>
                          <w:sz w:val="20"/>
                        </w:rPr>
                      </m:ctrlPr>
                    </m:sSupPr>
                    <m:e>
                      <m:r>
                        <w:rPr>
                          <w:rFonts w:ascii="Cambria Math" w:hAnsi="Cambria Math"/>
                          <w:sz w:val="20"/>
                        </w:rPr>
                        <m:t>(</m:t>
                      </m:r>
                      <m:sSub>
                        <m:sSubPr>
                          <m:ctrlPr>
                            <w:rPr>
                              <w:rFonts w:ascii="Cambria Math" w:hAnsi="Cambria Math"/>
                              <w:i/>
                              <w:iCs/>
                              <w:color w:val="000000"/>
                              <w:sz w:val="20"/>
                            </w:rPr>
                          </m:ctrlPr>
                        </m:sSubPr>
                        <m:e>
                          <m:r>
                            <w:rPr>
                              <w:rFonts w:ascii="Cambria Math" w:hAnsi="Cambria Math"/>
                              <w:color w:val="000000"/>
                              <w:sz w:val="20"/>
                            </w:rPr>
                            <m:t>C</m:t>
                          </m:r>
                        </m:e>
                        <m:sub>
                          <m:r>
                            <w:rPr>
                              <w:rFonts w:ascii="Cambria Math" w:hAnsi="Cambria Math"/>
                              <w:color w:val="000000"/>
                              <w:sz w:val="20"/>
                            </w:rPr>
                            <m:t>i</m:t>
                          </m:r>
                        </m:sub>
                      </m:sSub>
                      <m:r>
                        <w:rPr>
                          <w:rFonts w:ascii="Cambria Math" w:hAnsi="Cambria Math"/>
                          <w:color w:val="000000"/>
                          <w:sz w:val="20"/>
                        </w:rPr>
                        <m:t>-</m:t>
                      </m:r>
                      <m:acc>
                        <m:accPr>
                          <m:chr m:val="̅"/>
                          <m:ctrlPr>
                            <w:rPr>
                              <w:rFonts w:ascii="Cambria Math" w:hAnsi="Cambria Math"/>
                              <w:i/>
                              <w:iCs/>
                              <w:color w:val="000000"/>
                              <w:sz w:val="20"/>
                            </w:rPr>
                          </m:ctrlPr>
                        </m:accPr>
                        <m:e>
                          <m:r>
                            <w:rPr>
                              <w:rFonts w:ascii="Cambria Math" w:hAnsi="Cambria Math"/>
                              <w:color w:val="000000"/>
                              <w:sz w:val="20"/>
                            </w:rPr>
                            <m:t>C</m:t>
                          </m:r>
                        </m:e>
                      </m:acc>
                      <m:r>
                        <w:rPr>
                          <w:rFonts w:ascii="Cambria Math" w:hAnsi="Cambria Math"/>
                          <w:sz w:val="20"/>
                        </w:rPr>
                        <m:t>)</m:t>
                      </m:r>
                    </m:e>
                    <m:sup>
                      <m:r>
                        <w:rPr>
                          <w:rFonts w:ascii="Cambria Math" w:hAnsi="Cambria Math"/>
                          <w:sz w:val="20"/>
                        </w:rPr>
                        <m:t>2</m:t>
                      </m:r>
                    </m:sup>
                  </m:sSup>
                </m:e>
              </m:nary>
              <m:r>
                <w:rPr>
                  <w:rFonts w:ascii="Cambria Math" w:hAnsi="Cambria Math"/>
                  <w:color w:val="000000"/>
                  <w:sz w:val="20"/>
                </w:rPr>
                <m:t xml:space="preserve">= </m:t>
              </m:r>
            </m:oMath>
            <w:r w:rsidR="006A4809" w:rsidRPr="002A7C03">
              <w:rPr>
                <w:color w:val="000000"/>
                <w:sz w:val="20"/>
              </w:rPr>
              <w:t>503</w:t>
            </w:r>
          </w:p>
        </w:tc>
      </w:tr>
      <w:tr w:rsidR="006A4809" w:rsidRPr="005A0E21" w14:paraId="1D71888B" w14:textId="77777777" w:rsidTr="007A6CFF">
        <w:trPr>
          <w:cantSplit/>
          <w:jc w:val="center"/>
        </w:trPr>
        <w:tc>
          <w:tcPr>
            <w:tcW w:w="1842" w:type="dxa"/>
            <w:tcBorders>
              <w:top w:val="nil"/>
            </w:tcBorders>
            <w:vAlign w:val="bottom"/>
          </w:tcPr>
          <w:p w14:paraId="25A3044B" w14:textId="77777777" w:rsidR="006A4809" w:rsidRPr="00662E9F" w:rsidRDefault="006A4809" w:rsidP="006A4809">
            <w:pPr>
              <w:pStyle w:val="Paragraph"/>
              <w:ind w:firstLine="0"/>
              <w:jc w:val="center"/>
              <w:rPr>
                <w:sz w:val="18"/>
                <w:szCs w:val="18"/>
              </w:rPr>
            </w:pPr>
          </w:p>
        </w:tc>
        <w:tc>
          <w:tcPr>
            <w:tcW w:w="2551" w:type="dxa"/>
            <w:tcBorders>
              <w:top w:val="nil"/>
            </w:tcBorders>
            <w:vAlign w:val="bottom"/>
          </w:tcPr>
          <w:p w14:paraId="79E87175" w14:textId="77777777" w:rsidR="006A4809" w:rsidRPr="00662E9F" w:rsidRDefault="006A4809" w:rsidP="006A4809">
            <w:pPr>
              <w:jc w:val="center"/>
              <w:rPr>
                <w:sz w:val="18"/>
                <w:szCs w:val="18"/>
              </w:rPr>
            </w:pPr>
          </w:p>
        </w:tc>
        <w:tc>
          <w:tcPr>
            <w:tcW w:w="2551" w:type="dxa"/>
            <w:tcBorders>
              <w:top w:val="nil"/>
            </w:tcBorders>
          </w:tcPr>
          <w:p w14:paraId="655588E4" w14:textId="16550684" w:rsidR="006A4809" w:rsidRDefault="001F2004" w:rsidP="006A4809">
            <w:pPr>
              <w:jc w:val="center"/>
              <w:rPr>
                <w:sz w:val="18"/>
                <w:szCs w:val="18"/>
              </w:rPr>
            </w:pPr>
            <m:oMathPara>
              <m:oMath>
                <m:sSup>
                  <m:sSupPr>
                    <m:ctrlPr>
                      <w:rPr>
                        <w:rFonts w:ascii="Cambria Math" w:hAnsi="Cambria Math"/>
                        <w:i/>
                        <w:iCs/>
                        <w:color w:val="000000"/>
                        <w:sz w:val="20"/>
                      </w:rPr>
                    </m:ctrlPr>
                  </m:sSupPr>
                  <m:e>
                    <m:r>
                      <w:rPr>
                        <w:rFonts w:ascii="Cambria Math" w:hAnsi="Cambria Math"/>
                        <w:color w:val="000000"/>
                        <w:sz w:val="20"/>
                      </w:rPr>
                      <m:t>χ</m:t>
                    </m:r>
                  </m:e>
                  <m:sup>
                    <m:r>
                      <w:rPr>
                        <w:rFonts w:ascii="Cambria Math" w:hAnsi="Cambria Math"/>
                        <w:color w:val="000000"/>
                        <w:sz w:val="20"/>
                      </w:rPr>
                      <m:t>2</m:t>
                    </m:r>
                  </m:sup>
                </m:sSup>
                <m:r>
                  <w:rPr>
                    <w:rFonts w:ascii="Cambria Math" w:hAnsi="Cambria Math"/>
                    <w:color w:val="000000"/>
                    <w:sz w:val="20"/>
                  </w:rPr>
                  <m:t>=6.919</m:t>
                </m:r>
              </m:oMath>
            </m:oMathPara>
          </w:p>
        </w:tc>
      </w:tr>
    </w:tbl>
    <w:p w14:paraId="7A74E5B2" w14:textId="77777777" w:rsidR="007A6CFF" w:rsidRDefault="007A6CFF" w:rsidP="00EB7299">
      <w:pPr>
        <w:pStyle w:val="Paragraph"/>
      </w:pPr>
    </w:p>
    <w:p w14:paraId="08AF2F56" w14:textId="10E69F2B" w:rsidR="00EB7299" w:rsidRDefault="006A4809" w:rsidP="00EB7299">
      <w:pPr>
        <w:pStyle w:val="Paragraph"/>
      </w:pPr>
      <w:r w:rsidRPr="006A4809">
        <w:t xml:space="preserve">In a set of 10 measurements </w:t>
      </w:r>
      <w:r>
        <w:t>with</w:t>
      </w:r>
      <w:r w:rsidRPr="006A4809">
        <w:t xml:space="preserve"> confidence level</w:t>
      </w:r>
      <w:r w:rsidR="002270E4">
        <w:t>s</w:t>
      </w:r>
      <w:r w:rsidRPr="006A4809">
        <w:t xml:space="preserve"> of 0.05 to 0.95, the Chi</w:t>
      </w:r>
      <w:r w:rsidR="002270E4">
        <w:t>-</w:t>
      </w:r>
      <w:r w:rsidRPr="006A4809">
        <w:t>Square test results should be within 3.325 and 16</w:t>
      </w:r>
      <w:r w:rsidR="002270E4">
        <w:t>.</w:t>
      </w:r>
      <w:r w:rsidRPr="006A4809">
        <w:t>919</w:t>
      </w:r>
      <w:r w:rsidR="002270E4">
        <w:t>,</w:t>
      </w:r>
      <w:r w:rsidRPr="006A4809">
        <w:t xml:space="preserve"> as stated in the IAEA-TECDOC-602</w:t>
      </w:r>
      <w:r>
        <w:t xml:space="preserve"> </w:t>
      </w:r>
      <w:r w:rsidRPr="002A7C03">
        <w:fldChar w:fldCharType="begin" w:fldLock="1"/>
      </w:r>
      <w:r w:rsidRPr="002A7C03">
        <w:instrText>ADDIN CSL_CITATION {"citationItems":[{"id":"ITEM-1","itemData":{"abstract":"This document, which gives detailed guidance on the quality control of the various instruments used in nuclear medicine, stems from the work of two Advisory Groups convened by the International Atomic Energy Agency. A first preliminary document was drawn up in 1979. A revised and extended version, incorporating recommended procedures, test schedules and protocols was prepared in 1982. The first edition of \"Quality Control of Nuclear Medicine Instruments\", IAEA-TECDOC-317, was printed in late 1984. During the past six years, 1500 copies of the first edition were distributed worldwide. According to records, it reached at least 241 nuclear medicine centres of 36 countries in Europe, Asia, Latin America and Africa. The contents of this document was taught to 371 participants on 23 courses and workshops. It contributed to the strengthening of the quality control awareness of nuclear medicine specialists engaged in diagnostic data reliability, imaging excellence and patient/staff radiation safety improvement. Recent advances in the field of nuclear medicine imaging made it necessary to add a chapter on Camera-Computer Systems and another on SPECT Systems. These have been included in the present edition. Acknowledgement is due to the following members of the Advisory Groups, experts participating in the regional technical co-operation projects and members of the staff of the Nuclear Medicine Section, IAEA, for their contribution: M. Cabrejas (Argentina), H. Bergmann and R. Hoefer (Austria), Dias-Neto (Brazil), P. Gonzalez (Chile), K.D. Herath (Sri Lanka), A. Krisanachinda (Thailand), P.W. Horton, R.F. Mould and A.E. Todd-Pokropek (United Kingdom), A.B. Brill, J.J. Ericson, N. Herrera, P. Paras and J.J. Touya (United States of America), and P. Ambro, E.H. Belcher, E.U. Buddemeyer, R.A. Dudley, G. Van Herk, B. Vavrenj, P.H. Vuister, A.W. Wegst (IAEA). The collaboration of the World Health Organization in certain aspects of the work is also acknowledged.","author":[{"dropping-particle":"","family":"IAEA","given":"","non-dropping-particle":"","parse-names":false,"suffix":""}],"container-title":"Quality control of nuclear medicine instruments 1991","id":"ITEM-1","issued":{"date-parts":[["1991"]]},"page":"297","title":"Quality control of nuclear medicine instruments 1991","type":"article-journal"},"uris":["http://www.mendeley.com/documents/?uuid=85b1ef68-0b7a-4298-813d-1b13f1f9dcf8"]},{"id":"ITEM-2","itemData":{"abstract":"Quality Control (QC), test procedures for Nuclear Instrumentation are important for assurance of proper and safe operation of the instruments, especially with regard to equipment related to radiological safety, human health and national safety. Correct measurements of radiation parameters must be ensured, i.e., accurate measurement of the number of radioactive events, counting times and in some cases accurate measurements of the radiation energy and occuring time of the nuclear events. There are several kinds of testing on nuclear instruments, for example, type-testing done by suppliers, acceptance testing made by the end users, Quality Control tests after repair and Quality Assurance/Quality Controls tests made by end-users. All of these tests are based in many cases on practical guidelines or on the experience of the own specialist, the available standards on this topic also need to be adapted to specific instruments. The IAEA has provided nuclear instruments and supported the operational maintenance efforts of the Member States. Although Nuclear Instrumentation is continuously upgraded, some older or aged instruments are still in use and in good working condition. Some of these instruments may not, however, meet modern requirements for the end-user therefore, Member States, mostly those with emerging economies, modernize/refurbish such instruments to meet the end-user demands. As a result, new instrumentation which is not commercially available, or modernized/refurbished instruments, need to be tested or verified with QC procedures to meet national or international certification requirements. A technical meeting on QC procedures applied to nuclear instruments was organized in Vienna from 23 to 24 August 2007. Existing and required QC test procedures necessary for the verification of operation and measurement of the main characteristics of nuclear instruments was the focus of discussion at this meeting. Presentations made at the technical meeting provided valuable information, new proposals, and technical opinions which have been compiled and summarized in this publication and should be useful for technical staff dealing with QC test procedures for maintenance, repair, design and modernization/refurbishment of nuclear instruments. Nine experts in this field as well as users of nuclear instruments presented their latest results; discussions held during the meeting and following the presentations included many technical comments. This publication is a c…","author":[{"dropping-particle":"","family":"IAEA","given":"","non-dropping-particle":"","parse-names":false,"suffix":""}],"container-title":"Iaea-Tecdoc","id":"ITEM-2","issue":"August 2007","issued":{"date-parts":[["2008"]]},"page":"69","title":"Quality Control Procedures Applied to Nuclear Instruments","type":"article-journal","volume":"1599"},"uris":["http://www.mendeley.com/documents/?uuid=c986f8a3-2860-4ffa-a64b-15581b07b910"]},{"id":"ITEM-3","itemData":{"DOI":"10.11113/jt.v77.6419","ISSN":"01279696","abstract":"The objective of this endeavor is to present a brief description of a stability test performed on a NaI(TI) scintillation detector to determine its most suitable operating voltage range. The Chi-square test is used to check the reliability of the data obtained. Some test results are included.","author":[{"dropping-particle":"","family":"Susiapan","given":"Yvette","non-dropping-particle":"","parse-names":false,"suffix":""},{"dropping-particle":"","family":"Rahim","given":"Ruzairi Abd","non-dropping-particle":"","parse-names":false,"suffix":""},{"dropping-particle":"","family":"Zain","given":"Rasif Mohd","non-dropping-particle":"","parse-names":false,"suffix":""},{"dropping-particle":"","family":"Wahab","given":"Ahmad Ridwan","non-dropping-particle":"","parse-names":false,"suffix":""},{"dropping-particle":"","family":"Wahid","given":"Herman","non-dropping-particle":"","parse-names":false,"suffix":""},{"dropping-particle":"","family":"Ishak","given":"Mohd Hafis Izran","non-dropping-particle":"","parse-names":false,"suffix":""},{"dropping-particle":"","family":"Bunyamin","given":"Salinda","non-dropping-particle":"","parse-names":false,"suffix":""},{"dropping-particle":"","family":"Yunus","given":"Yusri","non-dropping-particle":"","parse-names":false,"suffix":""},{"dropping-particle":"","family":"Ling","given":"Leow Pei","non-dropping-particle":"","parse-names":false,"suffix":""}],"container-title":"Jurnal Teknologi","id":"ITEM-3","issue":"17","issued":{"date-parts":[["2015"]]},"page":"27-30","title":"Stability test for nai(TI) scintillation detector","type":"article-journal","volume":"77"},"uris":["http://www.mendeley.com/documents/?uuid=7aaaf9cc-4eaa-49ba-bb6e-9d49d740eb81"]}],"mendeley":{"formattedCitation":"[22]–[24]","plainTextFormattedCitation":"[22]–[24]","previouslyFormattedCitation":"[22]–[24]"},"properties":{"noteIndex":0},"schema":"https://github.com/citation-style-language/schema/raw/master/csl-citation.json"}</w:instrText>
      </w:r>
      <w:r w:rsidRPr="002A7C03">
        <w:fldChar w:fldCharType="separate"/>
      </w:r>
      <w:r w:rsidRPr="002A7C03">
        <w:rPr>
          <w:noProof/>
        </w:rPr>
        <w:t>[22]–[24]</w:t>
      </w:r>
      <w:r w:rsidRPr="002A7C03">
        <w:fldChar w:fldCharType="end"/>
      </w:r>
      <w:r w:rsidRPr="002A7C03">
        <w:t>.</w:t>
      </w:r>
      <w:r>
        <w:t xml:space="preserve"> </w:t>
      </w:r>
      <w:r w:rsidRPr="006A4809">
        <w:t>The results of the chi-square test detector CsI(Tl) used are in this range,</w:t>
      </w:r>
      <w:r w:rsidR="002270E4">
        <w:t xml:space="preserve"> and</w:t>
      </w:r>
      <w:r w:rsidRPr="006A4809">
        <w:t xml:space="preserve"> </w:t>
      </w:r>
      <w:r w:rsidR="00EB7299">
        <w:t xml:space="preserve">these are </w:t>
      </w:r>
      <w:r w:rsidRPr="006A4809">
        <w:t>3.325 &lt; 6.919 &lt; 16.919. Thus, the CsI(Tl) detector is stable</w:t>
      </w:r>
      <w:r w:rsidR="002270E4">
        <w:t>,</w:t>
      </w:r>
      <w:r w:rsidRPr="006A4809">
        <w:t xml:space="preserve"> and the measurements follow a Gaussian distribution</w:t>
      </w:r>
      <w:r>
        <w:t>.</w:t>
      </w:r>
    </w:p>
    <w:p w14:paraId="7215C470" w14:textId="7AD10CFA" w:rsidR="00EB7299" w:rsidRDefault="00EB7299" w:rsidP="00EB7299">
      <w:pPr>
        <w:pStyle w:val="Heading2"/>
      </w:pPr>
      <w:r>
        <w:lastRenderedPageBreak/>
        <w:t>Digital Planar Scintigraphy Image</w:t>
      </w:r>
    </w:p>
    <w:p w14:paraId="261BCE69" w14:textId="154700F6" w:rsidR="00EB7299" w:rsidRDefault="00EB7299" w:rsidP="00EB7299">
      <w:pPr>
        <w:pStyle w:val="A09par"/>
        <w:spacing w:before="0"/>
        <w:ind w:firstLine="720"/>
        <w:rPr>
          <w:rFonts w:ascii="Times New Roman" w:hAnsi="Times New Roman"/>
          <w:sz w:val="20"/>
        </w:rPr>
      </w:pPr>
      <w:r w:rsidRPr="00EB7299">
        <w:rPr>
          <w:rFonts w:ascii="Times New Roman" w:hAnsi="Times New Roman"/>
          <w:sz w:val="20"/>
        </w:rPr>
        <w:t>The 15</w:t>
      </w:r>
      <w:r w:rsidR="002270E4">
        <w:rPr>
          <w:rFonts w:ascii="Times New Roman" w:hAnsi="Times New Roman"/>
          <w:sz w:val="20"/>
        </w:rPr>
        <w:t>×</w:t>
      </w:r>
      <w:r w:rsidRPr="00EB7299">
        <w:rPr>
          <w:rFonts w:ascii="Times New Roman" w:hAnsi="Times New Roman"/>
          <w:sz w:val="20"/>
        </w:rPr>
        <w:t>15 count matrix data is imaged as shown in Figure 5, which is a greyscale image</w:t>
      </w:r>
      <w:r w:rsidRPr="002A7C03">
        <w:rPr>
          <w:rFonts w:ascii="Times New Roman" w:hAnsi="Times New Roman"/>
          <w:sz w:val="20"/>
        </w:rPr>
        <w:t xml:space="preserve">. </w:t>
      </w:r>
      <w:r w:rsidR="00434C11" w:rsidRPr="00EB7299">
        <w:rPr>
          <w:rFonts w:ascii="Times New Roman" w:hAnsi="Times New Roman"/>
          <w:sz w:val="20"/>
        </w:rPr>
        <w:t>The image is still difficult to observe visually, so it is necessary to increase the number of pixels</w:t>
      </w:r>
      <w:r w:rsidR="00D475CC">
        <w:rPr>
          <w:rFonts w:ascii="Times New Roman" w:hAnsi="Times New Roman"/>
          <w:sz w:val="20"/>
        </w:rPr>
        <w:t>.</w:t>
      </w:r>
      <w:r w:rsidR="00434C11" w:rsidRPr="00EB7299">
        <w:rPr>
          <w:rFonts w:ascii="Times New Roman" w:hAnsi="Times New Roman"/>
          <w:sz w:val="20"/>
        </w:rPr>
        <w:t xml:space="preserve"> Image resolution is enlarged to 70</w:t>
      </w:r>
      <w:r w:rsidR="002270E4">
        <w:rPr>
          <w:rFonts w:ascii="Times New Roman" w:hAnsi="Times New Roman"/>
          <w:sz w:val="20"/>
        </w:rPr>
        <w:t>×</w:t>
      </w:r>
      <w:r w:rsidR="00434C11" w:rsidRPr="00EB7299">
        <w:rPr>
          <w:rFonts w:ascii="Times New Roman" w:hAnsi="Times New Roman"/>
          <w:sz w:val="20"/>
        </w:rPr>
        <w:t>70 pixels. Because the phantom size is 70</w:t>
      </w:r>
      <w:r w:rsidR="002270E4">
        <w:rPr>
          <w:rFonts w:ascii="Times New Roman" w:hAnsi="Times New Roman"/>
          <w:sz w:val="20"/>
        </w:rPr>
        <w:t>×</w:t>
      </w:r>
      <w:r w:rsidR="00434C11" w:rsidRPr="00EB7299">
        <w:rPr>
          <w:rFonts w:ascii="Times New Roman" w:hAnsi="Times New Roman"/>
          <w:sz w:val="20"/>
        </w:rPr>
        <w:t>70 mm</w:t>
      </w:r>
      <w:r w:rsidR="00434C11" w:rsidRPr="00EB7299">
        <w:rPr>
          <w:rFonts w:ascii="Times New Roman" w:hAnsi="Times New Roman"/>
          <w:sz w:val="20"/>
          <w:vertAlign w:val="superscript"/>
        </w:rPr>
        <w:t>2</w:t>
      </w:r>
      <w:r w:rsidR="00434C11" w:rsidRPr="00EB7299">
        <w:rPr>
          <w:rFonts w:ascii="Times New Roman" w:hAnsi="Times New Roman"/>
          <w:sz w:val="20"/>
        </w:rPr>
        <w:t xml:space="preserve">, </w:t>
      </w:r>
      <w:r w:rsidR="00434C11">
        <w:rPr>
          <w:rFonts w:ascii="Times New Roman" w:hAnsi="Times New Roman"/>
          <w:sz w:val="20"/>
        </w:rPr>
        <w:t>so 1</w:t>
      </w:r>
      <w:r w:rsidR="002270E4">
        <w:rPr>
          <w:rFonts w:ascii="Times New Roman" w:hAnsi="Times New Roman"/>
          <w:sz w:val="20"/>
        </w:rPr>
        <w:t>-</w:t>
      </w:r>
      <w:r w:rsidR="00434C11" w:rsidRPr="00EB7299">
        <w:rPr>
          <w:rFonts w:ascii="Times New Roman" w:hAnsi="Times New Roman"/>
          <w:sz w:val="20"/>
        </w:rPr>
        <w:t xml:space="preserve">pixel image represents </w:t>
      </w:r>
      <w:r w:rsidR="002270E4">
        <w:rPr>
          <w:rFonts w:ascii="Times New Roman" w:hAnsi="Times New Roman"/>
          <w:sz w:val="20"/>
        </w:rPr>
        <w:t xml:space="preserve">a </w:t>
      </w:r>
      <w:r w:rsidR="00434C11" w:rsidRPr="00EB7299">
        <w:rPr>
          <w:rFonts w:ascii="Times New Roman" w:hAnsi="Times New Roman"/>
          <w:sz w:val="20"/>
        </w:rPr>
        <w:t>1 mm</w:t>
      </w:r>
      <w:r w:rsidR="00434C11" w:rsidRPr="00EB7299">
        <w:rPr>
          <w:rFonts w:ascii="Times New Roman" w:hAnsi="Times New Roman"/>
          <w:sz w:val="20"/>
          <w:vertAlign w:val="superscript"/>
        </w:rPr>
        <w:t>2</w:t>
      </w:r>
      <w:r w:rsidR="00434C11" w:rsidRPr="00EB7299">
        <w:rPr>
          <w:rFonts w:ascii="Times New Roman" w:hAnsi="Times New Roman"/>
          <w:sz w:val="20"/>
        </w:rPr>
        <w:t xml:space="preserve"> phantom. The 70</w:t>
      </w:r>
      <w:r w:rsidR="002270E4">
        <w:rPr>
          <w:rFonts w:ascii="Times New Roman" w:hAnsi="Times New Roman"/>
          <w:sz w:val="20"/>
        </w:rPr>
        <w:t>×</w:t>
      </w:r>
      <w:r w:rsidR="00434C11" w:rsidRPr="00EB7299">
        <w:rPr>
          <w:rFonts w:ascii="Times New Roman" w:hAnsi="Times New Roman"/>
          <w:sz w:val="20"/>
        </w:rPr>
        <w:t>70 pixel greyscale image is shown in figure 6</w:t>
      </w:r>
      <w:r w:rsidR="00434C11" w:rsidRPr="002A7C03">
        <w:rPr>
          <w:rFonts w:ascii="Times New Roman" w:hAnsi="Times New Roman"/>
          <w:sz w:val="20"/>
        </w:rPr>
        <w:t>.</w:t>
      </w:r>
    </w:p>
    <w:p w14:paraId="5C1547EF" w14:textId="77777777" w:rsidR="00434C11" w:rsidRDefault="00434C11" w:rsidP="00EB7299">
      <w:pPr>
        <w:pStyle w:val="A09par"/>
        <w:spacing w:before="0"/>
        <w:ind w:firstLine="720"/>
        <w:rPr>
          <w:rFonts w:ascii="Times New Roman" w:hAnsi="Times New Roman"/>
          <w:sz w:val="20"/>
        </w:rPr>
      </w:pPr>
    </w:p>
    <w:p w14:paraId="0143C015" w14:textId="763FFE29" w:rsidR="00EB7299" w:rsidRDefault="00EB7299" w:rsidP="00EB7299">
      <w:pPr>
        <w:pStyle w:val="A09par"/>
        <w:spacing w:before="0"/>
        <w:jc w:val="center"/>
        <w:rPr>
          <w:rFonts w:ascii="Times New Roman" w:hAnsi="Times New Roman"/>
          <w:sz w:val="20"/>
        </w:rPr>
      </w:pPr>
      <w:r>
        <w:rPr>
          <w:noProof/>
        </w:rPr>
        <w:drawing>
          <wp:inline distT="0" distB="0" distL="0" distR="0" wp14:anchorId="0EB51E92" wp14:editId="084A8A13">
            <wp:extent cx="1388537" cy="1170709"/>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00888" cy="1181123"/>
                    </a:xfrm>
                    <a:prstGeom prst="rect">
                      <a:avLst/>
                    </a:prstGeom>
                  </pic:spPr>
                </pic:pic>
              </a:graphicData>
            </a:graphic>
          </wp:inline>
        </w:drawing>
      </w:r>
    </w:p>
    <w:p w14:paraId="13CA52D0" w14:textId="3A077924" w:rsidR="00EB7299" w:rsidRPr="00434C11" w:rsidRDefault="00EB7299" w:rsidP="00434C11">
      <w:pPr>
        <w:pStyle w:val="FigureCaption"/>
      </w:pPr>
      <w:r w:rsidRPr="00EB7299">
        <w:rPr>
          <w:b/>
          <w:bCs/>
        </w:rPr>
        <w:t>FIGURE 5.</w:t>
      </w:r>
      <w:r>
        <w:t xml:space="preserve"> Initial image 15</w:t>
      </w:r>
      <w:r w:rsidR="002270E4">
        <w:t>×</w:t>
      </w:r>
      <w:r>
        <w:t xml:space="preserve">15 pixel </w:t>
      </w:r>
    </w:p>
    <w:p w14:paraId="6C20C2DF" w14:textId="77777777" w:rsidR="00EB7299" w:rsidRDefault="00EB7299" w:rsidP="00EB7299">
      <w:pPr>
        <w:pStyle w:val="A09par"/>
        <w:spacing w:before="0"/>
        <w:rPr>
          <w:rFonts w:ascii="Times New Roman" w:hAnsi="Times New Roman"/>
          <w:sz w:val="20"/>
        </w:rPr>
      </w:pPr>
    </w:p>
    <w:p w14:paraId="4082ADB6" w14:textId="5925824E" w:rsidR="00EB7299" w:rsidRDefault="00EB7299" w:rsidP="00EB7299">
      <w:pPr>
        <w:pStyle w:val="A09par"/>
        <w:spacing w:before="0"/>
        <w:jc w:val="center"/>
        <w:rPr>
          <w:rFonts w:ascii="Times New Roman" w:hAnsi="Times New Roman"/>
          <w:sz w:val="20"/>
        </w:rPr>
      </w:pPr>
      <w:r w:rsidRPr="00397ADA">
        <w:rPr>
          <w:noProof/>
          <w:sz w:val="24"/>
          <w:szCs w:val="24"/>
        </w:rPr>
        <w:drawing>
          <wp:inline distT="0" distB="0" distL="0" distR="0" wp14:anchorId="1E7E3A07" wp14:editId="6ABDE3CC">
            <wp:extent cx="1357746" cy="135774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67144" cy="1367144"/>
                    </a:xfrm>
                    <a:prstGeom prst="rect">
                      <a:avLst/>
                    </a:prstGeom>
                  </pic:spPr>
                </pic:pic>
              </a:graphicData>
            </a:graphic>
          </wp:inline>
        </w:drawing>
      </w:r>
    </w:p>
    <w:p w14:paraId="0F04CC92" w14:textId="00AD9641" w:rsidR="00EB7299" w:rsidRDefault="00EB7299" w:rsidP="00EB7299">
      <w:pPr>
        <w:pStyle w:val="FigureCaption"/>
      </w:pPr>
      <w:r w:rsidRPr="00EB7299">
        <w:rPr>
          <w:b/>
          <w:bCs/>
        </w:rPr>
        <w:t>FIGURE 6.</w:t>
      </w:r>
      <w:r>
        <w:t xml:space="preserve"> </w:t>
      </w:r>
      <w:r w:rsidR="002270E4">
        <w:t>The i</w:t>
      </w:r>
      <w:r w:rsidRPr="00EB7299">
        <w:t>mage resulting from an increase in the number of pixels 70</w:t>
      </w:r>
      <w:r w:rsidR="002270E4">
        <w:t>×</w:t>
      </w:r>
      <w:r w:rsidRPr="00EB7299">
        <w:t>70</w:t>
      </w:r>
    </w:p>
    <w:p w14:paraId="4FC56DCE" w14:textId="77777777" w:rsidR="00EB7299" w:rsidRPr="002A7C03" w:rsidRDefault="00EB7299" w:rsidP="00EB7299">
      <w:pPr>
        <w:pStyle w:val="A09par"/>
        <w:spacing w:before="0"/>
        <w:jc w:val="center"/>
        <w:rPr>
          <w:rFonts w:ascii="Times New Roman" w:hAnsi="Times New Roman"/>
          <w:sz w:val="20"/>
        </w:rPr>
      </w:pPr>
    </w:p>
    <w:p w14:paraId="53D79FAC" w14:textId="786B1B1D" w:rsidR="00EB7299" w:rsidRDefault="00EB7299" w:rsidP="00EB7299">
      <w:pPr>
        <w:pStyle w:val="A09par"/>
        <w:spacing w:before="0"/>
        <w:rPr>
          <w:rFonts w:ascii="Times New Roman" w:hAnsi="Times New Roman"/>
          <w:sz w:val="20"/>
        </w:rPr>
      </w:pPr>
      <w:r w:rsidRPr="002A7C03">
        <w:rPr>
          <w:rFonts w:ascii="Times New Roman" w:hAnsi="Times New Roman"/>
          <w:sz w:val="20"/>
        </w:rPr>
        <w:tab/>
      </w:r>
      <w:r w:rsidR="00877048">
        <w:rPr>
          <w:rFonts w:ascii="Times New Roman" w:hAnsi="Times New Roman"/>
          <w:sz w:val="20"/>
        </w:rPr>
        <w:t>For</w:t>
      </w:r>
      <w:r w:rsidR="002270E4">
        <w:rPr>
          <w:rFonts w:ascii="Times New Roman" w:hAnsi="Times New Roman"/>
          <w:sz w:val="20"/>
        </w:rPr>
        <w:t xml:space="preserve"> identify</w:t>
      </w:r>
      <w:r w:rsidR="00877048">
        <w:rPr>
          <w:rFonts w:ascii="Times New Roman" w:hAnsi="Times New Roman"/>
          <w:sz w:val="20"/>
        </w:rPr>
        <w:t>ing</w:t>
      </w:r>
      <w:r w:rsidR="002270E4">
        <w:rPr>
          <w:rFonts w:ascii="Times New Roman" w:hAnsi="Times New Roman"/>
          <w:sz w:val="20"/>
        </w:rPr>
        <w:t xml:space="preserve"> the radiation source’s location</w:t>
      </w:r>
      <w:r w:rsidR="00877048">
        <w:rPr>
          <w:rFonts w:ascii="Times New Roman" w:hAnsi="Times New Roman"/>
          <w:sz w:val="20"/>
        </w:rPr>
        <w:t xml:space="preserve">, which is </w:t>
      </w:r>
      <w:r w:rsidRPr="00EB7299">
        <w:rPr>
          <w:rFonts w:ascii="Times New Roman" w:hAnsi="Times New Roman"/>
          <w:sz w:val="20"/>
        </w:rPr>
        <w:t xml:space="preserve">the center point and the area of the source, the grayscale image is converted into a binary image. Global thresholding is done manually. The contrast range obtained is 0.71 to 0.88. The result of the optimal thresholding value is that image pixel data &lt; 0.71 </w:t>
      </w:r>
      <w:r w:rsidR="002270E4">
        <w:rPr>
          <w:rFonts w:ascii="Times New Roman" w:hAnsi="Times New Roman"/>
          <w:sz w:val="20"/>
        </w:rPr>
        <w:t xml:space="preserve">is </w:t>
      </w:r>
      <w:r w:rsidRPr="00EB7299">
        <w:rPr>
          <w:rFonts w:ascii="Times New Roman" w:hAnsi="Times New Roman"/>
          <w:sz w:val="20"/>
        </w:rPr>
        <w:t>valued at 0 (black)</w:t>
      </w:r>
      <w:r w:rsidR="002270E4">
        <w:rPr>
          <w:rFonts w:ascii="Times New Roman" w:hAnsi="Times New Roman"/>
          <w:sz w:val="20"/>
        </w:rPr>
        <w:t>,</w:t>
      </w:r>
      <w:r w:rsidRPr="00EB7299">
        <w:rPr>
          <w:rFonts w:ascii="Times New Roman" w:hAnsi="Times New Roman"/>
          <w:sz w:val="20"/>
        </w:rPr>
        <w:t xml:space="preserve"> and image pixel data &gt; 0.88 </w:t>
      </w:r>
      <w:r w:rsidR="002270E4">
        <w:rPr>
          <w:rFonts w:ascii="Times New Roman" w:hAnsi="Times New Roman"/>
          <w:sz w:val="20"/>
        </w:rPr>
        <w:t xml:space="preserve">is </w:t>
      </w:r>
      <w:r w:rsidRPr="00EB7299">
        <w:rPr>
          <w:rFonts w:ascii="Times New Roman" w:hAnsi="Times New Roman"/>
          <w:sz w:val="20"/>
        </w:rPr>
        <w:t>valued at 1 (white). The binary image resulting from the contrast sharpening process is shown in Figure 7.</w:t>
      </w:r>
    </w:p>
    <w:p w14:paraId="0B3B4C2F" w14:textId="5F83E4C6" w:rsidR="00EB7299" w:rsidRDefault="00EB7299" w:rsidP="00EB7299">
      <w:pPr>
        <w:pStyle w:val="A09par"/>
        <w:spacing w:before="0"/>
        <w:jc w:val="center"/>
        <w:rPr>
          <w:rFonts w:ascii="Times New Roman" w:hAnsi="Times New Roman"/>
          <w:sz w:val="20"/>
        </w:rPr>
      </w:pPr>
      <w:r>
        <w:rPr>
          <w:noProof/>
        </w:rPr>
        <w:drawing>
          <wp:inline distT="0" distB="0" distL="0" distR="0" wp14:anchorId="5BE60AD3" wp14:editId="2416176C">
            <wp:extent cx="1436601" cy="1436601"/>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447912" cy="1447912"/>
                    </a:xfrm>
                    <a:prstGeom prst="rect">
                      <a:avLst/>
                    </a:prstGeom>
                  </pic:spPr>
                </pic:pic>
              </a:graphicData>
            </a:graphic>
          </wp:inline>
        </w:drawing>
      </w:r>
    </w:p>
    <w:p w14:paraId="562FC48F" w14:textId="5F22758D" w:rsidR="00EB7299" w:rsidRDefault="00EB7299" w:rsidP="00EB7299">
      <w:pPr>
        <w:pStyle w:val="FigureCaption"/>
      </w:pPr>
      <w:r w:rsidRPr="00EB7299">
        <w:rPr>
          <w:b/>
          <w:bCs/>
        </w:rPr>
        <w:t xml:space="preserve">FIGURE </w:t>
      </w:r>
      <w:r>
        <w:rPr>
          <w:b/>
          <w:bCs/>
        </w:rPr>
        <w:t>7</w:t>
      </w:r>
      <w:r w:rsidRPr="00EB7299">
        <w:rPr>
          <w:b/>
          <w:bCs/>
        </w:rPr>
        <w:t>.</w:t>
      </w:r>
      <w:r>
        <w:t xml:space="preserve"> </w:t>
      </w:r>
      <w:r w:rsidRPr="00EB7299">
        <w:t>Binary image result of thresholding process</w:t>
      </w:r>
    </w:p>
    <w:p w14:paraId="61EC67A1" w14:textId="77777777" w:rsidR="00EB7299" w:rsidRPr="002A7C03" w:rsidRDefault="00EB7299" w:rsidP="00EB7299">
      <w:pPr>
        <w:pStyle w:val="A09par"/>
        <w:spacing w:before="0"/>
        <w:rPr>
          <w:rFonts w:ascii="Times New Roman" w:hAnsi="Times New Roman"/>
          <w:sz w:val="20"/>
        </w:rPr>
      </w:pPr>
    </w:p>
    <w:p w14:paraId="12156679" w14:textId="27CE2BFF" w:rsidR="00EB7299" w:rsidRDefault="00EB7299" w:rsidP="002C4EB2">
      <w:pPr>
        <w:pStyle w:val="Paragraph"/>
      </w:pPr>
      <w:r w:rsidRPr="002A7C03">
        <w:t xml:space="preserve">The </w:t>
      </w:r>
      <w:r w:rsidR="002270E4">
        <w:t>following</w:t>
      </w:r>
      <w:r w:rsidRPr="002A7C03">
        <w:t xml:space="preserve"> process is determining the center point</w:t>
      </w:r>
      <w:r w:rsidR="002270E4">
        <w:t>,</w:t>
      </w:r>
      <w:r w:rsidRPr="002A7C03">
        <w:t xml:space="preserve"> as shown in </w:t>
      </w:r>
      <w:r w:rsidR="006615A8">
        <w:t>Figure 8</w:t>
      </w:r>
      <w:r w:rsidRPr="002A7C03">
        <w:t xml:space="preserve">. </w:t>
      </w:r>
      <w:r w:rsidR="00376989">
        <w:rPr>
          <w:rFonts w:eastAsia="MS Mincho"/>
        </w:rPr>
        <w:t>The i</w:t>
      </w:r>
      <w:r w:rsidR="002C4EB2" w:rsidRPr="00EB7299">
        <w:rPr>
          <w:rFonts w:eastAsia="MS Mincho"/>
        </w:rPr>
        <w:t xml:space="preserve">mage result </w:t>
      </w:r>
      <w:r w:rsidR="00376989">
        <w:rPr>
          <w:rFonts w:eastAsia="MS Mincho"/>
        </w:rPr>
        <w:t xml:space="preserve">in </w:t>
      </w:r>
      <w:r w:rsidR="002C4EB2" w:rsidRPr="00EB7299">
        <w:rPr>
          <w:rFonts w:eastAsia="MS Mincho"/>
        </w:rPr>
        <w:t>Figure 8 is also used to calculate the diameter of the object or source. The value of the area of the source is determined by counting the number of white pixels in pixel units</w:t>
      </w:r>
      <w:r w:rsidR="002C4EB2">
        <w:rPr>
          <w:rFonts w:eastAsia="MS Mincho"/>
        </w:rPr>
        <w:t xml:space="preserve">. </w:t>
      </w:r>
      <w:r w:rsidR="002C4EB2" w:rsidRPr="00EB7299">
        <w:rPr>
          <w:rFonts w:eastAsia="MS Mincho"/>
        </w:rPr>
        <w:t xml:space="preserve">This planar scintigraphy image </w:t>
      </w:r>
      <w:r w:rsidR="002270E4">
        <w:rPr>
          <w:rFonts w:eastAsia="MS Mincho"/>
        </w:rPr>
        <w:t xml:space="preserve">was </w:t>
      </w:r>
      <w:r w:rsidR="002C4EB2" w:rsidRPr="00EB7299">
        <w:rPr>
          <w:rFonts w:eastAsia="MS Mincho"/>
        </w:rPr>
        <w:t>tested using a phantom with a different CsI(Tl) source position.</w:t>
      </w:r>
    </w:p>
    <w:p w14:paraId="743CC840" w14:textId="64F959CC" w:rsidR="00EB7299" w:rsidRDefault="00EB7299" w:rsidP="00EB7299">
      <w:pPr>
        <w:pStyle w:val="A09par"/>
        <w:spacing w:before="0"/>
        <w:jc w:val="center"/>
        <w:rPr>
          <w:rFonts w:ascii="Times New Roman" w:hAnsi="Times New Roman"/>
          <w:sz w:val="20"/>
        </w:rPr>
      </w:pPr>
      <w:r>
        <w:rPr>
          <w:noProof/>
        </w:rPr>
        <w:lastRenderedPageBreak/>
        <w:drawing>
          <wp:inline distT="0" distB="0" distL="0" distR="0" wp14:anchorId="0D4380DF" wp14:editId="1527A863">
            <wp:extent cx="1371728" cy="1390781"/>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9291" t="9291" r="9291" b="9291"/>
                    <a:stretch/>
                  </pic:blipFill>
                  <pic:spPr bwMode="auto">
                    <a:xfrm>
                      <a:off x="0" y="0"/>
                      <a:ext cx="1393598" cy="1412955"/>
                    </a:xfrm>
                    <a:prstGeom prst="rect">
                      <a:avLst/>
                    </a:prstGeom>
                    <a:ln>
                      <a:noFill/>
                    </a:ln>
                    <a:extLst>
                      <a:ext uri="{53640926-AAD7-44D8-BBD7-CCE9431645EC}">
                        <a14:shadowObscured xmlns:a14="http://schemas.microsoft.com/office/drawing/2010/main"/>
                      </a:ext>
                    </a:extLst>
                  </pic:spPr>
                </pic:pic>
              </a:graphicData>
            </a:graphic>
          </wp:inline>
        </w:drawing>
      </w:r>
    </w:p>
    <w:p w14:paraId="4CF6CF1C" w14:textId="25AE5571" w:rsidR="00EB7299" w:rsidRDefault="00EB7299" w:rsidP="00EB7299">
      <w:pPr>
        <w:pStyle w:val="FigureCaption"/>
      </w:pPr>
      <w:r w:rsidRPr="00EB7299">
        <w:rPr>
          <w:b/>
          <w:bCs/>
        </w:rPr>
        <w:t xml:space="preserve">FIGURE </w:t>
      </w:r>
      <w:r>
        <w:rPr>
          <w:b/>
          <w:bCs/>
        </w:rPr>
        <w:t>8</w:t>
      </w:r>
      <w:r w:rsidRPr="00EB7299">
        <w:rPr>
          <w:b/>
          <w:bCs/>
        </w:rPr>
        <w:t>.</w:t>
      </w:r>
      <w:r>
        <w:t xml:space="preserve"> D</w:t>
      </w:r>
      <w:r w:rsidRPr="00EB7299">
        <w:t>etermination of the center point of the source in the binary image</w:t>
      </w:r>
    </w:p>
    <w:p w14:paraId="21637372" w14:textId="77777777" w:rsidR="00EB7299" w:rsidRPr="00EB7299" w:rsidRDefault="00EB7299" w:rsidP="00EB7299">
      <w:pPr>
        <w:pStyle w:val="Paragraph"/>
      </w:pPr>
    </w:p>
    <w:p w14:paraId="0967E7FE" w14:textId="42F8697B" w:rsidR="00EB7299" w:rsidRDefault="00EB7299" w:rsidP="002C4EB2">
      <w:pPr>
        <w:pStyle w:val="Paragraph"/>
        <w:rPr>
          <w:rFonts w:eastAsia="MS Mincho"/>
        </w:rPr>
      </w:pPr>
      <w:r w:rsidRPr="00EB7299">
        <w:rPr>
          <w:rFonts w:eastAsia="MS Mincho"/>
        </w:rPr>
        <w:t xml:space="preserve">The size and the center point of the Cs-137 source of the system results are compared with the actual state. These results are presented in </w:t>
      </w:r>
      <w:r>
        <w:rPr>
          <w:rFonts w:eastAsia="MS Mincho"/>
        </w:rPr>
        <w:t xml:space="preserve">Figure 9-11 and </w:t>
      </w:r>
      <w:r w:rsidR="002270E4">
        <w:rPr>
          <w:rFonts w:eastAsia="MS Mincho"/>
        </w:rPr>
        <w:t>T</w:t>
      </w:r>
      <w:r w:rsidRPr="00EB7299">
        <w:rPr>
          <w:rFonts w:eastAsia="MS Mincho"/>
        </w:rPr>
        <w:t>able</w:t>
      </w:r>
      <w:r>
        <w:rPr>
          <w:rFonts w:eastAsia="MS Mincho"/>
        </w:rPr>
        <w:t xml:space="preserve"> 5-7</w:t>
      </w:r>
      <w:r w:rsidRPr="00EB7299">
        <w:rPr>
          <w:rFonts w:eastAsia="MS Mincho"/>
        </w:rPr>
        <w:t>.</w:t>
      </w:r>
    </w:p>
    <w:p w14:paraId="5677CAF2" w14:textId="1AD61B5C" w:rsidR="00EB7299" w:rsidRDefault="00EB7299" w:rsidP="00EB7299">
      <w:pPr>
        <w:pStyle w:val="Paragraph"/>
        <w:ind w:firstLine="0"/>
        <w:rPr>
          <w:rFonts w:eastAsia="MS Mincho"/>
        </w:rPr>
      </w:pPr>
    </w:p>
    <w:tbl>
      <w:tblPr>
        <w:tblStyle w:val="TableGrid"/>
        <w:tblW w:w="6113"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274"/>
        <w:gridCol w:w="1544"/>
        <w:gridCol w:w="17"/>
        <w:gridCol w:w="1417"/>
        <w:gridCol w:w="1418"/>
        <w:gridCol w:w="17"/>
      </w:tblGrid>
      <w:tr w:rsidR="00EB7299" w:rsidRPr="002A7C03" w14:paraId="37966CB2" w14:textId="77777777" w:rsidTr="00434C11">
        <w:trPr>
          <w:gridBefore w:val="1"/>
          <w:gridAfter w:val="1"/>
          <w:wBefore w:w="426" w:type="dxa"/>
          <w:wAfter w:w="17" w:type="dxa"/>
          <w:jc w:val="center"/>
        </w:trPr>
        <w:tc>
          <w:tcPr>
            <w:tcW w:w="2818" w:type="dxa"/>
            <w:gridSpan w:val="2"/>
            <w:tcBorders>
              <w:left w:val="nil"/>
              <w:right w:val="nil"/>
            </w:tcBorders>
          </w:tcPr>
          <w:p w14:paraId="7B22C370" w14:textId="77777777" w:rsidR="00EB7299" w:rsidRPr="002A7C03" w:rsidRDefault="00EB7299" w:rsidP="00EB7299">
            <w:pPr>
              <w:ind w:right="4"/>
              <w:jc w:val="center"/>
              <w:rPr>
                <w:sz w:val="20"/>
              </w:rPr>
            </w:pPr>
            <w:r w:rsidRPr="002A7C03">
              <w:rPr>
                <w:noProof/>
                <w:sz w:val="20"/>
              </w:rPr>
              <w:drawing>
                <wp:inline distT="0" distB="0" distL="0" distR="0" wp14:anchorId="1BA58486" wp14:editId="37D9C91E">
                  <wp:extent cx="1489710" cy="1401288"/>
                  <wp:effectExtent l="0" t="0" r="0" b="8890"/>
                  <wp:docPr id="68" name="Picture 68"/>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1496273" cy="1407461"/>
                          </a:xfrm>
                          <a:prstGeom prst="rect">
                            <a:avLst/>
                          </a:prstGeom>
                          <a:ln>
                            <a:noFill/>
                          </a:ln>
                          <a:extLst>
                            <a:ext uri="{53640926-AAD7-44D8-BBD7-CCE9431645EC}">
                              <a14:shadowObscured xmlns:a14="http://schemas.microsoft.com/office/drawing/2010/main"/>
                            </a:ext>
                          </a:extLst>
                        </pic:spPr>
                      </pic:pic>
                    </a:graphicData>
                  </a:graphic>
                </wp:inline>
              </w:drawing>
            </w:r>
          </w:p>
        </w:tc>
        <w:tc>
          <w:tcPr>
            <w:tcW w:w="2852" w:type="dxa"/>
            <w:gridSpan w:val="3"/>
            <w:tcBorders>
              <w:left w:val="nil"/>
              <w:right w:val="nil"/>
            </w:tcBorders>
          </w:tcPr>
          <w:p w14:paraId="7FB0AAD3" w14:textId="32878DBC" w:rsidR="00EB7299" w:rsidRPr="002A7C03" w:rsidRDefault="00EB7299" w:rsidP="00EB7299">
            <w:pPr>
              <w:ind w:right="4"/>
              <w:jc w:val="center"/>
              <w:rPr>
                <w:sz w:val="20"/>
              </w:rPr>
            </w:pPr>
            <w:r>
              <w:rPr>
                <w:noProof/>
              </w:rPr>
              <w:drawing>
                <wp:inline distT="0" distB="0" distL="0" distR="0" wp14:anchorId="15553792" wp14:editId="26414BE2">
                  <wp:extent cx="1427767" cy="1442545"/>
                  <wp:effectExtent l="0" t="0" r="1270" b="571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a:stretch/>
                        </pic:blipFill>
                        <pic:spPr bwMode="auto">
                          <a:xfrm>
                            <a:off x="0" y="0"/>
                            <a:ext cx="1434920" cy="144977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B7299" w:rsidRPr="002A7C03" w14:paraId="2E82BAFF" w14:textId="77777777" w:rsidTr="00434C11">
        <w:trPr>
          <w:gridBefore w:val="1"/>
          <w:gridAfter w:val="1"/>
          <w:wBefore w:w="426" w:type="dxa"/>
          <w:wAfter w:w="17" w:type="dxa"/>
          <w:jc w:val="center"/>
        </w:trPr>
        <w:tc>
          <w:tcPr>
            <w:tcW w:w="5670" w:type="dxa"/>
            <w:gridSpan w:val="5"/>
            <w:tcBorders>
              <w:left w:val="nil"/>
              <w:bottom w:val="single" w:sz="4" w:space="0" w:color="auto"/>
              <w:right w:val="nil"/>
            </w:tcBorders>
          </w:tcPr>
          <w:p w14:paraId="20D4AEE0" w14:textId="76C9ACC9" w:rsidR="00EB7299" w:rsidRPr="002A7C03" w:rsidRDefault="00EB7299" w:rsidP="00EB7299">
            <w:pPr>
              <w:pStyle w:val="FigureCaption"/>
              <w:rPr>
                <w:noProof/>
              </w:rPr>
            </w:pPr>
            <w:r w:rsidRPr="00EB7299">
              <w:rPr>
                <w:b/>
                <w:bCs/>
                <w:noProof/>
              </w:rPr>
              <w:t xml:space="preserve">FIGURE </w:t>
            </w:r>
            <w:r>
              <w:rPr>
                <w:b/>
                <w:bCs/>
                <w:noProof/>
              </w:rPr>
              <w:t>9</w:t>
            </w:r>
            <w:r w:rsidRPr="002A7C03">
              <w:rPr>
                <w:noProof/>
              </w:rPr>
              <w:t>. Position A (40;30)</w:t>
            </w:r>
          </w:p>
          <w:p w14:paraId="1A45826C" w14:textId="77777777" w:rsidR="00EB7299" w:rsidRPr="002A7C03" w:rsidRDefault="00EB7299" w:rsidP="00EB7299">
            <w:pPr>
              <w:ind w:right="4"/>
              <w:jc w:val="center"/>
              <w:rPr>
                <w:noProof/>
                <w:sz w:val="20"/>
              </w:rPr>
            </w:pPr>
          </w:p>
          <w:p w14:paraId="77A921CD" w14:textId="7553B481" w:rsidR="00EB7299" w:rsidRPr="002A7C03" w:rsidRDefault="00EB7299" w:rsidP="00EB7299">
            <w:pPr>
              <w:pStyle w:val="TableCaption"/>
              <w:rPr>
                <w:noProof/>
              </w:rPr>
            </w:pPr>
            <w:r w:rsidRPr="00EB7299">
              <w:rPr>
                <w:b/>
                <w:bCs/>
                <w:noProof/>
              </w:rPr>
              <w:t xml:space="preserve">Table </w:t>
            </w:r>
            <w:r>
              <w:rPr>
                <w:b/>
                <w:bCs/>
                <w:noProof/>
              </w:rPr>
              <w:t>5</w:t>
            </w:r>
            <w:r w:rsidRPr="002A7C03">
              <w:rPr>
                <w:noProof/>
              </w:rPr>
              <w:t>. Test results in position A (40;30)</w:t>
            </w:r>
          </w:p>
        </w:tc>
      </w:tr>
      <w:tr w:rsidR="00EB7299" w:rsidRPr="002A7C03" w14:paraId="73FD6F42" w14:textId="77777777" w:rsidTr="00434C11">
        <w:trPr>
          <w:jc w:val="center"/>
        </w:trPr>
        <w:tc>
          <w:tcPr>
            <w:tcW w:w="1700" w:type="dxa"/>
            <w:gridSpan w:val="2"/>
            <w:tcBorders>
              <w:top w:val="single" w:sz="4" w:space="0" w:color="auto"/>
              <w:left w:val="nil"/>
              <w:bottom w:val="single" w:sz="4" w:space="0" w:color="auto"/>
              <w:right w:val="nil"/>
            </w:tcBorders>
            <w:vAlign w:val="center"/>
          </w:tcPr>
          <w:p w14:paraId="684C967C" w14:textId="77777777" w:rsidR="00EB7299" w:rsidRPr="00EB7299" w:rsidRDefault="00EB7299" w:rsidP="00EB7299">
            <w:pPr>
              <w:jc w:val="center"/>
              <w:rPr>
                <w:b/>
                <w:sz w:val="18"/>
                <w:szCs w:val="18"/>
              </w:rPr>
            </w:pPr>
            <w:r w:rsidRPr="00EB7299">
              <w:rPr>
                <w:b/>
                <w:sz w:val="18"/>
                <w:szCs w:val="18"/>
              </w:rPr>
              <w:t>Parameter</w:t>
            </w:r>
          </w:p>
        </w:tc>
        <w:tc>
          <w:tcPr>
            <w:tcW w:w="1561" w:type="dxa"/>
            <w:gridSpan w:val="2"/>
            <w:tcBorders>
              <w:top w:val="single" w:sz="4" w:space="0" w:color="auto"/>
              <w:left w:val="nil"/>
              <w:bottom w:val="single" w:sz="4" w:space="0" w:color="auto"/>
              <w:right w:val="nil"/>
            </w:tcBorders>
            <w:vAlign w:val="center"/>
          </w:tcPr>
          <w:p w14:paraId="5D3608AF" w14:textId="77777777" w:rsidR="00EB7299" w:rsidRPr="00EB7299" w:rsidRDefault="00EB7299" w:rsidP="00EB7299">
            <w:pPr>
              <w:jc w:val="center"/>
              <w:rPr>
                <w:b/>
                <w:sz w:val="18"/>
                <w:szCs w:val="18"/>
              </w:rPr>
            </w:pPr>
            <w:r w:rsidRPr="00EB7299">
              <w:rPr>
                <w:b/>
                <w:sz w:val="18"/>
                <w:szCs w:val="18"/>
              </w:rPr>
              <w:t>Actual condition</w:t>
            </w:r>
          </w:p>
        </w:tc>
        <w:tc>
          <w:tcPr>
            <w:tcW w:w="1417" w:type="dxa"/>
            <w:tcBorders>
              <w:top w:val="single" w:sz="4" w:space="0" w:color="auto"/>
              <w:left w:val="nil"/>
              <w:bottom w:val="single" w:sz="4" w:space="0" w:color="auto"/>
              <w:right w:val="nil"/>
            </w:tcBorders>
            <w:vAlign w:val="center"/>
          </w:tcPr>
          <w:p w14:paraId="7CF80227" w14:textId="77777777" w:rsidR="00EB7299" w:rsidRPr="00EB7299" w:rsidRDefault="00EB7299" w:rsidP="00EB7299">
            <w:pPr>
              <w:jc w:val="center"/>
              <w:rPr>
                <w:b/>
                <w:sz w:val="18"/>
                <w:szCs w:val="18"/>
              </w:rPr>
            </w:pPr>
            <w:r w:rsidRPr="00EB7299">
              <w:rPr>
                <w:b/>
                <w:sz w:val="18"/>
                <w:szCs w:val="18"/>
              </w:rPr>
              <w:t>Viewer system</w:t>
            </w:r>
          </w:p>
        </w:tc>
        <w:tc>
          <w:tcPr>
            <w:tcW w:w="1435" w:type="dxa"/>
            <w:gridSpan w:val="2"/>
            <w:tcBorders>
              <w:top w:val="single" w:sz="4" w:space="0" w:color="auto"/>
              <w:left w:val="nil"/>
              <w:bottom w:val="single" w:sz="4" w:space="0" w:color="auto"/>
              <w:right w:val="nil"/>
            </w:tcBorders>
            <w:vAlign w:val="center"/>
          </w:tcPr>
          <w:p w14:paraId="5177978A" w14:textId="77777777" w:rsidR="00EB7299" w:rsidRPr="00EB7299" w:rsidRDefault="00EB7299" w:rsidP="00EB7299">
            <w:pPr>
              <w:jc w:val="center"/>
              <w:rPr>
                <w:b/>
                <w:sz w:val="18"/>
                <w:szCs w:val="18"/>
              </w:rPr>
            </w:pPr>
            <w:r w:rsidRPr="00EB7299">
              <w:rPr>
                <w:b/>
                <w:sz w:val="18"/>
                <w:szCs w:val="18"/>
              </w:rPr>
              <w:t>Error (%)</w:t>
            </w:r>
          </w:p>
        </w:tc>
      </w:tr>
      <w:tr w:rsidR="00EB7299" w:rsidRPr="002A7C03" w14:paraId="1DE8AA81" w14:textId="77777777" w:rsidTr="00434C11">
        <w:trPr>
          <w:jc w:val="center"/>
        </w:trPr>
        <w:tc>
          <w:tcPr>
            <w:tcW w:w="1700" w:type="dxa"/>
            <w:gridSpan w:val="2"/>
            <w:tcBorders>
              <w:top w:val="single" w:sz="4" w:space="0" w:color="auto"/>
              <w:left w:val="nil"/>
              <w:right w:val="nil"/>
            </w:tcBorders>
            <w:vAlign w:val="center"/>
          </w:tcPr>
          <w:p w14:paraId="5CA226EB" w14:textId="0321C4CF" w:rsidR="00EB7299" w:rsidRPr="00EB7299" w:rsidRDefault="00EB7299" w:rsidP="00EB7299">
            <w:pPr>
              <w:jc w:val="center"/>
              <w:rPr>
                <w:sz w:val="18"/>
                <w:szCs w:val="18"/>
              </w:rPr>
            </w:pPr>
            <w:r w:rsidRPr="00EB7299">
              <w:rPr>
                <w:sz w:val="18"/>
                <w:szCs w:val="18"/>
              </w:rPr>
              <w:t>Center point (x ; y)</w:t>
            </w:r>
          </w:p>
        </w:tc>
        <w:tc>
          <w:tcPr>
            <w:tcW w:w="1561" w:type="dxa"/>
            <w:gridSpan w:val="2"/>
            <w:tcBorders>
              <w:top w:val="single" w:sz="4" w:space="0" w:color="auto"/>
              <w:left w:val="nil"/>
              <w:right w:val="nil"/>
            </w:tcBorders>
            <w:vAlign w:val="center"/>
          </w:tcPr>
          <w:p w14:paraId="53BBED98" w14:textId="1475F2B5" w:rsidR="00EB7299" w:rsidRPr="00EB7299" w:rsidRDefault="00EB7299" w:rsidP="00EB7299">
            <w:pPr>
              <w:jc w:val="center"/>
              <w:rPr>
                <w:sz w:val="18"/>
                <w:szCs w:val="18"/>
              </w:rPr>
            </w:pPr>
            <w:r w:rsidRPr="00EB7299">
              <w:rPr>
                <w:sz w:val="18"/>
                <w:szCs w:val="18"/>
              </w:rPr>
              <w:t>40 ; 30</w:t>
            </w:r>
          </w:p>
        </w:tc>
        <w:tc>
          <w:tcPr>
            <w:tcW w:w="1417" w:type="dxa"/>
            <w:tcBorders>
              <w:top w:val="single" w:sz="4" w:space="0" w:color="auto"/>
              <w:left w:val="nil"/>
              <w:right w:val="nil"/>
            </w:tcBorders>
            <w:vAlign w:val="center"/>
          </w:tcPr>
          <w:p w14:paraId="6B96D375" w14:textId="1806E55D" w:rsidR="00EB7299" w:rsidRPr="00EB7299" w:rsidRDefault="00EB7299" w:rsidP="00EB7299">
            <w:pPr>
              <w:jc w:val="center"/>
              <w:rPr>
                <w:sz w:val="18"/>
                <w:szCs w:val="18"/>
              </w:rPr>
            </w:pPr>
            <w:r w:rsidRPr="00EB7299">
              <w:rPr>
                <w:sz w:val="18"/>
                <w:szCs w:val="18"/>
              </w:rPr>
              <w:t>39.00 ; 30.00</w:t>
            </w:r>
          </w:p>
        </w:tc>
        <w:tc>
          <w:tcPr>
            <w:tcW w:w="1435" w:type="dxa"/>
            <w:gridSpan w:val="2"/>
            <w:tcBorders>
              <w:top w:val="single" w:sz="4" w:space="0" w:color="auto"/>
              <w:left w:val="nil"/>
              <w:right w:val="nil"/>
            </w:tcBorders>
            <w:vAlign w:val="center"/>
          </w:tcPr>
          <w:p w14:paraId="36686BE9" w14:textId="77777777" w:rsidR="00EB7299" w:rsidRPr="00EB7299" w:rsidRDefault="00EB7299" w:rsidP="00EB7299">
            <w:pPr>
              <w:jc w:val="center"/>
              <w:rPr>
                <w:sz w:val="18"/>
                <w:szCs w:val="18"/>
              </w:rPr>
            </w:pPr>
            <w:r w:rsidRPr="00EB7299">
              <w:rPr>
                <w:sz w:val="18"/>
                <w:szCs w:val="18"/>
              </w:rPr>
              <w:t>x = 2.50</w:t>
            </w:r>
          </w:p>
          <w:p w14:paraId="39F8EEA9" w14:textId="5F009E89" w:rsidR="00EB7299" w:rsidRPr="00EB7299" w:rsidRDefault="00EB7299" w:rsidP="00EB7299">
            <w:pPr>
              <w:jc w:val="center"/>
              <w:rPr>
                <w:sz w:val="18"/>
                <w:szCs w:val="18"/>
              </w:rPr>
            </w:pPr>
            <w:r w:rsidRPr="00EB7299">
              <w:rPr>
                <w:sz w:val="18"/>
                <w:szCs w:val="18"/>
              </w:rPr>
              <w:t>y = 0.00</w:t>
            </w:r>
          </w:p>
        </w:tc>
      </w:tr>
      <w:tr w:rsidR="00EB7299" w:rsidRPr="002A7C03" w14:paraId="0694F5C7" w14:textId="77777777" w:rsidTr="00434C11">
        <w:trPr>
          <w:jc w:val="center"/>
        </w:trPr>
        <w:tc>
          <w:tcPr>
            <w:tcW w:w="1700" w:type="dxa"/>
            <w:gridSpan w:val="2"/>
            <w:tcBorders>
              <w:left w:val="nil"/>
              <w:bottom w:val="single" w:sz="4" w:space="0" w:color="auto"/>
              <w:right w:val="nil"/>
            </w:tcBorders>
            <w:vAlign w:val="center"/>
          </w:tcPr>
          <w:p w14:paraId="01E1D9EE" w14:textId="5D642873" w:rsidR="00EB7299" w:rsidRPr="00EB7299" w:rsidRDefault="00EB7299" w:rsidP="00EB7299">
            <w:pPr>
              <w:jc w:val="center"/>
              <w:rPr>
                <w:sz w:val="18"/>
                <w:szCs w:val="18"/>
              </w:rPr>
            </w:pPr>
            <w:r w:rsidRPr="00EB7299">
              <w:rPr>
                <w:sz w:val="18"/>
                <w:szCs w:val="18"/>
              </w:rPr>
              <w:t>Area (mm</w:t>
            </w:r>
            <w:r w:rsidRPr="00EB7299">
              <w:rPr>
                <w:sz w:val="18"/>
                <w:szCs w:val="18"/>
                <w:vertAlign w:val="superscript"/>
              </w:rPr>
              <w:t>2</w:t>
            </w:r>
            <w:r w:rsidRPr="00EB7299">
              <w:rPr>
                <w:sz w:val="18"/>
                <w:szCs w:val="18"/>
              </w:rPr>
              <w:t>)</w:t>
            </w:r>
          </w:p>
        </w:tc>
        <w:tc>
          <w:tcPr>
            <w:tcW w:w="1561" w:type="dxa"/>
            <w:gridSpan w:val="2"/>
            <w:tcBorders>
              <w:left w:val="nil"/>
              <w:bottom w:val="single" w:sz="4" w:space="0" w:color="auto"/>
              <w:right w:val="nil"/>
            </w:tcBorders>
            <w:vAlign w:val="center"/>
          </w:tcPr>
          <w:p w14:paraId="50722260" w14:textId="09A92495" w:rsidR="00EB7299" w:rsidRPr="00EB7299" w:rsidRDefault="00EB7299" w:rsidP="00EB7299">
            <w:pPr>
              <w:jc w:val="center"/>
              <w:rPr>
                <w:sz w:val="18"/>
                <w:szCs w:val="18"/>
              </w:rPr>
            </w:pPr>
            <w:r w:rsidRPr="00EB7299">
              <w:rPr>
                <w:sz w:val="18"/>
                <w:szCs w:val="18"/>
              </w:rPr>
              <w:t xml:space="preserve">490.63 </w:t>
            </w:r>
          </w:p>
        </w:tc>
        <w:tc>
          <w:tcPr>
            <w:tcW w:w="1417" w:type="dxa"/>
            <w:tcBorders>
              <w:left w:val="nil"/>
              <w:bottom w:val="single" w:sz="4" w:space="0" w:color="auto"/>
              <w:right w:val="nil"/>
            </w:tcBorders>
            <w:vAlign w:val="center"/>
          </w:tcPr>
          <w:p w14:paraId="459DAF71" w14:textId="7BCA3528" w:rsidR="00EB7299" w:rsidRPr="00EB7299" w:rsidRDefault="00EB7299" w:rsidP="00EB7299">
            <w:pPr>
              <w:jc w:val="center"/>
              <w:rPr>
                <w:sz w:val="18"/>
                <w:szCs w:val="18"/>
              </w:rPr>
            </w:pPr>
            <w:r w:rsidRPr="00EB7299">
              <w:rPr>
                <w:sz w:val="18"/>
                <w:szCs w:val="18"/>
              </w:rPr>
              <w:t>477.00</w:t>
            </w:r>
          </w:p>
        </w:tc>
        <w:tc>
          <w:tcPr>
            <w:tcW w:w="1435" w:type="dxa"/>
            <w:gridSpan w:val="2"/>
            <w:tcBorders>
              <w:left w:val="nil"/>
              <w:bottom w:val="single" w:sz="4" w:space="0" w:color="auto"/>
              <w:right w:val="nil"/>
            </w:tcBorders>
            <w:vAlign w:val="center"/>
          </w:tcPr>
          <w:p w14:paraId="4D60687A" w14:textId="498AF6E7" w:rsidR="00EB7299" w:rsidRPr="00EB7299" w:rsidRDefault="00EB7299" w:rsidP="00EB7299">
            <w:pPr>
              <w:jc w:val="center"/>
              <w:rPr>
                <w:sz w:val="18"/>
                <w:szCs w:val="18"/>
              </w:rPr>
            </w:pPr>
            <w:r w:rsidRPr="00EB7299">
              <w:rPr>
                <w:sz w:val="18"/>
                <w:szCs w:val="18"/>
              </w:rPr>
              <w:t>2.78</w:t>
            </w:r>
          </w:p>
        </w:tc>
      </w:tr>
    </w:tbl>
    <w:p w14:paraId="22E44A8D" w14:textId="77777777" w:rsidR="00EB7299" w:rsidRDefault="00EB7299" w:rsidP="00EB7299">
      <w:pPr>
        <w:pStyle w:val="Paragraph"/>
        <w:ind w:firstLine="0"/>
        <w:rPr>
          <w:rFonts w:eastAsia="MS Mincho"/>
        </w:rPr>
      </w:pPr>
    </w:p>
    <w:tbl>
      <w:tblPr>
        <w:tblStyle w:val="TableGrid"/>
        <w:tblW w:w="6254"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1702"/>
        <w:gridCol w:w="1417"/>
        <w:gridCol w:w="1435"/>
      </w:tblGrid>
      <w:tr w:rsidR="00EB7299" w:rsidRPr="002A7C03" w14:paraId="6C058C72" w14:textId="77777777" w:rsidTr="00434C11">
        <w:trPr>
          <w:jc w:val="center"/>
        </w:trPr>
        <w:tc>
          <w:tcPr>
            <w:tcW w:w="3402" w:type="dxa"/>
            <w:gridSpan w:val="2"/>
            <w:tcBorders>
              <w:left w:val="nil"/>
              <w:right w:val="nil"/>
            </w:tcBorders>
          </w:tcPr>
          <w:p w14:paraId="1F40AF64" w14:textId="7E589167" w:rsidR="00EB7299" w:rsidRPr="002A7C03" w:rsidRDefault="00EB7299" w:rsidP="001E6D87">
            <w:pPr>
              <w:ind w:right="4"/>
              <w:jc w:val="center"/>
              <w:rPr>
                <w:sz w:val="20"/>
              </w:rPr>
            </w:pPr>
            <w:r w:rsidRPr="002A7C03">
              <w:rPr>
                <w:noProof/>
                <w:sz w:val="20"/>
              </w:rPr>
              <w:drawing>
                <wp:inline distT="0" distB="0" distL="0" distR="0" wp14:anchorId="26CF1D39" wp14:editId="72A0D079">
                  <wp:extent cx="1560196" cy="1486264"/>
                  <wp:effectExtent l="0" t="0" r="1905" b="0"/>
                  <wp:docPr id="74" name="Picture 74"/>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rotWithShape="1">
                          <a:blip r:embed="rId23" cstate="print">
                            <a:extLst>
                              <a:ext uri="{28A0092B-C50C-407E-A947-70E740481C1C}">
                                <a14:useLocalDpi xmlns:a14="http://schemas.microsoft.com/office/drawing/2010/main" val="0"/>
                              </a:ext>
                            </a:extLst>
                          </a:blip>
                          <a:srcRect b="4738"/>
                          <a:stretch/>
                        </pic:blipFill>
                        <pic:spPr bwMode="auto">
                          <a:xfrm>
                            <a:off x="0" y="0"/>
                            <a:ext cx="1575850" cy="1501177"/>
                          </a:xfrm>
                          <a:prstGeom prst="rect">
                            <a:avLst/>
                          </a:prstGeom>
                          <a:ln>
                            <a:noFill/>
                          </a:ln>
                          <a:extLst>
                            <a:ext uri="{53640926-AAD7-44D8-BBD7-CCE9431645EC}">
                              <a14:shadowObscured xmlns:a14="http://schemas.microsoft.com/office/drawing/2010/main"/>
                            </a:ext>
                          </a:extLst>
                        </pic:spPr>
                      </pic:pic>
                    </a:graphicData>
                  </a:graphic>
                </wp:inline>
              </w:drawing>
            </w:r>
          </w:p>
        </w:tc>
        <w:tc>
          <w:tcPr>
            <w:tcW w:w="2852" w:type="dxa"/>
            <w:gridSpan w:val="2"/>
            <w:tcBorders>
              <w:left w:val="nil"/>
              <w:right w:val="nil"/>
            </w:tcBorders>
          </w:tcPr>
          <w:p w14:paraId="0F9541AF" w14:textId="6DF90681" w:rsidR="00EB7299" w:rsidRPr="002A7C03" w:rsidRDefault="00EB7299" w:rsidP="001E6D87">
            <w:pPr>
              <w:ind w:right="4"/>
              <w:jc w:val="center"/>
              <w:rPr>
                <w:sz w:val="20"/>
              </w:rPr>
            </w:pPr>
            <w:r>
              <w:rPr>
                <w:b/>
                <w:noProof/>
                <w:color w:val="000000" w:themeColor="text1"/>
              </w:rPr>
              <w:drawing>
                <wp:inline distT="0" distB="0" distL="0" distR="0" wp14:anchorId="057B6EFD" wp14:editId="23A2736F">
                  <wp:extent cx="1467288" cy="15132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53130" b="35223"/>
                          <a:stretch/>
                        </pic:blipFill>
                        <pic:spPr bwMode="auto">
                          <a:xfrm>
                            <a:off x="0" y="0"/>
                            <a:ext cx="1478984" cy="152526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B7299" w:rsidRPr="002A7C03" w14:paraId="3C2CFDE7" w14:textId="77777777" w:rsidTr="00434C11">
        <w:trPr>
          <w:jc w:val="center"/>
        </w:trPr>
        <w:tc>
          <w:tcPr>
            <w:tcW w:w="6254" w:type="dxa"/>
            <w:gridSpan w:val="4"/>
            <w:tcBorders>
              <w:left w:val="nil"/>
              <w:bottom w:val="single" w:sz="4" w:space="0" w:color="auto"/>
              <w:right w:val="nil"/>
            </w:tcBorders>
          </w:tcPr>
          <w:p w14:paraId="2BE9E242" w14:textId="07CAB2CB" w:rsidR="00EB7299" w:rsidRPr="00EB7299" w:rsidRDefault="00EB7299" w:rsidP="00EB7299">
            <w:pPr>
              <w:pStyle w:val="FigureCaption"/>
            </w:pPr>
            <w:r w:rsidRPr="00EB7299">
              <w:rPr>
                <w:b/>
                <w:bCs/>
                <w:noProof/>
              </w:rPr>
              <w:t xml:space="preserve">FIGURE </w:t>
            </w:r>
            <w:r>
              <w:rPr>
                <w:b/>
                <w:bCs/>
                <w:noProof/>
              </w:rPr>
              <w:t>10</w:t>
            </w:r>
            <w:r w:rsidRPr="002A7C03">
              <w:rPr>
                <w:noProof/>
              </w:rPr>
              <w:t>. Position B (20;50)</w:t>
            </w:r>
          </w:p>
          <w:p w14:paraId="4699C6BB" w14:textId="710F82ED" w:rsidR="00EB7299" w:rsidRDefault="00EB7299" w:rsidP="001E6D87">
            <w:pPr>
              <w:ind w:right="4"/>
              <w:jc w:val="center"/>
              <w:rPr>
                <w:noProof/>
                <w:sz w:val="20"/>
              </w:rPr>
            </w:pPr>
          </w:p>
          <w:p w14:paraId="7B1EB588" w14:textId="77777777" w:rsidR="00434C11" w:rsidRPr="002A7C03" w:rsidRDefault="00434C11" w:rsidP="001E6D87">
            <w:pPr>
              <w:ind w:right="4"/>
              <w:jc w:val="center"/>
              <w:rPr>
                <w:noProof/>
                <w:sz w:val="20"/>
              </w:rPr>
            </w:pPr>
          </w:p>
          <w:p w14:paraId="1469DC16" w14:textId="397A9834" w:rsidR="00EB7299" w:rsidRPr="002A7C03" w:rsidRDefault="00EB7299" w:rsidP="001E6D87">
            <w:pPr>
              <w:pStyle w:val="TableCaption"/>
              <w:rPr>
                <w:noProof/>
              </w:rPr>
            </w:pPr>
            <w:r w:rsidRPr="00EB7299">
              <w:rPr>
                <w:b/>
                <w:bCs/>
                <w:noProof/>
              </w:rPr>
              <w:t xml:space="preserve">Table </w:t>
            </w:r>
            <w:r>
              <w:rPr>
                <w:b/>
                <w:bCs/>
                <w:noProof/>
              </w:rPr>
              <w:t>6</w:t>
            </w:r>
            <w:r w:rsidRPr="002A7C03">
              <w:rPr>
                <w:noProof/>
              </w:rPr>
              <w:t>. Test results in position B (20;50)</w:t>
            </w:r>
          </w:p>
        </w:tc>
      </w:tr>
      <w:tr w:rsidR="00EB7299" w:rsidRPr="002A7C03" w14:paraId="25B25E29" w14:textId="77777777" w:rsidTr="00434C11">
        <w:trPr>
          <w:jc w:val="center"/>
        </w:trPr>
        <w:tc>
          <w:tcPr>
            <w:tcW w:w="1700" w:type="dxa"/>
            <w:tcBorders>
              <w:top w:val="single" w:sz="4" w:space="0" w:color="auto"/>
              <w:left w:val="nil"/>
              <w:bottom w:val="single" w:sz="4" w:space="0" w:color="auto"/>
              <w:right w:val="nil"/>
            </w:tcBorders>
            <w:vAlign w:val="center"/>
          </w:tcPr>
          <w:p w14:paraId="25154C74" w14:textId="77777777" w:rsidR="00EB7299" w:rsidRPr="00EB7299" w:rsidRDefault="00EB7299" w:rsidP="001E6D87">
            <w:pPr>
              <w:jc w:val="center"/>
              <w:rPr>
                <w:b/>
                <w:sz w:val="18"/>
                <w:szCs w:val="18"/>
              </w:rPr>
            </w:pPr>
            <w:r w:rsidRPr="00EB7299">
              <w:rPr>
                <w:b/>
                <w:sz w:val="18"/>
                <w:szCs w:val="18"/>
              </w:rPr>
              <w:t>Parameter</w:t>
            </w:r>
          </w:p>
        </w:tc>
        <w:tc>
          <w:tcPr>
            <w:tcW w:w="1702" w:type="dxa"/>
            <w:tcBorders>
              <w:top w:val="single" w:sz="4" w:space="0" w:color="auto"/>
              <w:left w:val="nil"/>
              <w:bottom w:val="single" w:sz="4" w:space="0" w:color="auto"/>
              <w:right w:val="nil"/>
            </w:tcBorders>
            <w:vAlign w:val="center"/>
          </w:tcPr>
          <w:p w14:paraId="3D22C732" w14:textId="77777777" w:rsidR="00EB7299" w:rsidRPr="00EB7299" w:rsidRDefault="00EB7299" w:rsidP="001E6D87">
            <w:pPr>
              <w:jc w:val="center"/>
              <w:rPr>
                <w:b/>
                <w:sz w:val="18"/>
                <w:szCs w:val="18"/>
              </w:rPr>
            </w:pPr>
            <w:r w:rsidRPr="00EB7299">
              <w:rPr>
                <w:b/>
                <w:sz w:val="18"/>
                <w:szCs w:val="18"/>
              </w:rPr>
              <w:t>Actual condition</w:t>
            </w:r>
          </w:p>
        </w:tc>
        <w:tc>
          <w:tcPr>
            <w:tcW w:w="1417" w:type="dxa"/>
            <w:tcBorders>
              <w:top w:val="single" w:sz="4" w:space="0" w:color="auto"/>
              <w:left w:val="nil"/>
              <w:bottom w:val="single" w:sz="4" w:space="0" w:color="auto"/>
              <w:right w:val="nil"/>
            </w:tcBorders>
            <w:vAlign w:val="center"/>
          </w:tcPr>
          <w:p w14:paraId="7A40A6D2" w14:textId="77777777" w:rsidR="00EB7299" w:rsidRPr="00EB7299" w:rsidRDefault="00EB7299" w:rsidP="001E6D87">
            <w:pPr>
              <w:jc w:val="center"/>
              <w:rPr>
                <w:b/>
                <w:sz w:val="18"/>
                <w:szCs w:val="18"/>
              </w:rPr>
            </w:pPr>
            <w:r w:rsidRPr="00EB7299">
              <w:rPr>
                <w:b/>
                <w:sz w:val="18"/>
                <w:szCs w:val="18"/>
              </w:rPr>
              <w:t>Viewer system</w:t>
            </w:r>
          </w:p>
        </w:tc>
        <w:tc>
          <w:tcPr>
            <w:tcW w:w="1435" w:type="dxa"/>
            <w:tcBorders>
              <w:top w:val="single" w:sz="4" w:space="0" w:color="auto"/>
              <w:left w:val="nil"/>
              <w:bottom w:val="single" w:sz="4" w:space="0" w:color="auto"/>
              <w:right w:val="nil"/>
            </w:tcBorders>
            <w:vAlign w:val="center"/>
          </w:tcPr>
          <w:p w14:paraId="1D4CC871" w14:textId="77777777" w:rsidR="00EB7299" w:rsidRPr="00EB7299" w:rsidRDefault="00EB7299" w:rsidP="001E6D87">
            <w:pPr>
              <w:jc w:val="center"/>
              <w:rPr>
                <w:b/>
                <w:sz w:val="18"/>
                <w:szCs w:val="18"/>
              </w:rPr>
            </w:pPr>
            <w:r w:rsidRPr="00EB7299">
              <w:rPr>
                <w:b/>
                <w:sz w:val="18"/>
                <w:szCs w:val="18"/>
              </w:rPr>
              <w:t>Error (%)</w:t>
            </w:r>
          </w:p>
        </w:tc>
      </w:tr>
      <w:tr w:rsidR="00EB7299" w:rsidRPr="002A7C03" w14:paraId="7A2C87C4" w14:textId="77777777" w:rsidTr="00434C11">
        <w:trPr>
          <w:jc w:val="center"/>
        </w:trPr>
        <w:tc>
          <w:tcPr>
            <w:tcW w:w="1700" w:type="dxa"/>
            <w:tcBorders>
              <w:top w:val="single" w:sz="4" w:space="0" w:color="auto"/>
              <w:left w:val="nil"/>
              <w:right w:val="nil"/>
            </w:tcBorders>
            <w:vAlign w:val="center"/>
          </w:tcPr>
          <w:p w14:paraId="46D30CD5" w14:textId="7E0178BC" w:rsidR="00EB7299" w:rsidRPr="00EB7299" w:rsidRDefault="00EB7299" w:rsidP="00EB7299">
            <w:pPr>
              <w:jc w:val="center"/>
              <w:rPr>
                <w:sz w:val="18"/>
                <w:szCs w:val="18"/>
              </w:rPr>
            </w:pPr>
            <w:r w:rsidRPr="00EB7299">
              <w:rPr>
                <w:sz w:val="18"/>
                <w:szCs w:val="18"/>
              </w:rPr>
              <w:t>Center point (x ; y)</w:t>
            </w:r>
          </w:p>
        </w:tc>
        <w:tc>
          <w:tcPr>
            <w:tcW w:w="1702" w:type="dxa"/>
            <w:tcBorders>
              <w:top w:val="single" w:sz="4" w:space="0" w:color="auto"/>
              <w:left w:val="nil"/>
              <w:right w:val="nil"/>
            </w:tcBorders>
            <w:vAlign w:val="center"/>
          </w:tcPr>
          <w:p w14:paraId="29A01B3A" w14:textId="4EBE9CA8" w:rsidR="00EB7299" w:rsidRPr="00EB7299" w:rsidRDefault="00EB7299" w:rsidP="00EB7299">
            <w:pPr>
              <w:jc w:val="center"/>
              <w:rPr>
                <w:sz w:val="18"/>
                <w:szCs w:val="18"/>
              </w:rPr>
            </w:pPr>
            <w:r w:rsidRPr="00EB7299">
              <w:rPr>
                <w:sz w:val="18"/>
                <w:szCs w:val="18"/>
              </w:rPr>
              <w:t>20</w:t>
            </w:r>
            <w:r w:rsidR="00434C11">
              <w:rPr>
                <w:sz w:val="18"/>
                <w:szCs w:val="18"/>
              </w:rPr>
              <w:t>.00</w:t>
            </w:r>
            <w:r w:rsidRPr="00EB7299">
              <w:rPr>
                <w:sz w:val="18"/>
                <w:szCs w:val="18"/>
              </w:rPr>
              <w:t xml:space="preserve"> ; 50</w:t>
            </w:r>
            <w:r w:rsidR="00434C11">
              <w:rPr>
                <w:sz w:val="18"/>
                <w:szCs w:val="18"/>
              </w:rPr>
              <w:t>.00</w:t>
            </w:r>
          </w:p>
        </w:tc>
        <w:tc>
          <w:tcPr>
            <w:tcW w:w="1417" w:type="dxa"/>
            <w:tcBorders>
              <w:top w:val="single" w:sz="4" w:space="0" w:color="auto"/>
              <w:left w:val="nil"/>
              <w:right w:val="nil"/>
            </w:tcBorders>
            <w:vAlign w:val="center"/>
          </w:tcPr>
          <w:p w14:paraId="7E413D5C" w14:textId="6B98140E" w:rsidR="00EB7299" w:rsidRPr="00EB7299" w:rsidRDefault="00EB7299" w:rsidP="00EB7299">
            <w:pPr>
              <w:jc w:val="center"/>
              <w:rPr>
                <w:sz w:val="18"/>
                <w:szCs w:val="18"/>
              </w:rPr>
            </w:pPr>
            <w:r w:rsidRPr="00EB7299">
              <w:rPr>
                <w:sz w:val="18"/>
                <w:szCs w:val="18"/>
              </w:rPr>
              <w:t>21.00 ; 47.00</w:t>
            </w:r>
          </w:p>
        </w:tc>
        <w:tc>
          <w:tcPr>
            <w:tcW w:w="1435" w:type="dxa"/>
            <w:tcBorders>
              <w:top w:val="single" w:sz="4" w:space="0" w:color="auto"/>
              <w:left w:val="nil"/>
              <w:right w:val="nil"/>
            </w:tcBorders>
            <w:vAlign w:val="center"/>
          </w:tcPr>
          <w:p w14:paraId="57763415" w14:textId="77777777" w:rsidR="00EB7299" w:rsidRPr="00EB7299" w:rsidRDefault="00EB7299" w:rsidP="00EB7299">
            <w:pPr>
              <w:jc w:val="center"/>
              <w:rPr>
                <w:sz w:val="18"/>
                <w:szCs w:val="18"/>
              </w:rPr>
            </w:pPr>
            <w:r w:rsidRPr="00EB7299">
              <w:rPr>
                <w:sz w:val="18"/>
                <w:szCs w:val="18"/>
              </w:rPr>
              <w:t>x = 5.00</w:t>
            </w:r>
          </w:p>
          <w:p w14:paraId="3990918C" w14:textId="6CB8FD2A" w:rsidR="00EB7299" w:rsidRPr="00EB7299" w:rsidRDefault="00EB7299" w:rsidP="00EB7299">
            <w:pPr>
              <w:jc w:val="center"/>
              <w:rPr>
                <w:sz w:val="18"/>
                <w:szCs w:val="18"/>
              </w:rPr>
            </w:pPr>
            <w:r w:rsidRPr="00EB7299">
              <w:rPr>
                <w:sz w:val="18"/>
                <w:szCs w:val="18"/>
              </w:rPr>
              <w:t>y = 6.00</w:t>
            </w:r>
          </w:p>
        </w:tc>
      </w:tr>
      <w:tr w:rsidR="00EB7299" w:rsidRPr="002A7C03" w14:paraId="2E20F758" w14:textId="77777777" w:rsidTr="00434C11">
        <w:trPr>
          <w:jc w:val="center"/>
        </w:trPr>
        <w:tc>
          <w:tcPr>
            <w:tcW w:w="1700" w:type="dxa"/>
            <w:tcBorders>
              <w:left w:val="nil"/>
              <w:bottom w:val="single" w:sz="4" w:space="0" w:color="auto"/>
              <w:right w:val="nil"/>
            </w:tcBorders>
            <w:vAlign w:val="center"/>
          </w:tcPr>
          <w:p w14:paraId="1961573A" w14:textId="01CE9EAB" w:rsidR="00EB7299" w:rsidRPr="00EB7299" w:rsidRDefault="00EB7299" w:rsidP="00EB7299">
            <w:pPr>
              <w:jc w:val="center"/>
              <w:rPr>
                <w:sz w:val="18"/>
                <w:szCs w:val="18"/>
              </w:rPr>
            </w:pPr>
            <w:r w:rsidRPr="00EB7299">
              <w:rPr>
                <w:sz w:val="18"/>
                <w:szCs w:val="18"/>
              </w:rPr>
              <w:t>Area (mm</w:t>
            </w:r>
            <w:r w:rsidRPr="00EB7299">
              <w:rPr>
                <w:sz w:val="18"/>
                <w:szCs w:val="18"/>
                <w:vertAlign w:val="superscript"/>
              </w:rPr>
              <w:t>2</w:t>
            </w:r>
            <w:r w:rsidRPr="00EB7299">
              <w:rPr>
                <w:sz w:val="18"/>
                <w:szCs w:val="18"/>
              </w:rPr>
              <w:t>)</w:t>
            </w:r>
          </w:p>
        </w:tc>
        <w:tc>
          <w:tcPr>
            <w:tcW w:w="1702" w:type="dxa"/>
            <w:tcBorders>
              <w:left w:val="nil"/>
              <w:bottom w:val="single" w:sz="4" w:space="0" w:color="auto"/>
              <w:right w:val="nil"/>
            </w:tcBorders>
            <w:vAlign w:val="center"/>
          </w:tcPr>
          <w:p w14:paraId="465C0AA3" w14:textId="01924521" w:rsidR="00EB7299" w:rsidRPr="00EB7299" w:rsidRDefault="00EB7299" w:rsidP="00EB7299">
            <w:pPr>
              <w:jc w:val="center"/>
              <w:rPr>
                <w:sz w:val="18"/>
                <w:szCs w:val="18"/>
              </w:rPr>
            </w:pPr>
            <w:r w:rsidRPr="00EB7299">
              <w:rPr>
                <w:sz w:val="18"/>
                <w:szCs w:val="18"/>
              </w:rPr>
              <w:t xml:space="preserve">490.63 </w:t>
            </w:r>
          </w:p>
        </w:tc>
        <w:tc>
          <w:tcPr>
            <w:tcW w:w="1417" w:type="dxa"/>
            <w:tcBorders>
              <w:left w:val="nil"/>
              <w:bottom w:val="single" w:sz="4" w:space="0" w:color="auto"/>
              <w:right w:val="nil"/>
            </w:tcBorders>
            <w:vAlign w:val="center"/>
          </w:tcPr>
          <w:p w14:paraId="5410DC64" w14:textId="42EB839C" w:rsidR="00EB7299" w:rsidRPr="00EB7299" w:rsidRDefault="00EB7299" w:rsidP="00EB7299">
            <w:pPr>
              <w:jc w:val="center"/>
              <w:rPr>
                <w:sz w:val="18"/>
                <w:szCs w:val="18"/>
              </w:rPr>
            </w:pPr>
            <w:r w:rsidRPr="00EB7299">
              <w:rPr>
                <w:sz w:val="18"/>
                <w:szCs w:val="18"/>
              </w:rPr>
              <w:t>519.00</w:t>
            </w:r>
          </w:p>
        </w:tc>
        <w:tc>
          <w:tcPr>
            <w:tcW w:w="1435" w:type="dxa"/>
            <w:tcBorders>
              <w:left w:val="nil"/>
              <w:bottom w:val="single" w:sz="4" w:space="0" w:color="auto"/>
              <w:right w:val="nil"/>
            </w:tcBorders>
            <w:vAlign w:val="center"/>
          </w:tcPr>
          <w:p w14:paraId="25E3C59E" w14:textId="00BFB22B" w:rsidR="00EB7299" w:rsidRPr="00EB7299" w:rsidRDefault="00EB7299" w:rsidP="00EB7299">
            <w:pPr>
              <w:jc w:val="center"/>
              <w:rPr>
                <w:sz w:val="18"/>
                <w:szCs w:val="18"/>
              </w:rPr>
            </w:pPr>
            <w:r w:rsidRPr="00EB7299">
              <w:rPr>
                <w:sz w:val="18"/>
                <w:szCs w:val="18"/>
              </w:rPr>
              <w:t>5.78</w:t>
            </w:r>
          </w:p>
        </w:tc>
      </w:tr>
    </w:tbl>
    <w:p w14:paraId="252ED4F5" w14:textId="2F2DDA42" w:rsidR="00EB7299" w:rsidRDefault="00EB7299" w:rsidP="00EB7299">
      <w:pPr>
        <w:pStyle w:val="Paragraph"/>
        <w:ind w:firstLine="0"/>
        <w:rPr>
          <w:rFonts w:eastAsia="MS Mincho"/>
        </w:rPr>
      </w:pPr>
    </w:p>
    <w:p w14:paraId="0D1AE7E0" w14:textId="77777777" w:rsidR="00EB7299" w:rsidRDefault="00EB7299" w:rsidP="00EB7299">
      <w:pPr>
        <w:pStyle w:val="Paragraph"/>
        <w:ind w:firstLine="0"/>
        <w:rPr>
          <w:rFonts w:eastAsia="MS Mincho"/>
        </w:rPr>
      </w:pPr>
    </w:p>
    <w:tbl>
      <w:tblPr>
        <w:tblStyle w:val="TableGrid"/>
        <w:tblW w:w="6396"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559"/>
        <w:gridCol w:w="1417"/>
        <w:gridCol w:w="1435"/>
      </w:tblGrid>
      <w:tr w:rsidR="00EB7299" w:rsidRPr="002A7C03" w14:paraId="7601D8E2" w14:textId="77777777" w:rsidTr="00434C11">
        <w:trPr>
          <w:jc w:val="center"/>
        </w:trPr>
        <w:tc>
          <w:tcPr>
            <w:tcW w:w="3544" w:type="dxa"/>
            <w:gridSpan w:val="2"/>
            <w:tcBorders>
              <w:left w:val="nil"/>
              <w:right w:val="nil"/>
            </w:tcBorders>
          </w:tcPr>
          <w:p w14:paraId="2A1EBDC2" w14:textId="034BB34A" w:rsidR="00EB7299" w:rsidRPr="002A7C03" w:rsidRDefault="00EB7299" w:rsidP="001E6D87">
            <w:pPr>
              <w:ind w:right="4"/>
              <w:jc w:val="center"/>
              <w:rPr>
                <w:sz w:val="20"/>
              </w:rPr>
            </w:pPr>
            <w:r w:rsidRPr="002A7C03">
              <w:rPr>
                <w:noProof/>
                <w:sz w:val="20"/>
              </w:rPr>
              <w:lastRenderedPageBreak/>
              <w:drawing>
                <wp:inline distT="0" distB="0" distL="0" distR="0" wp14:anchorId="0A29BEB4" wp14:editId="7E85C84B">
                  <wp:extent cx="1548130" cy="1401288"/>
                  <wp:effectExtent l="0" t="0" r="0" b="889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25" cstate="print">
                            <a:extLst>
                              <a:ext uri="{28A0092B-C50C-407E-A947-70E740481C1C}">
                                <a14:useLocalDpi xmlns:a14="http://schemas.microsoft.com/office/drawing/2010/main" val="0"/>
                              </a:ext>
                            </a:extLst>
                          </a:blip>
                          <a:srcRect b="9485"/>
                          <a:stretch/>
                        </pic:blipFill>
                        <pic:spPr bwMode="auto">
                          <a:xfrm>
                            <a:off x="0" y="0"/>
                            <a:ext cx="1577140" cy="1427546"/>
                          </a:xfrm>
                          <a:prstGeom prst="rect">
                            <a:avLst/>
                          </a:prstGeom>
                          <a:ln>
                            <a:noFill/>
                          </a:ln>
                          <a:extLst>
                            <a:ext uri="{53640926-AAD7-44D8-BBD7-CCE9431645EC}">
                              <a14:shadowObscured xmlns:a14="http://schemas.microsoft.com/office/drawing/2010/main"/>
                            </a:ext>
                          </a:extLst>
                        </pic:spPr>
                      </pic:pic>
                    </a:graphicData>
                  </a:graphic>
                </wp:inline>
              </w:drawing>
            </w:r>
          </w:p>
        </w:tc>
        <w:tc>
          <w:tcPr>
            <w:tcW w:w="2852" w:type="dxa"/>
            <w:gridSpan w:val="2"/>
            <w:tcBorders>
              <w:left w:val="nil"/>
              <w:right w:val="nil"/>
            </w:tcBorders>
          </w:tcPr>
          <w:p w14:paraId="78628128" w14:textId="0DB6DF35" w:rsidR="00EB7299" w:rsidRPr="002A7C03" w:rsidRDefault="00EB7299" w:rsidP="001E6D87">
            <w:pPr>
              <w:ind w:right="4"/>
              <w:jc w:val="center"/>
              <w:rPr>
                <w:sz w:val="20"/>
              </w:rPr>
            </w:pPr>
            <w:r>
              <w:rPr>
                <w:b/>
                <w:noProof/>
                <w:color w:val="000000" w:themeColor="text1"/>
              </w:rPr>
              <w:drawing>
                <wp:inline distT="0" distB="0" distL="0" distR="0" wp14:anchorId="3B9DA7E1" wp14:editId="4B40FE97">
                  <wp:extent cx="1413300" cy="1466193"/>
                  <wp:effectExtent l="0" t="0" r="0" b="127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a:stretch/>
                        </pic:blipFill>
                        <pic:spPr bwMode="auto">
                          <a:xfrm>
                            <a:off x="0" y="0"/>
                            <a:ext cx="1420510" cy="147367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B7299" w:rsidRPr="002A7C03" w14:paraId="22741942" w14:textId="77777777" w:rsidTr="00434C11">
        <w:trPr>
          <w:jc w:val="center"/>
        </w:trPr>
        <w:tc>
          <w:tcPr>
            <w:tcW w:w="6394" w:type="dxa"/>
            <w:gridSpan w:val="4"/>
            <w:tcBorders>
              <w:left w:val="nil"/>
              <w:bottom w:val="single" w:sz="4" w:space="0" w:color="auto"/>
              <w:right w:val="nil"/>
            </w:tcBorders>
          </w:tcPr>
          <w:p w14:paraId="3FEA51F5" w14:textId="0AA742E8" w:rsidR="00EB7299" w:rsidRPr="002A7C03" w:rsidRDefault="00EB7299" w:rsidP="00EB7299">
            <w:pPr>
              <w:pStyle w:val="FigureCaption"/>
              <w:rPr>
                <w:noProof/>
              </w:rPr>
            </w:pPr>
            <w:r w:rsidRPr="00EB7299">
              <w:rPr>
                <w:b/>
                <w:bCs/>
                <w:noProof/>
              </w:rPr>
              <w:t xml:space="preserve">FIGURE </w:t>
            </w:r>
            <w:r>
              <w:rPr>
                <w:b/>
                <w:bCs/>
                <w:noProof/>
              </w:rPr>
              <w:t>11</w:t>
            </w:r>
            <w:r w:rsidRPr="002A7C03">
              <w:rPr>
                <w:noProof/>
              </w:rPr>
              <w:t>. Position C (13.5;13.5)</w:t>
            </w:r>
          </w:p>
          <w:p w14:paraId="1B570796" w14:textId="77777777" w:rsidR="00EB7299" w:rsidRPr="002A7C03" w:rsidRDefault="00EB7299" w:rsidP="001E6D87">
            <w:pPr>
              <w:ind w:right="4"/>
              <w:jc w:val="center"/>
              <w:rPr>
                <w:noProof/>
                <w:sz w:val="20"/>
              </w:rPr>
            </w:pPr>
          </w:p>
          <w:p w14:paraId="74CAC853" w14:textId="76068398" w:rsidR="00EB7299" w:rsidRPr="002A7C03" w:rsidRDefault="00EB7299" w:rsidP="001E6D87">
            <w:pPr>
              <w:pStyle w:val="TableCaption"/>
              <w:rPr>
                <w:noProof/>
              </w:rPr>
            </w:pPr>
            <w:r w:rsidRPr="00EB7299">
              <w:rPr>
                <w:b/>
                <w:bCs/>
                <w:noProof/>
              </w:rPr>
              <w:t xml:space="preserve">Table </w:t>
            </w:r>
            <w:r>
              <w:rPr>
                <w:b/>
                <w:bCs/>
                <w:noProof/>
              </w:rPr>
              <w:t>7</w:t>
            </w:r>
            <w:r w:rsidRPr="002A7C03">
              <w:rPr>
                <w:noProof/>
              </w:rPr>
              <w:t>. Test results Position C (13.5;13.5)</w:t>
            </w:r>
          </w:p>
        </w:tc>
      </w:tr>
      <w:tr w:rsidR="00EB7299" w:rsidRPr="002A7C03" w14:paraId="18FF4F80" w14:textId="77777777" w:rsidTr="00434C11">
        <w:trPr>
          <w:jc w:val="center"/>
        </w:trPr>
        <w:tc>
          <w:tcPr>
            <w:tcW w:w="1985" w:type="dxa"/>
            <w:tcBorders>
              <w:top w:val="single" w:sz="4" w:space="0" w:color="auto"/>
              <w:left w:val="nil"/>
              <w:bottom w:val="single" w:sz="4" w:space="0" w:color="auto"/>
              <w:right w:val="nil"/>
            </w:tcBorders>
            <w:vAlign w:val="center"/>
          </w:tcPr>
          <w:p w14:paraId="5AF9AB41" w14:textId="77777777" w:rsidR="00EB7299" w:rsidRPr="00EB7299" w:rsidRDefault="00EB7299" w:rsidP="001E6D87">
            <w:pPr>
              <w:jc w:val="center"/>
              <w:rPr>
                <w:b/>
                <w:sz w:val="18"/>
                <w:szCs w:val="18"/>
              </w:rPr>
            </w:pPr>
            <w:r w:rsidRPr="00EB7299">
              <w:rPr>
                <w:b/>
                <w:sz w:val="18"/>
                <w:szCs w:val="18"/>
              </w:rPr>
              <w:t>Parameter</w:t>
            </w:r>
          </w:p>
        </w:tc>
        <w:tc>
          <w:tcPr>
            <w:tcW w:w="1559" w:type="dxa"/>
            <w:tcBorders>
              <w:top w:val="single" w:sz="4" w:space="0" w:color="auto"/>
              <w:left w:val="nil"/>
              <w:bottom w:val="single" w:sz="4" w:space="0" w:color="auto"/>
              <w:right w:val="nil"/>
            </w:tcBorders>
            <w:vAlign w:val="center"/>
          </w:tcPr>
          <w:p w14:paraId="372BB1E2" w14:textId="77777777" w:rsidR="00EB7299" w:rsidRPr="00EB7299" w:rsidRDefault="00EB7299" w:rsidP="001E6D87">
            <w:pPr>
              <w:jc w:val="center"/>
              <w:rPr>
                <w:b/>
                <w:sz w:val="18"/>
                <w:szCs w:val="18"/>
              </w:rPr>
            </w:pPr>
            <w:r w:rsidRPr="00EB7299">
              <w:rPr>
                <w:b/>
                <w:sz w:val="18"/>
                <w:szCs w:val="18"/>
              </w:rPr>
              <w:t>Actual condition</w:t>
            </w:r>
          </w:p>
        </w:tc>
        <w:tc>
          <w:tcPr>
            <w:tcW w:w="1417" w:type="dxa"/>
            <w:tcBorders>
              <w:top w:val="single" w:sz="4" w:space="0" w:color="auto"/>
              <w:left w:val="nil"/>
              <w:bottom w:val="single" w:sz="4" w:space="0" w:color="auto"/>
              <w:right w:val="nil"/>
            </w:tcBorders>
            <w:vAlign w:val="center"/>
          </w:tcPr>
          <w:p w14:paraId="2253F9B4" w14:textId="77777777" w:rsidR="00EB7299" w:rsidRPr="00EB7299" w:rsidRDefault="00EB7299" w:rsidP="001E6D87">
            <w:pPr>
              <w:jc w:val="center"/>
              <w:rPr>
                <w:b/>
                <w:sz w:val="18"/>
                <w:szCs w:val="18"/>
              </w:rPr>
            </w:pPr>
            <w:r w:rsidRPr="00EB7299">
              <w:rPr>
                <w:b/>
                <w:sz w:val="18"/>
                <w:szCs w:val="18"/>
              </w:rPr>
              <w:t>Viewer system</w:t>
            </w:r>
          </w:p>
        </w:tc>
        <w:tc>
          <w:tcPr>
            <w:tcW w:w="1435" w:type="dxa"/>
            <w:tcBorders>
              <w:top w:val="single" w:sz="4" w:space="0" w:color="auto"/>
              <w:left w:val="nil"/>
              <w:bottom w:val="single" w:sz="4" w:space="0" w:color="auto"/>
              <w:right w:val="nil"/>
            </w:tcBorders>
            <w:vAlign w:val="center"/>
          </w:tcPr>
          <w:p w14:paraId="0A9F36A0" w14:textId="77777777" w:rsidR="00EB7299" w:rsidRPr="00EB7299" w:rsidRDefault="00EB7299" w:rsidP="001E6D87">
            <w:pPr>
              <w:jc w:val="center"/>
              <w:rPr>
                <w:b/>
                <w:sz w:val="18"/>
                <w:szCs w:val="18"/>
              </w:rPr>
            </w:pPr>
            <w:r w:rsidRPr="00EB7299">
              <w:rPr>
                <w:b/>
                <w:sz w:val="18"/>
                <w:szCs w:val="18"/>
              </w:rPr>
              <w:t>Error (%)</w:t>
            </w:r>
          </w:p>
        </w:tc>
      </w:tr>
      <w:tr w:rsidR="00EB7299" w:rsidRPr="002A7C03" w14:paraId="096A7231" w14:textId="77777777" w:rsidTr="00434C11">
        <w:trPr>
          <w:jc w:val="center"/>
        </w:trPr>
        <w:tc>
          <w:tcPr>
            <w:tcW w:w="1985" w:type="dxa"/>
            <w:tcBorders>
              <w:top w:val="single" w:sz="4" w:space="0" w:color="auto"/>
              <w:left w:val="nil"/>
              <w:right w:val="nil"/>
            </w:tcBorders>
            <w:vAlign w:val="center"/>
          </w:tcPr>
          <w:p w14:paraId="15999DE5" w14:textId="65A63111" w:rsidR="00EB7299" w:rsidRPr="00EB7299" w:rsidRDefault="00EB7299" w:rsidP="00EB7299">
            <w:pPr>
              <w:jc w:val="center"/>
              <w:rPr>
                <w:sz w:val="18"/>
                <w:szCs w:val="18"/>
              </w:rPr>
            </w:pPr>
            <w:r w:rsidRPr="00EB7299">
              <w:rPr>
                <w:sz w:val="18"/>
                <w:szCs w:val="18"/>
              </w:rPr>
              <w:t>Center point (x ; y)</w:t>
            </w:r>
          </w:p>
        </w:tc>
        <w:tc>
          <w:tcPr>
            <w:tcW w:w="1559" w:type="dxa"/>
            <w:tcBorders>
              <w:top w:val="single" w:sz="4" w:space="0" w:color="auto"/>
              <w:left w:val="nil"/>
              <w:right w:val="nil"/>
            </w:tcBorders>
            <w:vAlign w:val="center"/>
          </w:tcPr>
          <w:p w14:paraId="414B1D1A" w14:textId="28A09865" w:rsidR="00EB7299" w:rsidRPr="00EB7299" w:rsidRDefault="00EB7299" w:rsidP="00EB7299">
            <w:pPr>
              <w:jc w:val="center"/>
              <w:rPr>
                <w:sz w:val="18"/>
                <w:szCs w:val="18"/>
              </w:rPr>
            </w:pPr>
            <w:r w:rsidRPr="00EB7299">
              <w:rPr>
                <w:sz w:val="18"/>
                <w:szCs w:val="18"/>
              </w:rPr>
              <w:t>13.5</w:t>
            </w:r>
            <w:r w:rsidR="00434C11">
              <w:rPr>
                <w:sz w:val="18"/>
                <w:szCs w:val="18"/>
              </w:rPr>
              <w:t>0</w:t>
            </w:r>
            <w:r w:rsidRPr="00EB7299">
              <w:rPr>
                <w:sz w:val="18"/>
                <w:szCs w:val="18"/>
              </w:rPr>
              <w:t xml:space="preserve"> ; 13.5</w:t>
            </w:r>
            <w:r w:rsidR="00434C11">
              <w:rPr>
                <w:sz w:val="18"/>
                <w:szCs w:val="18"/>
              </w:rPr>
              <w:t>0</w:t>
            </w:r>
          </w:p>
        </w:tc>
        <w:tc>
          <w:tcPr>
            <w:tcW w:w="1417" w:type="dxa"/>
            <w:tcBorders>
              <w:top w:val="single" w:sz="4" w:space="0" w:color="auto"/>
              <w:left w:val="nil"/>
              <w:right w:val="nil"/>
            </w:tcBorders>
            <w:vAlign w:val="center"/>
          </w:tcPr>
          <w:p w14:paraId="79A85026" w14:textId="3DD533D2" w:rsidR="00EB7299" w:rsidRPr="00EB7299" w:rsidRDefault="00EB7299" w:rsidP="00EB7299">
            <w:pPr>
              <w:jc w:val="center"/>
              <w:rPr>
                <w:sz w:val="18"/>
                <w:szCs w:val="18"/>
              </w:rPr>
            </w:pPr>
            <w:r w:rsidRPr="00EB7299">
              <w:rPr>
                <w:sz w:val="18"/>
                <w:szCs w:val="18"/>
              </w:rPr>
              <w:t>14.00 ; 13.00</w:t>
            </w:r>
          </w:p>
        </w:tc>
        <w:tc>
          <w:tcPr>
            <w:tcW w:w="1435" w:type="dxa"/>
            <w:tcBorders>
              <w:top w:val="single" w:sz="4" w:space="0" w:color="auto"/>
              <w:left w:val="nil"/>
              <w:right w:val="nil"/>
            </w:tcBorders>
            <w:vAlign w:val="center"/>
          </w:tcPr>
          <w:p w14:paraId="0FD3881C" w14:textId="77777777" w:rsidR="00EB7299" w:rsidRPr="00EB7299" w:rsidRDefault="00EB7299" w:rsidP="00EB7299">
            <w:pPr>
              <w:jc w:val="center"/>
              <w:rPr>
                <w:sz w:val="18"/>
                <w:szCs w:val="18"/>
              </w:rPr>
            </w:pPr>
            <w:r w:rsidRPr="00EB7299">
              <w:rPr>
                <w:sz w:val="18"/>
                <w:szCs w:val="18"/>
              </w:rPr>
              <w:t>x = 3.70</w:t>
            </w:r>
          </w:p>
          <w:p w14:paraId="2EABA1C9" w14:textId="411956CA" w:rsidR="00EB7299" w:rsidRPr="00EB7299" w:rsidRDefault="00EB7299" w:rsidP="00EB7299">
            <w:pPr>
              <w:jc w:val="center"/>
              <w:rPr>
                <w:sz w:val="18"/>
                <w:szCs w:val="18"/>
              </w:rPr>
            </w:pPr>
            <w:r w:rsidRPr="00EB7299">
              <w:rPr>
                <w:sz w:val="18"/>
                <w:szCs w:val="18"/>
              </w:rPr>
              <w:t>y = 3.70</w:t>
            </w:r>
          </w:p>
        </w:tc>
      </w:tr>
      <w:tr w:rsidR="00EB7299" w:rsidRPr="002A7C03" w14:paraId="5F70B321" w14:textId="77777777" w:rsidTr="00434C11">
        <w:trPr>
          <w:jc w:val="center"/>
        </w:trPr>
        <w:tc>
          <w:tcPr>
            <w:tcW w:w="1985" w:type="dxa"/>
            <w:tcBorders>
              <w:left w:val="nil"/>
              <w:bottom w:val="single" w:sz="4" w:space="0" w:color="auto"/>
              <w:right w:val="nil"/>
            </w:tcBorders>
            <w:vAlign w:val="center"/>
          </w:tcPr>
          <w:p w14:paraId="53AB70EE" w14:textId="5B6E88DF" w:rsidR="00EB7299" w:rsidRPr="00EB7299" w:rsidRDefault="00EB7299" w:rsidP="00EB7299">
            <w:pPr>
              <w:jc w:val="center"/>
              <w:rPr>
                <w:sz w:val="18"/>
                <w:szCs w:val="18"/>
              </w:rPr>
            </w:pPr>
            <w:r w:rsidRPr="00EB7299">
              <w:rPr>
                <w:sz w:val="18"/>
                <w:szCs w:val="18"/>
              </w:rPr>
              <w:t>Area (mm</w:t>
            </w:r>
            <w:r w:rsidRPr="00EB7299">
              <w:rPr>
                <w:sz w:val="18"/>
                <w:szCs w:val="18"/>
                <w:vertAlign w:val="superscript"/>
              </w:rPr>
              <w:t>2</w:t>
            </w:r>
            <w:r w:rsidRPr="00EB7299">
              <w:rPr>
                <w:sz w:val="18"/>
                <w:szCs w:val="18"/>
              </w:rPr>
              <w:t>)</w:t>
            </w:r>
          </w:p>
        </w:tc>
        <w:tc>
          <w:tcPr>
            <w:tcW w:w="1559" w:type="dxa"/>
            <w:tcBorders>
              <w:left w:val="nil"/>
              <w:bottom w:val="single" w:sz="4" w:space="0" w:color="auto"/>
              <w:right w:val="nil"/>
            </w:tcBorders>
            <w:vAlign w:val="center"/>
          </w:tcPr>
          <w:p w14:paraId="73183DF7" w14:textId="34A1203D" w:rsidR="00EB7299" w:rsidRPr="00EB7299" w:rsidRDefault="00EB7299" w:rsidP="00EB7299">
            <w:pPr>
              <w:jc w:val="center"/>
              <w:rPr>
                <w:sz w:val="18"/>
                <w:szCs w:val="18"/>
              </w:rPr>
            </w:pPr>
            <w:r w:rsidRPr="00EB7299">
              <w:rPr>
                <w:sz w:val="18"/>
                <w:szCs w:val="18"/>
              </w:rPr>
              <w:t xml:space="preserve">490.63 </w:t>
            </w:r>
          </w:p>
        </w:tc>
        <w:tc>
          <w:tcPr>
            <w:tcW w:w="1417" w:type="dxa"/>
            <w:tcBorders>
              <w:left w:val="nil"/>
              <w:bottom w:val="single" w:sz="4" w:space="0" w:color="auto"/>
              <w:right w:val="nil"/>
            </w:tcBorders>
            <w:vAlign w:val="center"/>
          </w:tcPr>
          <w:p w14:paraId="040E0EF7" w14:textId="5D84104C" w:rsidR="00EB7299" w:rsidRPr="00EB7299" w:rsidRDefault="00EB7299" w:rsidP="00EB7299">
            <w:pPr>
              <w:jc w:val="center"/>
              <w:rPr>
                <w:sz w:val="18"/>
                <w:szCs w:val="18"/>
              </w:rPr>
            </w:pPr>
            <w:r w:rsidRPr="00EB7299">
              <w:rPr>
                <w:sz w:val="18"/>
                <w:szCs w:val="18"/>
              </w:rPr>
              <w:t>518.00</w:t>
            </w:r>
          </w:p>
        </w:tc>
        <w:tc>
          <w:tcPr>
            <w:tcW w:w="1435" w:type="dxa"/>
            <w:tcBorders>
              <w:left w:val="nil"/>
              <w:bottom w:val="single" w:sz="4" w:space="0" w:color="auto"/>
              <w:right w:val="nil"/>
            </w:tcBorders>
            <w:vAlign w:val="center"/>
          </w:tcPr>
          <w:p w14:paraId="2A60D24E" w14:textId="6D742D28" w:rsidR="00EB7299" w:rsidRPr="00EB7299" w:rsidRDefault="00EB7299" w:rsidP="00EB7299">
            <w:pPr>
              <w:jc w:val="center"/>
              <w:rPr>
                <w:sz w:val="18"/>
                <w:szCs w:val="18"/>
              </w:rPr>
            </w:pPr>
            <w:r w:rsidRPr="00EB7299">
              <w:rPr>
                <w:sz w:val="18"/>
                <w:szCs w:val="18"/>
              </w:rPr>
              <w:t>5.58</w:t>
            </w:r>
          </w:p>
        </w:tc>
      </w:tr>
    </w:tbl>
    <w:p w14:paraId="7B8F7A81" w14:textId="77777777" w:rsidR="002C4EB2" w:rsidRDefault="002C4EB2" w:rsidP="00434C11">
      <w:pPr>
        <w:pStyle w:val="Paragraph"/>
      </w:pPr>
    </w:p>
    <w:p w14:paraId="2320005B" w14:textId="03DACA4C" w:rsidR="00434C11" w:rsidRPr="002A7C03" w:rsidRDefault="00434C11" w:rsidP="002C4EB2">
      <w:pPr>
        <w:pStyle w:val="Paragraph"/>
        <w:ind w:firstLine="0"/>
      </w:pPr>
      <w:r w:rsidRPr="002A7C03">
        <w:t xml:space="preserve">The average test results for diameter and area with 3 positions are as follows. </w:t>
      </w:r>
    </w:p>
    <w:p w14:paraId="1DBA62AD" w14:textId="6CCBB331" w:rsidR="00434C11" w:rsidRPr="002A7C03" w:rsidRDefault="00434C11" w:rsidP="00434C11">
      <w:pPr>
        <w:pStyle w:val="Paragraph"/>
      </w:pPr>
      <w:r w:rsidRPr="002A7C03">
        <w:t>• Area of source</w:t>
      </w:r>
      <w:r w:rsidR="002270E4">
        <w:tab/>
      </w:r>
      <w:r w:rsidRPr="002A7C03">
        <w:t>: 504.59 mm</w:t>
      </w:r>
      <w:r w:rsidRPr="00374276">
        <w:rPr>
          <w:vertAlign w:val="superscript"/>
        </w:rPr>
        <w:t>2</w:t>
      </w:r>
    </w:p>
    <w:p w14:paraId="1268427E" w14:textId="77777777" w:rsidR="00434C11" w:rsidRPr="002A7C03" w:rsidRDefault="00434C11" w:rsidP="002C4EB2">
      <w:pPr>
        <w:pStyle w:val="Paragraph"/>
        <w:ind w:firstLine="0"/>
      </w:pPr>
      <w:r w:rsidRPr="002A7C03">
        <w:t>The average percentage of errors, i.e.</w:t>
      </w:r>
    </w:p>
    <w:p w14:paraId="44CBA5BA" w14:textId="4D5833AD" w:rsidR="00434C11" w:rsidRPr="002A7C03" w:rsidRDefault="00434C11" w:rsidP="00434C11">
      <w:pPr>
        <w:pStyle w:val="Paragraph"/>
      </w:pPr>
      <w:r w:rsidRPr="002A7C03">
        <w:t xml:space="preserve">• x-axis center </w:t>
      </w:r>
      <w:r w:rsidRPr="002A7C03">
        <w:tab/>
        <w:t>: 3.73 %</w:t>
      </w:r>
    </w:p>
    <w:p w14:paraId="53A1B520" w14:textId="4BC33F86" w:rsidR="00434C11" w:rsidRPr="002A7C03" w:rsidRDefault="00434C11" w:rsidP="00434C11">
      <w:pPr>
        <w:pStyle w:val="Paragraph"/>
      </w:pPr>
      <w:r w:rsidRPr="002A7C03">
        <w:t xml:space="preserve">• y-axis center </w:t>
      </w:r>
      <w:r w:rsidRPr="002A7C03">
        <w:tab/>
        <w:t>: 3.23 %</w:t>
      </w:r>
    </w:p>
    <w:p w14:paraId="7DAE5D52" w14:textId="77777777" w:rsidR="00434C11" w:rsidRPr="002A7C03" w:rsidRDefault="00434C11" w:rsidP="00434C11">
      <w:pPr>
        <w:pStyle w:val="Paragraph"/>
      </w:pPr>
      <w:r w:rsidRPr="002A7C03">
        <w:t>• Area of source</w:t>
      </w:r>
      <w:r w:rsidRPr="002A7C03">
        <w:tab/>
        <w:t xml:space="preserve">: 4.71 % </w:t>
      </w:r>
    </w:p>
    <w:p w14:paraId="253F04AF" w14:textId="1794F0C9" w:rsidR="00434C11" w:rsidRPr="002A7C03" w:rsidRDefault="00434C11" w:rsidP="00434C11">
      <w:pPr>
        <w:pStyle w:val="Paragraph"/>
      </w:pPr>
      <w:r w:rsidRPr="002A7C03">
        <w:t>The difference between the image viewer created with the actual conditions can be due to the random nature of radiation and the lack of dense data collection. The result of this study indicate</w:t>
      </w:r>
      <w:r w:rsidR="002270E4">
        <w:t>s</w:t>
      </w:r>
      <w:r w:rsidRPr="002A7C03">
        <w:t xml:space="preserve"> </w:t>
      </w:r>
      <w:r w:rsidR="00CA7A50" w:rsidRPr="002A7C03">
        <w:t>504.59</w:t>
      </w:r>
      <w:r w:rsidRPr="002A7C03">
        <w:t xml:space="preserve"> mm</w:t>
      </w:r>
      <w:r w:rsidRPr="00374276">
        <w:rPr>
          <w:vertAlign w:val="superscript"/>
        </w:rPr>
        <w:t>2</w:t>
      </w:r>
      <w:r w:rsidRPr="002A7C03">
        <w:t xml:space="preserve"> for the area. Therefore, a digital image viewer and a measure of the size of the source of the gamma transmitter in the digital image created can be </w:t>
      </w:r>
      <w:r w:rsidR="002270E4">
        <w:t>appropriately used</w:t>
      </w:r>
      <w:r w:rsidRPr="002A7C03">
        <w:t xml:space="preserve"> with an overall error percentage of 3.89%.</w:t>
      </w:r>
    </w:p>
    <w:bookmarkEnd w:id="1"/>
    <w:p w14:paraId="238F91B4" w14:textId="7FB5929E" w:rsidR="00D87E2A" w:rsidRDefault="00D87E2A" w:rsidP="00D87E2A">
      <w:pPr>
        <w:pStyle w:val="Heading1"/>
        <w:rPr>
          <w:b w:val="0"/>
          <w:caps w:val="0"/>
          <w:sz w:val="20"/>
        </w:rPr>
      </w:pPr>
      <w:r>
        <w:rPr>
          <w:rFonts w:asciiTheme="majorBidi" w:hAnsiTheme="majorBidi" w:cstheme="majorBidi"/>
        </w:rPr>
        <w:t>CONCLUSION</w:t>
      </w:r>
    </w:p>
    <w:p w14:paraId="55D56508" w14:textId="78052163" w:rsidR="00D87E2A" w:rsidRPr="00A24F3D" w:rsidRDefault="00434C11" w:rsidP="003B0050">
      <w:pPr>
        <w:pStyle w:val="Paragraph"/>
      </w:pPr>
      <w:r w:rsidRPr="00434C11">
        <w:t xml:space="preserve">The CsI(Tl) detector type Atom Fast Scintillation 8*8*50 Crystal Radiation used in this study has a </w:t>
      </w:r>
      <w:r w:rsidR="002270E4">
        <w:t>reasonab</w:t>
      </w:r>
      <w:r w:rsidRPr="00434C11">
        <w:t>ly good efficiency value of 2.07%. The chi-square test value is 6</w:t>
      </w:r>
      <w:r w:rsidR="00563E2B">
        <w:t>.</w:t>
      </w:r>
      <w:r w:rsidRPr="00434C11">
        <w:t xml:space="preserve">919, so this detector </w:t>
      </w:r>
      <w:r w:rsidR="008B0863">
        <w:t>is</w:t>
      </w:r>
      <w:r w:rsidRPr="00434C11">
        <w:t xml:space="preserve"> stable because it is in the range between 3</w:t>
      </w:r>
      <w:r w:rsidR="00D777F2">
        <w:t>.</w:t>
      </w:r>
      <w:r w:rsidRPr="00434C11">
        <w:t>325 and 16</w:t>
      </w:r>
      <w:r w:rsidR="00D777F2">
        <w:t>.</w:t>
      </w:r>
      <w:r w:rsidRPr="00434C11">
        <w:t xml:space="preserve">919 (10 measurements). </w:t>
      </w:r>
      <w:r w:rsidRPr="00563E2B">
        <w:t>However, this detector cannot display the gamma energy spectrum, so the resolution value of the detector cannot be known.</w:t>
      </w:r>
      <w:r w:rsidR="000D6B47" w:rsidRPr="00563E2B">
        <w:t xml:space="preserve"> The ideal measurement distance between the detector and the test object is less than 2 cm. From the imaging results, </w:t>
      </w:r>
      <w:r w:rsidRPr="00563E2B">
        <w:t>the average percentage of errors in the x-axis center, y-axis center, and area of ​​</w:t>
      </w:r>
      <w:r w:rsidR="002270E4" w:rsidRPr="00563E2B">
        <w:t xml:space="preserve">the </w:t>
      </w:r>
      <w:r w:rsidRPr="00563E2B">
        <w:t>source is 3.73%, 3.23%, and 4.71%, respectively,</w:t>
      </w:r>
      <w:r w:rsidRPr="00434C11">
        <w:t xml:space="preserve"> with an average percentage error overall that is 3.89%. Based on the test results above, the CsI(Tl) detector can be an alternative in planar scintigraphy imaging techniques. </w:t>
      </w:r>
      <w:r>
        <w:t>By considering</w:t>
      </w:r>
      <w:r w:rsidRPr="00434C11">
        <w:t xml:space="preserve"> the ideal distance between the detector and the source, this detector should be used in in-vitro nuclear medicine applications.</w:t>
      </w:r>
    </w:p>
    <w:p w14:paraId="7691B80C" w14:textId="0A2BDFEF" w:rsidR="00613B4D" w:rsidRPr="00075EA6" w:rsidRDefault="0016385D" w:rsidP="00613B4D">
      <w:pPr>
        <w:pStyle w:val="Heading1"/>
      </w:pPr>
      <w:r w:rsidRPr="00075EA6">
        <w:rPr>
          <w:rFonts w:asciiTheme="majorBidi" w:hAnsiTheme="majorBidi" w:cstheme="majorBidi"/>
        </w:rPr>
        <w:t>Acknowledgments</w:t>
      </w:r>
    </w:p>
    <w:p w14:paraId="4F4EA3E3" w14:textId="4BBAC077" w:rsidR="000B3A2D" w:rsidRPr="00075EA6" w:rsidRDefault="00E30BB7" w:rsidP="000B3A2D">
      <w:pPr>
        <w:pStyle w:val="Paragraph"/>
        <w:rPr>
          <w:rFonts w:asciiTheme="majorBidi" w:hAnsiTheme="majorBidi" w:cstheme="majorBidi"/>
        </w:rPr>
      </w:pPr>
      <w:r>
        <w:t xml:space="preserve">The authors wished to acknowledge assistance or encouragement from </w:t>
      </w:r>
      <w:r w:rsidR="00C218CD">
        <w:t xml:space="preserve">the </w:t>
      </w:r>
      <w:r>
        <w:t>Electronics Instrumentation</w:t>
      </w:r>
      <w:r w:rsidR="00C218CD">
        <w:t xml:space="preserve"> Study Program and </w:t>
      </w:r>
      <w:r w:rsidR="00A70248" w:rsidRPr="00A70248">
        <w:t>Research and Community Service Unit</w:t>
      </w:r>
      <w:r>
        <w:t>, Polytechnic Institute of Nuclear Technology</w:t>
      </w:r>
      <w:r w:rsidR="005E71ED">
        <w:rPr>
          <w:rFonts w:asciiTheme="majorBidi" w:hAnsiTheme="majorBidi" w:cstheme="majorBidi"/>
        </w:rPr>
        <w:t>.</w:t>
      </w:r>
    </w:p>
    <w:p w14:paraId="74D4F45E" w14:textId="73C6B9FF" w:rsidR="00613B4D" w:rsidRPr="002C4EB2" w:rsidRDefault="0016385D" w:rsidP="002C4EB2">
      <w:pPr>
        <w:pStyle w:val="Heading1"/>
        <w:rPr>
          <w:rFonts w:asciiTheme="majorBidi" w:hAnsiTheme="majorBidi" w:cstheme="majorBidi"/>
        </w:rPr>
      </w:pPr>
      <w:r w:rsidRPr="00075EA6">
        <w:rPr>
          <w:rFonts w:asciiTheme="majorBidi" w:hAnsiTheme="majorBidi" w:cstheme="majorBidi"/>
        </w:rPr>
        <w:t>References</w:t>
      </w:r>
    </w:p>
    <w:p w14:paraId="482E1A66" w14:textId="0BC28691" w:rsidR="00931386" w:rsidRPr="00931386" w:rsidRDefault="00E30BB7" w:rsidP="002C4EB2">
      <w:pPr>
        <w:widowControl w:val="0"/>
        <w:autoSpaceDE w:val="0"/>
        <w:autoSpaceDN w:val="0"/>
        <w:adjustRightInd w:val="0"/>
        <w:ind w:left="640" w:hanging="640"/>
        <w:jc w:val="both"/>
        <w:rPr>
          <w:noProof/>
          <w:sz w:val="20"/>
          <w:szCs w:val="24"/>
        </w:rPr>
      </w:pPr>
      <w:r>
        <w:fldChar w:fldCharType="begin" w:fldLock="1"/>
      </w:r>
      <w:r>
        <w:instrText xml:space="preserve">ADDIN Mendeley Bibliography CSL_BIBLIOGRAPHY </w:instrText>
      </w:r>
      <w:r>
        <w:fldChar w:fldCharType="separate"/>
      </w:r>
      <w:r w:rsidR="00931386" w:rsidRPr="00931386">
        <w:rPr>
          <w:noProof/>
          <w:sz w:val="20"/>
          <w:szCs w:val="24"/>
        </w:rPr>
        <w:t>[1]</w:t>
      </w:r>
      <w:r w:rsidR="00931386" w:rsidRPr="00931386">
        <w:rPr>
          <w:noProof/>
          <w:sz w:val="20"/>
          <w:szCs w:val="24"/>
        </w:rPr>
        <w:tab/>
        <w:t xml:space="preserve">Y. Sasaki and K. Kusakabe, “Nuclear medicine for diagnosis and treatment,” </w:t>
      </w:r>
      <w:r w:rsidR="00931386" w:rsidRPr="00931386">
        <w:rPr>
          <w:i/>
          <w:iCs/>
          <w:noProof/>
          <w:sz w:val="20"/>
          <w:szCs w:val="24"/>
        </w:rPr>
        <w:t>IAEA Off. Public Inf. Commun.</w:t>
      </w:r>
      <w:r w:rsidR="00931386" w:rsidRPr="00931386">
        <w:rPr>
          <w:noProof/>
          <w:sz w:val="20"/>
          <w:szCs w:val="24"/>
        </w:rPr>
        <w:t>, vol. 17, no. 1, pp. 7–8, 2017.</w:t>
      </w:r>
    </w:p>
    <w:p w14:paraId="2BB7A0F5" w14:textId="77777777" w:rsidR="00931386" w:rsidRPr="00931386" w:rsidRDefault="00931386" w:rsidP="002C4EB2">
      <w:pPr>
        <w:widowControl w:val="0"/>
        <w:autoSpaceDE w:val="0"/>
        <w:autoSpaceDN w:val="0"/>
        <w:adjustRightInd w:val="0"/>
        <w:ind w:left="640" w:hanging="640"/>
        <w:jc w:val="both"/>
        <w:rPr>
          <w:noProof/>
          <w:sz w:val="20"/>
          <w:szCs w:val="24"/>
        </w:rPr>
      </w:pPr>
      <w:r w:rsidRPr="00931386">
        <w:rPr>
          <w:noProof/>
          <w:sz w:val="20"/>
          <w:szCs w:val="24"/>
        </w:rPr>
        <w:t>[2]</w:t>
      </w:r>
      <w:r w:rsidRPr="00931386">
        <w:rPr>
          <w:noProof/>
          <w:sz w:val="20"/>
          <w:szCs w:val="24"/>
        </w:rPr>
        <w:tab/>
        <w:t xml:space="preserve">F. Kharfi, “Principles and Applications of Nuclear Medical Imaging: A Survey on Recent Developments,” </w:t>
      </w:r>
      <w:r w:rsidRPr="00931386">
        <w:rPr>
          <w:i/>
          <w:iCs/>
          <w:noProof/>
          <w:sz w:val="20"/>
          <w:szCs w:val="24"/>
        </w:rPr>
        <w:t>Imaging Radioanal. Tech. Interdiscip. Res. - Fundam. Cut. Edge Appl.</w:t>
      </w:r>
      <w:r w:rsidRPr="00931386">
        <w:rPr>
          <w:noProof/>
          <w:sz w:val="20"/>
          <w:szCs w:val="24"/>
        </w:rPr>
        <w:t>, no. March 2013, 2013, doi: 10.5772/54884.</w:t>
      </w:r>
    </w:p>
    <w:p w14:paraId="3EA6B20B" w14:textId="77777777" w:rsidR="00931386" w:rsidRPr="00931386" w:rsidRDefault="00931386" w:rsidP="002C4EB2">
      <w:pPr>
        <w:widowControl w:val="0"/>
        <w:autoSpaceDE w:val="0"/>
        <w:autoSpaceDN w:val="0"/>
        <w:adjustRightInd w:val="0"/>
        <w:ind w:left="640" w:hanging="640"/>
        <w:jc w:val="both"/>
        <w:rPr>
          <w:noProof/>
          <w:sz w:val="20"/>
          <w:szCs w:val="24"/>
        </w:rPr>
      </w:pPr>
      <w:r w:rsidRPr="00931386">
        <w:rPr>
          <w:noProof/>
          <w:sz w:val="20"/>
          <w:szCs w:val="24"/>
        </w:rPr>
        <w:lastRenderedPageBreak/>
        <w:t>[3]</w:t>
      </w:r>
      <w:r w:rsidRPr="00931386">
        <w:rPr>
          <w:noProof/>
          <w:sz w:val="20"/>
          <w:szCs w:val="24"/>
        </w:rPr>
        <w:tab/>
        <w:t>Y. Wang, “Nuclear Medicine : Physics and Imaging Methods ( SPECT and PET ),” Polytechnic Institute of NYU, Brooklyn, NY 11201, 2017.</w:t>
      </w:r>
    </w:p>
    <w:p w14:paraId="1C091E13" w14:textId="77777777" w:rsidR="00931386" w:rsidRPr="00931386" w:rsidRDefault="00931386" w:rsidP="002C4EB2">
      <w:pPr>
        <w:widowControl w:val="0"/>
        <w:autoSpaceDE w:val="0"/>
        <w:autoSpaceDN w:val="0"/>
        <w:adjustRightInd w:val="0"/>
        <w:ind w:left="640" w:hanging="640"/>
        <w:jc w:val="both"/>
        <w:rPr>
          <w:noProof/>
          <w:sz w:val="20"/>
          <w:szCs w:val="24"/>
        </w:rPr>
      </w:pPr>
      <w:r w:rsidRPr="00931386">
        <w:rPr>
          <w:noProof/>
          <w:sz w:val="20"/>
          <w:szCs w:val="24"/>
        </w:rPr>
        <w:t>[4]</w:t>
      </w:r>
      <w:r w:rsidRPr="00931386">
        <w:rPr>
          <w:noProof/>
          <w:sz w:val="20"/>
          <w:szCs w:val="24"/>
        </w:rPr>
        <w:tab/>
        <w:t xml:space="preserve">D. H. Skuldt, “Nuclear medicine,” </w:t>
      </w:r>
      <w:r w:rsidRPr="00931386">
        <w:rPr>
          <w:i/>
          <w:iCs/>
          <w:noProof/>
          <w:sz w:val="20"/>
          <w:szCs w:val="24"/>
        </w:rPr>
        <w:t>Minim. Invasive Med. Technol.</w:t>
      </w:r>
      <w:r w:rsidRPr="00931386">
        <w:rPr>
          <w:noProof/>
          <w:sz w:val="20"/>
          <w:szCs w:val="24"/>
        </w:rPr>
        <w:t>, no. x, pp. 59–66, 2016, doi: 10.1055/s-0038-1625324.</w:t>
      </w:r>
    </w:p>
    <w:p w14:paraId="24D37CB8" w14:textId="77777777" w:rsidR="00931386" w:rsidRPr="00931386" w:rsidRDefault="00931386" w:rsidP="002C4EB2">
      <w:pPr>
        <w:widowControl w:val="0"/>
        <w:autoSpaceDE w:val="0"/>
        <w:autoSpaceDN w:val="0"/>
        <w:adjustRightInd w:val="0"/>
        <w:ind w:left="640" w:hanging="640"/>
        <w:jc w:val="both"/>
        <w:rPr>
          <w:noProof/>
          <w:sz w:val="20"/>
          <w:szCs w:val="24"/>
        </w:rPr>
      </w:pPr>
      <w:r w:rsidRPr="00931386">
        <w:rPr>
          <w:noProof/>
          <w:sz w:val="20"/>
          <w:szCs w:val="24"/>
        </w:rPr>
        <w:t>[5]</w:t>
      </w:r>
      <w:r w:rsidRPr="00931386">
        <w:rPr>
          <w:noProof/>
          <w:sz w:val="20"/>
          <w:szCs w:val="24"/>
        </w:rPr>
        <w:tab/>
        <w:t>T. Lewellen, “The Scintillation Camera : Planar and SPECT List of Nuclear Medicine ʻSingle Photonʼ Radionuclides,” 2007.</w:t>
      </w:r>
    </w:p>
    <w:p w14:paraId="60647310" w14:textId="77777777" w:rsidR="00931386" w:rsidRPr="00931386" w:rsidRDefault="00931386" w:rsidP="002C4EB2">
      <w:pPr>
        <w:widowControl w:val="0"/>
        <w:autoSpaceDE w:val="0"/>
        <w:autoSpaceDN w:val="0"/>
        <w:adjustRightInd w:val="0"/>
        <w:ind w:left="640" w:hanging="640"/>
        <w:jc w:val="both"/>
        <w:rPr>
          <w:noProof/>
          <w:sz w:val="20"/>
          <w:szCs w:val="24"/>
        </w:rPr>
      </w:pPr>
      <w:r w:rsidRPr="00931386">
        <w:rPr>
          <w:noProof/>
          <w:sz w:val="20"/>
          <w:szCs w:val="24"/>
        </w:rPr>
        <w:t>[6]</w:t>
      </w:r>
      <w:r w:rsidRPr="00931386">
        <w:rPr>
          <w:noProof/>
          <w:sz w:val="20"/>
          <w:szCs w:val="24"/>
        </w:rPr>
        <w:tab/>
        <w:t xml:space="preserve">D. . Bailey, J. . Humm, A. Todd-Pokropek, and A. van Aswegen, </w:t>
      </w:r>
      <w:r w:rsidRPr="00931386">
        <w:rPr>
          <w:i/>
          <w:iCs/>
          <w:noProof/>
          <w:sz w:val="20"/>
          <w:szCs w:val="24"/>
        </w:rPr>
        <w:t>Nuclear Medicine Physics: A Handbook for Teachers and Students</w:t>
      </w:r>
      <w:r w:rsidRPr="00931386">
        <w:rPr>
          <w:noProof/>
          <w:sz w:val="20"/>
          <w:szCs w:val="24"/>
        </w:rPr>
        <w:t>. Vienna: International Atomic Energy Agency, 2014.</w:t>
      </w:r>
    </w:p>
    <w:p w14:paraId="089F0CF3" w14:textId="77777777" w:rsidR="00931386" w:rsidRPr="00931386" w:rsidRDefault="00931386" w:rsidP="002C4EB2">
      <w:pPr>
        <w:widowControl w:val="0"/>
        <w:autoSpaceDE w:val="0"/>
        <w:autoSpaceDN w:val="0"/>
        <w:adjustRightInd w:val="0"/>
        <w:ind w:left="640" w:hanging="640"/>
        <w:jc w:val="both"/>
        <w:rPr>
          <w:noProof/>
          <w:sz w:val="20"/>
          <w:szCs w:val="24"/>
        </w:rPr>
      </w:pPr>
      <w:r w:rsidRPr="00931386">
        <w:rPr>
          <w:noProof/>
          <w:sz w:val="20"/>
          <w:szCs w:val="24"/>
        </w:rPr>
        <w:t>[7]</w:t>
      </w:r>
      <w:r w:rsidRPr="00931386">
        <w:rPr>
          <w:noProof/>
          <w:sz w:val="20"/>
          <w:szCs w:val="24"/>
        </w:rPr>
        <w:tab/>
        <w:t xml:space="preserve">N. B. Smith and A. Webb, </w:t>
      </w:r>
      <w:r w:rsidRPr="00931386">
        <w:rPr>
          <w:i/>
          <w:iCs/>
          <w:noProof/>
          <w:sz w:val="20"/>
          <w:szCs w:val="24"/>
        </w:rPr>
        <w:t>Introduction to Medical Imaging</w:t>
      </w:r>
      <w:r w:rsidRPr="00931386">
        <w:rPr>
          <w:noProof/>
          <w:sz w:val="20"/>
          <w:szCs w:val="24"/>
        </w:rPr>
        <w:t>. Cambridge University Press, 2010.</w:t>
      </w:r>
    </w:p>
    <w:p w14:paraId="58C07B7A" w14:textId="77777777" w:rsidR="00931386" w:rsidRPr="00931386" w:rsidRDefault="00931386" w:rsidP="002C4EB2">
      <w:pPr>
        <w:widowControl w:val="0"/>
        <w:autoSpaceDE w:val="0"/>
        <w:autoSpaceDN w:val="0"/>
        <w:adjustRightInd w:val="0"/>
        <w:ind w:left="640" w:hanging="640"/>
        <w:jc w:val="both"/>
        <w:rPr>
          <w:noProof/>
          <w:sz w:val="20"/>
          <w:szCs w:val="24"/>
        </w:rPr>
      </w:pPr>
      <w:r w:rsidRPr="00931386">
        <w:rPr>
          <w:noProof/>
          <w:sz w:val="20"/>
          <w:szCs w:val="24"/>
        </w:rPr>
        <w:t>[8]</w:t>
      </w:r>
      <w:r w:rsidRPr="00931386">
        <w:rPr>
          <w:noProof/>
          <w:sz w:val="20"/>
          <w:szCs w:val="24"/>
        </w:rPr>
        <w:tab/>
        <w:t xml:space="preserve">J. L. Prince and J. M. Links, </w:t>
      </w:r>
      <w:r w:rsidRPr="00931386">
        <w:rPr>
          <w:i/>
          <w:iCs/>
          <w:noProof/>
          <w:sz w:val="20"/>
          <w:szCs w:val="24"/>
        </w:rPr>
        <w:t>Medical Imaging Signals and Systems</w:t>
      </w:r>
      <w:r w:rsidRPr="00931386">
        <w:rPr>
          <w:noProof/>
          <w:sz w:val="20"/>
          <w:szCs w:val="24"/>
        </w:rPr>
        <w:t>, 2nd ed. Pearson, 2014.</w:t>
      </w:r>
    </w:p>
    <w:p w14:paraId="6B4DCFCF" w14:textId="77777777" w:rsidR="00931386" w:rsidRPr="00931386" w:rsidRDefault="00931386" w:rsidP="002C4EB2">
      <w:pPr>
        <w:widowControl w:val="0"/>
        <w:autoSpaceDE w:val="0"/>
        <w:autoSpaceDN w:val="0"/>
        <w:adjustRightInd w:val="0"/>
        <w:ind w:left="640" w:hanging="640"/>
        <w:jc w:val="both"/>
        <w:rPr>
          <w:noProof/>
          <w:sz w:val="20"/>
          <w:szCs w:val="24"/>
        </w:rPr>
      </w:pPr>
      <w:r w:rsidRPr="00931386">
        <w:rPr>
          <w:noProof/>
          <w:sz w:val="20"/>
          <w:szCs w:val="24"/>
        </w:rPr>
        <w:t>[9]</w:t>
      </w:r>
      <w:r w:rsidRPr="00931386">
        <w:rPr>
          <w:noProof/>
          <w:sz w:val="20"/>
          <w:szCs w:val="24"/>
        </w:rPr>
        <w:tab/>
        <w:t xml:space="preserve">W. J. C. Koppert, M. M. A. Dietze, S. Van Der Velden, J. H. L. Steenbergen, and H. W. A. M. De Jong, “A comparative study of NaI(Tl), CeBr3, and CZT for use in a real-time simultaneous nuclear and fluoroscopic dual-layer detector,” </w:t>
      </w:r>
      <w:r w:rsidRPr="00931386">
        <w:rPr>
          <w:i/>
          <w:iCs/>
          <w:noProof/>
          <w:sz w:val="20"/>
          <w:szCs w:val="24"/>
        </w:rPr>
        <w:t>Phys. Med. Biol.</w:t>
      </w:r>
      <w:r w:rsidRPr="00931386">
        <w:rPr>
          <w:noProof/>
          <w:sz w:val="20"/>
          <w:szCs w:val="24"/>
        </w:rPr>
        <w:t>, vol. 64, no. 13, 2019, doi: 10.1088/1361-6560/ab267c.</w:t>
      </w:r>
    </w:p>
    <w:p w14:paraId="232A25E5" w14:textId="77777777" w:rsidR="00931386" w:rsidRPr="00931386" w:rsidRDefault="00931386" w:rsidP="002C4EB2">
      <w:pPr>
        <w:widowControl w:val="0"/>
        <w:autoSpaceDE w:val="0"/>
        <w:autoSpaceDN w:val="0"/>
        <w:adjustRightInd w:val="0"/>
        <w:ind w:left="640" w:hanging="640"/>
        <w:jc w:val="both"/>
        <w:rPr>
          <w:noProof/>
          <w:sz w:val="20"/>
          <w:szCs w:val="24"/>
        </w:rPr>
      </w:pPr>
      <w:r w:rsidRPr="00931386">
        <w:rPr>
          <w:noProof/>
          <w:sz w:val="20"/>
          <w:szCs w:val="24"/>
        </w:rPr>
        <w:t>[10]</w:t>
      </w:r>
      <w:r w:rsidRPr="00931386">
        <w:rPr>
          <w:noProof/>
          <w:sz w:val="20"/>
          <w:szCs w:val="24"/>
        </w:rPr>
        <w:tab/>
        <w:t xml:space="preserve">M. Khoshakhlagh, J. P. Islamian, S. M. Abedi, and B. Mahmoudian, “Development of Scintillators in Nuclear Medicine,” </w:t>
      </w:r>
      <w:r w:rsidRPr="00931386">
        <w:rPr>
          <w:i/>
          <w:iCs/>
          <w:noProof/>
          <w:sz w:val="20"/>
          <w:szCs w:val="24"/>
        </w:rPr>
        <w:t>World J. Nucl. Med.</w:t>
      </w:r>
      <w:r w:rsidRPr="00931386">
        <w:rPr>
          <w:noProof/>
          <w:sz w:val="20"/>
          <w:szCs w:val="24"/>
        </w:rPr>
        <w:t>, vol. 14, no. 3, pp. 156–159, 2015, doi: 10.4103/1450-1147.163241.</w:t>
      </w:r>
    </w:p>
    <w:p w14:paraId="22FC9909" w14:textId="77777777" w:rsidR="00931386" w:rsidRPr="00931386" w:rsidRDefault="00931386" w:rsidP="002C4EB2">
      <w:pPr>
        <w:widowControl w:val="0"/>
        <w:autoSpaceDE w:val="0"/>
        <w:autoSpaceDN w:val="0"/>
        <w:adjustRightInd w:val="0"/>
        <w:ind w:left="640" w:hanging="640"/>
        <w:jc w:val="both"/>
        <w:rPr>
          <w:noProof/>
          <w:sz w:val="20"/>
          <w:szCs w:val="24"/>
        </w:rPr>
      </w:pPr>
      <w:r w:rsidRPr="00931386">
        <w:rPr>
          <w:noProof/>
          <w:sz w:val="20"/>
          <w:szCs w:val="24"/>
        </w:rPr>
        <w:t>[11]</w:t>
      </w:r>
      <w:r w:rsidRPr="00931386">
        <w:rPr>
          <w:noProof/>
          <w:sz w:val="20"/>
          <w:szCs w:val="24"/>
        </w:rPr>
        <w:tab/>
        <w:t xml:space="preserve">G. Z. Shi </w:t>
      </w:r>
      <w:r w:rsidRPr="00931386">
        <w:rPr>
          <w:i/>
          <w:iCs/>
          <w:noProof/>
          <w:sz w:val="20"/>
          <w:szCs w:val="24"/>
        </w:rPr>
        <w:t>et al.</w:t>
      </w:r>
      <w:r w:rsidRPr="00931386">
        <w:rPr>
          <w:noProof/>
          <w:sz w:val="20"/>
          <w:szCs w:val="24"/>
        </w:rPr>
        <w:t xml:space="preserve">, “Development of a position sensitive CsI(Tl) crystal array,” </w:t>
      </w:r>
      <w:r w:rsidRPr="00931386">
        <w:rPr>
          <w:i/>
          <w:iCs/>
          <w:noProof/>
          <w:sz w:val="20"/>
          <w:szCs w:val="24"/>
        </w:rPr>
        <w:t>Nuclear Engineering and Technology</w:t>
      </w:r>
      <w:r w:rsidRPr="00931386">
        <w:rPr>
          <w:noProof/>
          <w:sz w:val="20"/>
          <w:szCs w:val="24"/>
        </w:rPr>
        <w:t>, vol. 52, no. 4. pp. 835–840, 2020, doi: 10.1016/j.net.2019.09.003.</w:t>
      </w:r>
    </w:p>
    <w:p w14:paraId="4F87B5C0" w14:textId="77777777" w:rsidR="00931386" w:rsidRPr="00931386" w:rsidRDefault="00931386" w:rsidP="002C4EB2">
      <w:pPr>
        <w:widowControl w:val="0"/>
        <w:autoSpaceDE w:val="0"/>
        <w:autoSpaceDN w:val="0"/>
        <w:adjustRightInd w:val="0"/>
        <w:ind w:left="640" w:hanging="640"/>
        <w:jc w:val="both"/>
        <w:rPr>
          <w:noProof/>
          <w:sz w:val="20"/>
          <w:szCs w:val="24"/>
        </w:rPr>
      </w:pPr>
      <w:r w:rsidRPr="00931386">
        <w:rPr>
          <w:noProof/>
          <w:sz w:val="20"/>
          <w:szCs w:val="24"/>
        </w:rPr>
        <w:t>[12]</w:t>
      </w:r>
      <w:r w:rsidRPr="00931386">
        <w:rPr>
          <w:noProof/>
          <w:sz w:val="20"/>
          <w:szCs w:val="24"/>
        </w:rPr>
        <w:tab/>
        <w:t>N. Bhusal, “Third Generation Gamma Camera SPECT System,” no. December, 2020, [Online]. Available: http://arxiv.org/abs/2002.10707.</w:t>
      </w:r>
    </w:p>
    <w:p w14:paraId="24546B88" w14:textId="77777777" w:rsidR="00931386" w:rsidRPr="00931386" w:rsidRDefault="00931386" w:rsidP="002C4EB2">
      <w:pPr>
        <w:widowControl w:val="0"/>
        <w:autoSpaceDE w:val="0"/>
        <w:autoSpaceDN w:val="0"/>
        <w:adjustRightInd w:val="0"/>
        <w:ind w:left="640" w:hanging="640"/>
        <w:jc w:val="both"/>
        <w:rPr>
          <w:noProof/>
          <w:sz w:val="20"/>
          <w:szCs w:val="24"/>
        </w:rPr>
      </w:pPr>
      <w:r w:rsidRPr="00931386">
        <w:rPr>
          <w:noProof/>
          <w:sz w:val="20"/>
          <w:szCs w:val="24"/>
        </w:rPr>
        <w:t>[13]</w:t>
      </w:r>
      <w:r w:rsidRPr="00931386">
        <w:rPr>
          <w:noProof/>
          <w:sz w:val="20"/>
          <w:szCs w:val="24"/>
        </w:rPr>
        <w:tab/>
        <w:t xml:space="preserve">S. Bahri, “Perbandingan Kinerja Detektor NaI(Tl) Dengan Detektor CsI(Tl) Pada Spektroskopi Radiasi Gamma,” </w:t>
      </w:r>
      <w:r w:rsidRPr="00931386">
        <w:rPr>
          <w:i/>
          <w:iCs/>
          <w:noProof/>
          <w:sz w:val="20"/>
          <w:szCs w:val="24"/>
        </w:rPr>
        <w:t>J. Gradien</w:t>
      </w:r>
      <w:r w:rsidRPr="00931386">
        <w:rPr>
          <w:noProof/>
          <w:sz w:val="20"/>
          <w:szCs w:val="24"/>
        </w:rPr>
        <w:t>, vol. 3, no. 1, pp. 204–209, 2007.</w:t>
      </w:r>
    </w:p>
    <w:p w14:paraId="55ADFFA5" w14:textId="77777777" w:rsidR="00931386" w:rsidRPr="00931386" w:rsidRDefault="00931386" w:rsidP="002C4EB2">
      <w:pPr>
        <w:widowControl w:val="0"/>
        <w:autoSpaceDE w:val="0"/>
        <w:autoSpaceDN w:val="0"/>
        <w:adjustRightInd w:val="0"/>
        <w:ind w:left="640" w:hanging="640"/>
        <w:jc w:val="both"/>
        <w:rPr>
          <w:noProof/>
          <w:sz w:val="20"/>
          <w:szCs w:val="24"/>
        </w:rPr>
      </w:pPr>
      <w:r w:rsidRPr="00931386">
        <w:rPr>
          <w:noProof/>
          <w:sz w:val="20"/>
          <w:szCs w:val="24"/>
        </w:rPr>
        <w:t>[14]</w:t>
      </w:r>
      <w:r w:rsidRPr="00931386">
        <w:rPr>
          <w:noProof/>
          <w:sz w:val="20"/>
          <w:szCs w:val="24"/>
        </w:rPr>
        <w:tab/>
        <w:t xml:space="preserve">M. Abuqbeitah, M. Demir, N. Yeyin, S. Sager, and D. Gray, “Thyroid uptake test with portable device (COTI) after 131I tracer administration: proof of concept,” </w:t>
      </w:r>
      <w:r w:rsidRPr="00931386">
        <w:rPr>
          <w:i/>
          <w:iCs/>
          <w:noProof/>
          <w:sz w:val="20"/>
          <w:szCs w:val="24"/>
        </w:rPr>
        <w:t>Radiat. Environ. Biophys.</w:t>
      </w:r>
      <w:r w:rsidRPr="00931386">
        <w:rPr>
          <w:noProof/>
          <w:sz w:val="20"/>
          <w:szCs w:val="24"/>
        </w:rPr>
        <w:t>, vol. 59, no. 3, pp. 553–558, 2020, doi: 10.1007/s00411-020-00849-8.</w:t>
      </w:r>
    </w:p>
    <w:p w14:paraId="0F354279" w14:textId="77777777" w:rsidR="00931386" w:rsidRPr="00931386" w:rsidRDefault="00931386" w:rsidP="002C4EB2">
      <w:pPr>
        <w:widowControl w:val="0"/>
        <w:autoSpaceDE w:val="0"/>
        <w:autoSpaceDN w:val="0"/>
        <w:adjustRightInd w:val="0"/>
        <w:ind w:left="640" w:hanging="640"/>
        <w:jc w:val="both"/>
        <w:rPr>
          <w:noProof/>
          <w:sz w:val="20"/>
          <w:szCs w:val="24"/>
        </w:rPr>
      </w:pPr>
      <w:r w:rsidRPr="00931386">
        <w:rPr>
          <w:noProof/>
          <w:sz w:val="20"/>
          <w:szCs w:val="24"/>
        </w:rPr>
        <w:t>[15]</w:t>
      </w:r>
      <w:r w:rsidRPr="00931386">
        <w:rPr>
          <w:noProof/>
          <w:sz w:val="20"/>
          <w:szCs w:val="24"/>
        </w:rPr>
        <w:tab/>
        <w:t xml:space="preserve">KBRADAR, “Instructions and specifications to the bluetooth radiation dosimeter Atom Fast for smartphone and tablet,” </w:t>
      </w:r>
      <w:r w:rsidRPr="00931386">
        <w:rPr>
          <w:i/>
          <w:iCs/>
          <w:noProof/>
          <w:sz w:val="20"/>
          <w:szCs w:val="24"/>
        </w:rPr>
        <w:t>kbradar.org</w:t>
      </w:r>
      <w:r w:rsidRPr="00931386">
        <w:rPr>
          <w:noProof/>
          <w:sz w:val="20"/>
          <w:szCs w:val="24"/>
        </w:rPr>
        <w:t>, 2017. https://kbradar.org/a190925-instructions-and-specifications.html.</w:t>
      </w:r>
    </w:p>
    <w:p w14:paraId="0943D428" w14:textId="77777777" w:rsidR="00931386" w:rsidRPr="00931386" w:rsidRDefault="00931386" w:rsidP="002C4EB2">
      <w:pPr>
        <w:widowControl w:val="0"/>
        <w:autoSpaceDE w:val="0"/>
        <w:autoSpaceDN w:val="0"/>
        <w:adjustRightInd w:val="0"/>
        <w:ind w:left="640" w:hanging="640"/>
        <w:jc w:val="both"/>
        <w:rPr>
          <w:noProof/>
          <w:sz w:val="20"/>
          <w:szCs w:val="24"/>
        </w:rPr>
      </w:pPr>
      <w:r w:rsidRPr="00931386">
        <w:rPr>
          <w:noProof/>
          <w:sz w:val="20"/>
          <w:szCs w:val="24"/>
        </w:rPr>
        <w:t>[16]</w:t>
      </w:r>
      <w:r w:rsidRPr="00931386">
        <w:rPr>
          <w:noProof/>
          <w:sz w:val="20"/>
          <w:szCs w:val="24"/>
        </w:rPr>
        <w:tab/>
        <w:t xml:space="preserve">M. D. Petroff and M. G. Stapelbroek, “Photon-Counting Solid-STate Photomultiplier,” </w:t>
      </w:r>
      <w:r w:rsidRPr="00931386">
        <w:rPr>
          <w:i/>
          <w:iCs/>
          <w:noProof/>
          <w:sz w:val="20"/>
          <w:szCs w:val="24"/>
        </w:rPr>
        <w:t>IEEE Trans. Nucl. Sci.</w:t>
      </w:r>
      <w:r w:rsidRPr="00931386">
        <w:rPr>
          <w:noProof/>
          <w:sz w:val="20"/>
          <w:szCs w:val="24"/>
        </w:rPr>
        <w:t>, vol. 36, no. 1, pp. 158–162, 1989, doi: 10.1016/s0168-8278(02)00155-1.</w:t>
      </w:r>
    </w:p>
    <w:p w14:paraId="0A2EBEDA" w14:textId="77777777" w:rsidR="00931386" w:rsidRPr="00931386" w:rsidRDefault="00931386" w:rsidP="002C4EB2">
      <w:pPr>
        <w:widowControl w:val="0"/>
        <w:autoSpaceDE w:val="0"/>
        <w:autoSpaceDN w:val="0"/>
        <w:adjustRightInd w:val="0"/>
        <w:ind w:left="640" w:hanging="640"/>
        <w:jc w:val="both"/>
        <w:rPr>
          <w:noProof/>
          <w:sz w:val="20"/>
          <w:szCs w:val="24"/>
        </w:rPr>
      </w:pPr>
      <w:r w:rsidRPr="00931386">
        <w:rPr>
          <w:noProof/>
          <w:sz w:val="20"/>
          <w:szCs w:val="24"/>
        </w:rPr>
        <w:t>[17]</w:t>
      </w:r>
      <w:r w:rsidRPr="00931386">
        <w:rPr>
          <w:noProof/>
          <w:sz w:val="20"/>
          <w:szCs w:val="24"/>
        </w:rPr>
        <w:tab/>
        <w:t xml:space="preserve">S. Gundacker and A. Heering, “The silicon photomultiplier: Fundamentals and applications of a modern solid-state photon detector,” </w:t>
      </w:r>
      <w:r w:rsidRPr="00931386">
        <w:rPr>
          <w:i/>
          <w:iCs/>
          <w:noProof/>
          <w:sz w:val="20"/>
          <w:szCs w:val="24"/>
        </w:rPr>
        <w:t>Phys. Med. Biol.</w:t>
      </w:r>
      <w:r w:rsidRPr="00931386">
        <w:rPr>
          <w:noProof/>
          <w:sz w:val="20"/>
          <w:szCs w:val="24"/>
        </w:rPr>
        <w:t>, vol. 65, no. 17, 2020, doi: 10.1088/1361-6560/ab7b2d.</w:t>
      </w:r>
    </w:p>
    <w:p w14:paraId="3E5C6D23" w14:textId="77777777" w:rsidR="00931386" w:rsidRPr="00931386" w:rsidRDefault="00931386" w:rsidP="002C4EB2">
      <w:pPr>
        <w:widowControl w:val="0"/>
        <w:autoSpaceDE w:val="0"/>
        <w:autoSpaceDN w:val="0"/>
        <w:adjustRightInd w:val="0"/>
        <w:ind w:left="640" w:hanging="640"/>
        <w:jc w:val="both"/>
        <w:rPr>
          <w:noProof/>
          <w:sz w:val="20"/>
          <w:szCs w:val="24"/>
        </w:rPr>
      </w:pPr>
      <w:r w:rsidRPr="00931386">
        <w:rPr>
          <w:noProof/>
          <w:sz w:val="20"/>
          <w:szCs w:val="24"/>
        </w:rPr>
        <w:t>[18]</w:t>
      </w:r>
      <w:r w:rsidRPr="00931386">
        <w:rPr>
          <w:noProof/>
          <w:sz w:val="20"/>
          <w:szCs w:val="24"/>
        </w:rPr>
        <w:tab/>
        <w:t>D. S. C. Putranto, “Design and simulation nanoscale-based single photon avalanche diode on silicon,” Universitas Indonesia, 2011.</w:t>
      </w:r>
    </w:p>
    <w:p w14:paraId="7AD3BD8A" w14:textId="77777777" w:rsidR="00931386" w:rsidRPr="00931386" w:rsidRDefault="00931386" w:rsidP="002C4EB2">
      <w:pPr>
        <w:widowControl w:val="0"/>
        <w:autoSpaceDE w:val="0"/>
        <w:autoSpaceDN w:val="0"/>
        <w:adjustRightInd w:val="0"/>
        <w:ind w:left="640" w:hanging="640"/>
        <w:jc w:val="both"/>
        <w:rPr>
          <w:noProof/>
          <w:sz w:val="20"/>
          <w:szCs w:val="24"/>
        </w:rPr>
      </w:pPr>
      <w:r w:rsidRPr="00931386">
        <w:rPr>
          <w:noProof/>
          <w:sz w:val="20"/>
          <w:szCs w:val="24"/>
        </w:rPr>
        <w:t>[19]</w:t>
      </w:r>
      <w:r w:rsidRPr="00931386">
        <w:rPr>
          <w:noProof/>
          <w:sz w:val="20"/>
          <w:szCs w:val="24"/>
        </w:rPr>
        <w:tab/>
        <w:t xml:space="preserve">J. Zhang, P. Maniawski, and M. V. Knopp, “Performance evaluation of the next generation solid-state digital photon counting PET/CT system,” </w:t>
      </w:r>
      <w:r w:rsidRPr="00931386">
        <w:rPr>
          <w:i/>
          <w:iCs/>
          <w:noProof/>
          <w:sz w:val="20"/>
          <w:szCs w:val="24"/>
        </w:rPr>
        <w:t>EJNMMI Res.</w:t>
      </w:r>
      <w:r w:rsidRPr="00931386">
        <w:rPr>
          <w:noProof/>
          <w:sz w:val="20"/>
          <w:szCs w:val="24"/>
        </w:rPr>
        <w:t>, vol. 8, 2018, doi: 10.1186/s13550-018-0448-7.</w:t>
      </w:r>
    </w:p>
    <w:p w14:paraId="281B5191" w14:textId="77777777" w:rsidR="00931386" w:rsidRPr="00931386" w:rsidRDefault="00931386" w:rsidP="002C4EB2">
      <w:pPr>
        <w:widowControl w:val="0"/>
        <w:autoSpaceDE w:val="0"/>
        <w:autoSpaceDN w:val="0"/>
        <w:adjustRightInd w:val="0"/>
        <w:ind w:left="640" w:hanging="640"/>
        <w:jc w:val="both"/>
        <w:rPr>
          <w:noProof/>
          <w:sz w:val="20"/>
          <w:szCs w:val="24"/>
        </w:rPr>
      </w:pPr>
      <w:r w:rsidRPr="00931386">
        <w:rPr>
          <w:noProof/>
          <w:sz w:val="20"/>
          <w:szCs w:val="24"/>
        </w:rPr>
        <w:t>[20]</w:t>
      </w:r>
      <w:r w:rsidRPr="00931386">
        <w:rPr>
          <w:noProof/>
          <w:sz w:val="20"/>
          <w:szCs w:val="24"/>
        </w:rPr>
        <w:tab/>
        <w:t>Anonym, “Statistik Pencacahan Radiasi,” pp. 1–15, 2017.</w:t>
      </w:r>
    </w:p>
    <w:p w14:paraId="3B14FA06" w14:textId="77777777" w:rsidR="00931386" w:rsidRPr="00931386" w:rsidRDefault="00931386" w:rsidP="002C4EB2">
      <w:pPr>
        <w:widowControl w:val="0"/>
        <w:autoSpaceDE w:val="0"/>
        <w:autoSpaceDN w:val="0"/>
        <w:adjustRightInd w:val="0"/>
        <w:ind w:left="640" w:hanging="640"/>
        <w:jc w:val="both"/>
        <w:rPr>
          <w:noProof/>
          <w:sz w:val="20"/>
          <w:szCs w:val="24"/>
        </w:rPr>
      </w:pPr>
      <w:r w:rsidRPr="00931386">
        <w:rPr>
          <w:noProof/>
          <w:sz w:val="20"/>
          <w:szCs w:val="24"/>
        </w:rPr>
        <w:t>[21]</w:t>
      </w:r>
      <w:r w:rsidRPr="00931386">
        <w:rPr>
          <w:noProof/>
          <w:sz w:val="20"/>
          <w:szCs w:val="24"/>
        </w:rPr>
        <w:tab/>
        <w:t xml:space="preserve">S. Makridakis, M. Hibon, and C. Moser, “Accuracy of Extrapolation (Time Series) Methods: Results of a Forecasting Competition,” </w:t>
      </w:r>
      <w:r w:rsidRPr="00931386">
        <w:rPr>
          <w:i/>
          <w:iCs/>
          <w:noProof/>
          <w:sz w:val="20"/>
          <w:szCs w:val="24"/>
        </w:rPr>
        <w:t>J. R. Stat. Soc. Ser. A</w:t>
      </w:r>
      <w:r w:rsidRPr="00931386">
        <w:rPr>
          <w:noProof/>
          <w:sz w:val="20"/>
          <w:szCs w:val="24"/>
        </w:rPr>
        <w:t>, vol. 1, no. 2, pp. 111–153, 1982, doi: 10.2307/2345077.</w:t>
      </w:r>
    </w:p>
    <w:p w14:paraId="2EC8838F" w14:textId="77777777" w:rsidR="00931386" w:rsidRPr="00931386" w:rsidRDefault="00931386" w:rsidP="002C4EB2">
      <w:pPr>
        <w:widowControl w:val="0"/>
        <w:autoSpaceDE w:val="0"/>
        <w:autoSpaceDN w:val="0"/>
        <w:adjustRightInd w:val="0"/>
        <w:ind w:left="640" w:hanging="640"/>
        <w:jc w:val="both"/>
        <w:rPr>
          <w:noProof/>
          <w:sz w:val="20"/>
          <w:szCs w:val="24"/>
        </w:rPr>
      </w:pPr>
      <w:r w:rsidRPr="00931386">
        <w:rPr>
          <w:noProof/>
          <w:sz w:val="20"/>
          <w:szCs w:val="24"/>
        </w:rPr>
        <w:t>[22]</w:t>
      </w:r>
      <w:r w:rsidRPr="00931386">
        <w:rPr>
          <w:noProof/>
          <w:sz w:val="20"/>
          <w:szCs w:val="24"/>
        </w:rPr>
        <w:tab/>
        <w:t xml:space="preserve">IAEA, “Quality Control Procedures Applied to Nuclear Instruments,” </w:t>
      </w:r>
      <w:r w:rsidRPr="00931386">
        <w:rPr>
          <w:i/>
          <w:iCs/>
          <w:noProof/>
          <w:sz w:val="20"/>
          <w:szCs w:val="24"/>
        </w:rPr>
        <w:t>Iaea-Tecdoc</w:t>
      </w:r>
      <w:r w:rsidRPr="00931386">
        <w:rPr>
          <w:noProof/>
          <w:sz w:val="20"/>
          <w:szCs w:val="24"/>
        </w:rPr>
        <w:t>, vol. 1599, no. August 2007, p. 69, 2008.</w:t>
      </w:r>
    </w:p>
    <w:p w14:paraId="5D6BD472" w14:textId="77777777" w:rsidR="00931386" w:rsidRPr="00931386" w:rsidRDefault="00931386" w:rsidP="002C4EB2">
      <w:pPr>
        <w:widowControl w:val="0"/>
        <w:autoSpaceDE w:val="0"/>
        <w:autoSpaceDN w:val="0"/>
        <w:adjustRightInd w:val="0"/>
        <w:ind w:left="640" w:hanging="640"/>
        <w:jc w:val="both"/>
        <w:rPr>
          <w:noProof/>
          <w:sz w:val="20"/>
        </w:rPr>
      </w:pPr>
      <w:r w:rsidRPr="00931386">
        <w:rPr>
          <w:noProof/>
          <w:sz w:val="20"/>
          <w:szCs w:val="24"/>
        </w:rPr>
        <w:t>[23]</w:t>
      </w:r>
      <w:r w:rsidRPr="00931386">
        <w:rPr>
          <w:noProof/>
          <w:sz w:val="20"/>
          <w:szCs w:val="24"/>
        </w:rPr>
        <w:tab/>
        <w:t xml:space="preserve">J. Sumanto, S. Bachtiar, and A. Jalil, “Kajian Ki Nerja Sistem Deteksi Antara Detektor Nai(Tl) Dan Csi(Tl) Untuk Perangkat Renograf Portabel Jinjing,” </w:t>
      </w:r>
      <w:r w:rsidRPr="00931386">
        <w:rPr>
          <w:i/>
          <w:iCs/>
          <w:noProof/>
          <w:sz w:val="20"/>
          <w:szCs w:val="24"/>
        </w:rPr>
        <w:t>PRIMA - Apl. dan Rekayasa dalam Bid. Iptek Nukl.</w:t>
      </w:r>
      <w:r w:rsidRPr="00931386">
        <w:rPr>
          <w:noProof/>
          <w:sz w:val="20"/>
          <w:szCs w:val="24"/>
        </w:rPr>
        <w:t>, vol. 8, no. 2, pp. 63–72, 2011.</w:t>
      </w:r>
    </w:p>
    <w:p w14:paraId="1D1B9234" w14:textId="68B98463" w:rsidR="002B5648" w:rsidRPr="006E4474" w:rsidRDefault="00E30BB7" w:rsidP="002C4EB2">
      <w:pPr>
        <w:pStyle w:val="Reference"/>
        <w:numPr>
          <w:ilvl w:val="0"/>
          <w:numId w:val="0"/>
        </w:numPr>
      </w:pPr>
      <w:r>
        <w:fldChar w:fldCharType="end"/>
      </w:r>
    </w:p>
    <w:p w14:paraId="647AEAE9" w14:textId="77777777" w:rsidR="00326AE0" w:rsidRPr="003B0050" w:rsidRDefault="00326AE0" w:rsidP="005E71ED">
      <w:pPr>
        <w:pStyle w:val="Paragraph"/>
        <w:ind w:left="644" w:firstLine="0"/>
        <w:rPr>
          <w:iCs/>
        </w:rPr>
      </w:pPr>
    </w:p>
    <w:p w14:paraId="5A92D458" w14:textId="77777777" w:rsidR="00326AE0" w:rsidRDefault="00326AE0" w:rsidP="005E71ED">
      <w:pPr>
        <w:pStyle w:val="Paragraph"/>
        <w:rPr>
          <w:i/>
          <w:iCs/>
        </w:rPr>
      </w:pPr>
    </w:p>
    <w:p w14:paraId="4DE91CCB" w14:textId="77777777" w:rsidR="00326AE0" w:rsidRPr="00114AB1" w:rsidRDefault="00326AE0" w:rsidP="003B0050">
      <w:pPr>
        <w:pStyle w:val="Paragraphbulleted"/>
        <w:numPr>
          <w:ilvl w:val="0"/>
          <w:numId w:val="0"/>
        </w:numPr>
        <w:ind w:left="426" w:hanging="426"/>
      </w:pPr>
    </w:p>
    <w:sectPr w:rsidR="00326AE0" w:rsidRPr="00114AB1" w:rsidSect="00402DA2">
      <w:pgSz w:w="12240" w:h="15840"/>
      <w:pgMar w:top="1440" w:right="1440" w:bottom="1701"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DA23C" w14:textId="77777777" w:rsidR="001F2004" w:rsidRDefault="001F2004" w:rsidP="00BC5B3C">
      <w:r>
        <w:separator/>
      </w:r>
    </w:p>
  </w:endnote>
  <w:endnote w:type="continuationSeparator" w:id="0">
    <w:p w14:paraId="5C4215B7" w14:textId="77777777" w:rsidR="001F2004" w:rsidRDefault="001F2004" w:rsidP="00BC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C0C9C" w14:textId="77777777" w:rsidR="001F2004" w:rsidRDefault="001F2004" w:rsidP="00BC5B3C">
      <w:r>
        <w:separator/>
      </w:r>
    </w:p>
  </w:footnote>
  <w:footnote w:type="continuationSeparator" w:id="0">
    <w:p w14:paraId="058C8FF9" w14:textId="77777777" w:rsidR="001F2004" w:rsidRDefault="001F2004" w:rsidP="00BC5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8"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3"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15"/>
  </w:num>
  <w:num w:numId="2">
    <w:abstractNumId w:val="3"/>
  </w:num>
  <w:num w:numId="3">
    <w:abstractNumId w:val="12"/>
  </w:num>
  <w:num w:numId="4">
    <w:abstractNumId w:val="7"/>
  </w:num>
  <w:num w:numId="5">
    <w:abstractNumId w:val="11"/>
  </w:num>
  <w:num w:numId="6">
    <w:abstractNumId w:val="4"/>
  </w:num>
  <w:num w:numId="7">
    <w:abstractNumId w:val="6"/>
  </w:num>
  <w:num w:numId="8">
    <w:abstractNumId w:val="1"/>
  </w:num>
  <w:num w:numId="9">
    <w:abstractNumId w:val="14"/>
  </w:num>
  <w:num w:numId="10">
    <w:abstractNumId w:val="9"/>
  </w:num>
  <w:num w:numId="11">
    <w:abstractNumId w:val="13"/>
  </w:num>
  <w:num w:numId="12">
    <w:abstractNumId w:val="10"/>
  </w:num>
  <w:num w:numId="13">
    <w:abstractNumId w:val="5"/>
  </w:num>
  <w:num w:numId="14">
    <w:abstractNumId w:val="14"/>
  </w:num>
  <w:num w:numId="15">
    <w:abstractNumId w:val="8"/>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11"/>
  </w:num>
  <w:num w:numId="30">
    <w:abstractNumId w:val="11"/>
  </w:num>
  <w:num w:numId="31">
    <w:abstractNumId w:val="11"/>
    <w:lvlOverride w:ilvl="0">
      <w:startOverride w:val="1"/>
    </w:lvlOverride>
  </w:num>
  <w:num w:numId="32">
    <w:abstractNumId w:val="11"/>
  </w:num>
  <w:num w:numId="33">
    <w:abstractNumId w:val="11"/>
    <w:lvlOverride w:ilvl="0">
      <w:startOverride w:val="1"/>
    </w:lvlOverride>
  </w:num>
  <w:num w:numId="34">
    <w:abstractNumId w:val="11"/>
    <w:lvlOverride w:ilvl="0">
      <w:startOverride w:val="1"/>
    </w:lvlOverride>
  </w:num>
  <w:num w:numId="35">
    <w:abstractNumId w:val="12"/>
    <w:lvlOverride w:ilvl="0">
      <w:startOverride w:val="1"/>
    </w:lvlOverride>
  </w:num>
  <w:num w:numId="36">
    <w:abstractNumId w:val="12"/>
  </w:num>
  <w:num w:numId="37">
    <w:abstractNumId w:val="12"/>
    <w:lvlOverride w:ilvl="0">
      <w:startOverride w:val="1"/>
    </w:lvlOverride>
  </w:num>
  <w:num w:numId="38">
    <w:abstractNumId w:val="12"/>
  </w:num>
  <w:num w:numId="39">
    <w:abstractNumId w:val="12"/>
    <w:lvlOverride w:ilvl="0">
      <w:startOverride w:val="1"/>
    </w:lvlOverride>
  </w:num>
  <w:num w:numId="40">
    <w:abstractNumId w:val="12"/>
    <w:lvlOverride w:ilvl="0">
      <w:startOverride w:val="1"/>
    </w:lvlOverride>
  </w:num>
  <w:num w:numId="41">
    <w:abstractNumId w:val="12"/>
    <w:lvlOverride w:ilvl="0">
      <w:startOverride w:val="1"/>
    </w:lvlOverride>
  </w:num>
  <w:num w:numId="42">
    <w:abstractNumId w:val="12"/>
  </w:num>
  <w:num w:numId="43">
    <w:abstractNumId w:val="12"/>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2MzA3NrGwNLcwMjFQ0lEKTi0uzszPAymwqAUA42iZSywAAAA="/>
  </w:docVars>
  <w:rsids>
    <w:rsidRoot w:val="00C14B14"/>
    <w:rsid w:val="00003D7C"/>
    <w:rsid w:val="00014140"/>
    <w:rsid w:val="00027428"/>
    <w:rsid w:val="00031EC9"/>
    <w:rsid w:val="000343E4"/>
    <w:rsid w:val="00066FED"/>
    <w:rsid w:val="00075EA6"/>
    <w:rsid w:val="0007709F"/>
    <w:rsid w:val="00086F62"/>
    <w:rsid w:val="00090674"/>
    <w:rsid w:val="0009320B"/>
    <w:rsid w:val="00096AE0"/>
    <w:rsid w:val="000B1B74"/>
    <w:rsid w:val="000B3A2D"/>
    <w:rsid w:val="000B49C0"/>
    <w:rsid w:val="000D6B47"/>
    <w:rsid w:val="000E382F"/>
    <w:rsid w:val="000E75CD"/>
    <w:rsid w:val="001027E9"/>
    <w:rsid w:val="001036BA"/>
    <w:rsid w:val="001146DC"/>
    <w:rsid w:val="00114AB1"/>
    <w:rsid w:val="001230FF"/>
    <w:rsid w:val="00130BD7"/>
    <w:rsid w:val="00155B67"/>
    <w:rsid w:val="001562AF"/>
    <w:rsid w:val="00161A5B"/>
    <w:rsid w:val="0016385D"/>
    <w:rsid w:val="0016782F"/>
    <w:rsid w:val="001937E9"/>
    <w:rsid w:val="001964E5"/>
    <w:rsid w:val="00197E97"/>
    <w:rsid w:val="001B263B"/>
    <w:rsid w:val="001B476A"/>
    <w:rsid w:val="001C764F"/>
    <w:rsid w:val="001C7BB3"/>
    <w:rsid w:val="001D469C"/>
    <w:rsid w:val="001F2004"/>
    <w:rsid w:val="0021619E"/>
    <w:rsid w:val="00223EE7"/>
    <w:rsid w:val="002270E4"/>
    <w:rsid w:val="0023171B"/>
    <w:rsid w:val="00236BFC"/>
    <w:rsid w:val="00237437"/>
    <w:rsid w:val="002502FD"/>
    <w:rsid w:val="00274622"/>
    <w:rsid w:val="00285D24"/>
    <w:rsid w:val="00290390"/>
    <w:rsid w:val="002915D3"/>
    <w:rsid w:val="002924DB"/>
    <w:rsid w:val="002941DA"/>
    <w:rsid w:val="002B5648"/>
    <w:rsid w:val="002C4EB2"/>
    <w:rsid w:val="002E06D2"/>
    <w:rsid w:val="002E3C35"/>
    <w:rsid w:val="002F5298"/>
    <w:rsid w:val="00326AE0"/>
    <w:rsid w:val="00337E4F"/>
    <w:rsid w:val="00340C36"/>
    <w:rsid w:val="00342FD5"/>
    <w:rsid w:val="00346A9D"/>
    <w:rsid w:val="00374276"/>
    <w:rsid w:val="00376989"/>
    <w:rsid w:val="0039376F"/>
    <w:rsid w:val="003A287B"/>
    <w:rsid w:val="003A5C85"/>
    <w:rsid w:val="003A61B1"/>
    <w:rsid w:val="003B0050"/>
    <w:rsid w:val="003D6312"/>
    <w:rsid w:val="003E727F"/>
    <w:rsid w:val="003E7C74"/>
    <w:rsid w:val="003F31C6"/>
    <w:rsid w:val="0040225B"/>
    <w:rsid w:val="00402DA2"/>
    <w:rsid w:val="00416FF8"/>
    <w:rsid w:val="00425AC2"/>
    <w:rsid w:val="00434C11"/>
    <w:rsid w:val="00442F1C"/>
    <w:rsid w:val="0044771F"/>
    <w:rsid w:val="00450789"/>
    <w:rsid w:val="00485608"/>
    <w:rsid w:val="004A215A"/>
    <w:rsid w:val="004B151D"/>
    <w:rsid w:val="004B66CF"/>
    <w:rsid w:val="004B6DEF"/>
    <w:rsid w:val="004C7243"/>
    <w:rsid w:val="004E21DE"/>
    <w:rsid w:val="004E3C57"/>
    <w:rsid w:val="004E3CB2"/>
    <w:rsid w:val="00525813"/>
    <w:rsid w:val="0053513F"/>
    <w:rsid w:val="005518F9"/>
    <w:rsid w:val="00555A13"/>
    <w:rsid w:val="00563E2B"/>
    <w:rsid w:val="00574405"/>
    <w:rsid w:val="005854B0"/>
    <w:rsid w:val="005A0E21"/>
    <w:rsid w:val="005B3A34"/>
    <w:rsid w:val="005D49AF"/>
    <w:rsid w:val="005D7FE3"/>
    <w:rsid w:val="005E415C"/>
    <w:rsid w:val="005E71ED"/>
    <w:rsid w:val="005E7946"/>
    <w:rsid w:val="005F7475"/>
    <w:rsid w:val="00611299"/>
    <w:rsid w:val="00613B4D"/>
    <w:rsid w:val="00616365"/>
    <w:rsid w:val="00616F3B"/>
    <w:rsid w:val="006249A7"/>
    <w:rsid w:val="0064225B"/>
    <w:rsid w:val="006615A8"/>
    <w:rsid w:val="00662E9F"/>
    <w:rsid w:val="00670244"/>
    <w:rsid w:val="006763F9"/>
    <w:rsid w:val="006949BC"/>
    <w:rsid w:val="006A4809"/>
    <w:rsid w:val="006B22CD"/>
    <w:rsid w:val="006C1A9D"/>
    <w:rsid w:val="006D1229"/>
    <w:rsid w:val="006D372F"/>
    <w:rsid w:val="006D7A18"/>
    <w:rsid w:val="006E4474"/>
    <w:rsid w:val="00701388"/>
    <w:rsid w:val="00720ADD"/>
    <w:rsid w:val="00723B7F"/>
    <w:rsid w:val="00725861"/>
    <w:rsid w:val="0073393A"/>
    <w:rsid w:val="0073539D"/>
    <w:rsid w:val="00756D75"/>
    <w:rsid w:val="00761F58"/>
    <w:rsid w:val="00762A72"/>
    <w:rsid w:val="00767B8A"/>
    <w:rsid w:val="00770B22"/>
    <w:rsid w:val="00775481"/>
    <w:rsid w:val="007A233B"/>
    <w:rsid w:val="007A6CFF"/>
    <w:rsid w:val="007B4863"/>
    <w:rsid w:val="007C65E6"/>
    <w:rsid w:val="007D406B"/>
    <w:rsid w:val="007D4407"/>
    <w:rsid w:val="007E1CA3"/>
    <w:rsid w:val="00812D62"/>
    <w:rsid w:val="00812F29"/>
    <w:rsid w:val="00821713"/>
    <w:rsid w:val="00827050"/>
    <w:rsid w:val="0083278B"/>
    <w:rsid w:val="00834538"/>
    <w:rsid w:val="00850E89"/>
    <w:rsid w:val="00865E36"/>
    <w:rsid w:val="00877048"/>
    <w:rsid w:val="008863B9"/>
    <w:rsid w:val="008930E4"/>
    <w:rsid w:val="00893821"/>
    <w:rsid w:val="008A7B9C"/>
    <w:rsid w:val="008B0863"/>
    <w:rsid w:val="008B39FA"/>
    <w:rsid w:val="008B4754"/>
    <w:rsid w:val="008C3970"/>
    <w:rsid w:val="008E6A7A"/>
    <w:rsid w:val="008F1038"/>
    <w:rsid w:val="008F7046"/>
    <w:rsid w:val="009005FC"/>
    <w:rsid w:val="00922E5A"/>
    <w:rsid w:val="00931386"/>
    <w:rsid w:val="00937E71"/>
    <w:rsid w:val="00943315"/>
    <w:rsid w:val="00944536"/>
    <w:rsid w:val="00946C27"/>
    <w:rsid w:val="00961179"/>
    <w:rsid w:val="00974B1B"/>
    <w:rsid w:val="009822B8"/>
    <w:rsid w:val="009A4F3D"/>
    <w:rsid w:val="009B696B"/>
    <w:rsid w:val="009B7671"/>
    <w:rsid w:val="009E5BA1"/>
    <w:rsid w:val="009F056E"/>
    <w:rsid w:val="009F294E"/>
    <w:rsid w:val="00A24F3D"/>
    <w:rsid w:val="00A26DCD"/>
    <w:rsid w:val="00A314BB"/>
    <w:rsid w:val="00A32B7D"/>
    <w:rsid w:val="00A5596B"/>
    <w:rsid w:val="00A646B3"/>
    <w:rsid w:val="00A6739B"/>
    <w:rsid w:val="00A6790A"/>
    <w:rsid w:val="00A70248"/>
    <w:rsid w:val="00A729F5"/>
    <w:rsid w:val="00A90413"/>
    <w:rsid w:val="00A96134"/>
    <w:rsid w:val="00AA091F"/>
    <w:rsid w:val="00AA60BE"/>
    <w:rsid w:val="00AA728C"/>
    <w:rsid w:val="00AB0A9C"/>
    <w:rsid w:val="00AB7119"/>
    <w:rsid w:val="00AD5855"/>
    <w:rsid w:val="00AE7500"/>
    <w:rsid w:val="00AE7F87"/>
    <w:rsid w:val="00AF3542"/>
    <w:rsid w:val="00AF5ABE"/>
    <w:rsid w:val="00B00415"/>
    <w:rsid w:val="00B014A1"/>
    <w:rsid w:val="00B03C2A"/>
    <w:rsid w:val="00B1000D"/>
    <w:rsid w:val="00B10134"/>
    <w:rsid w:val="00B146BC"/>
    <w:rsid w:val="00B16BFE"/>
    <w:rsid w:val="00B256A8"/>
    <w:rsid w:val="00B500E5"/>
    <w:rsid w:val="00B51BB7"/>
    <w:rsid w:val="00BA39BB"/>
    <w:rsid w:val="00BA3B3D"/>
    <w:rsid w:val="00BB7EEA"/>
    <w:rsid w:val="00BC5B3C"/>
    <w:rsid w:val="00BD1909"/>
    <w:rsid w:val="00BE5E16"/>
    <w:rsid w:val="00BE5FD1"/>
    <w:rsid w:val="00C06E05"/>
    <w:rsid w:val="00C14B14"/>
    <w:rsid w:val="00C17370"/>
    <w:rsid w:val="00C2054D"/>
    <w:rsid w:val="00C218CD"/>
    <w:rsid w:val="00C22708"/>
    <w:rsid w:val="00C252EB"/>
    <w:rsid w:val="00C26EC0"/>
    <w:rsid w:val="00C4116F"/>
    <w:rsid w:val="00C56C77"/>
    <w:rsid w:val="00C84923"/>
    <w:rsid w:val="00C96AC1"/>
    <w:rsid w:val="00CA7A50"/>
    <w:rsid w:val="00CB7B3E"/>
    <w:rsid w:val="00CC739D"/>
    <w:rsid w:val="00CD13AC"/>
    <w:rsid w:val="00D04468"/>
    <w:rsid w:val="00D20768"/>
    <w:rsid w:val="00D36257"/>
    <w:rsid w:val="00D410AD"/>
    <w:rsid w:val="00D4687E"/>
    <w:rsid w:val="00D475CC"/>
    <w:rsid w:val="00D53A12"/>
    <w:rsid w:val="00D777F2"/>
    <w:rsid w:val="00D87E2A"/>
    <w:rsid w:val="00DB0C43"/>
    <w:rsid w:val="00DD7BCD"/>
    <w:rsid w:val="00DE3354"/>
    <w:rsid w:val="00DF7DCD"/>
    <w:rsid w:val="00E30BB7"/>
    <w:rsid w:val="00E42C20"/>
    <w:rsid w:val="00E50B7D"/>
    <w:rsid w:val="00E80B57"/>
    <w:rsid w:val="00E904A1"/>
    <w:rsid w:val="00EB7299"/>
    <w:rsid w:val="00EB7D28"/>
    <w:rsid w:val="00EC0D0C"/>
    <w:rsid w:val="00ED4A2C"/>
    <w:rsid w:val="00EF1B03"/>
    <w:rsid w:val="00EF6940"/>
    <w:rsid w:val="00F2044A"/>
    <w:rsid w:val="00F20BFC"/>
    <w:rsid w:val="00F2235F"/>
    <w:rsid w:val="00F24D5F"/>
    <w:rsid w:val="00F726C3"/>
    <w:rsid w:val="00F820CA"/>
    <w:rsid w:val="00F84632"/>
    <w:rsid w:val="00F8554C"/>
    <w:rsid w:val="00F95F82"/>
    <w:rsid w:val="00F97A90"/>
    <w:rsid w:val="00FA47AB"/>
    <w:rsid w:val="00FB54CF"/>
    <w:rsid w:val="00FC2F35"/>
    <w:rsid w:val="00FC3FD7"/>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paragraph" w:customStyle="1" w:styleId="A09par">
    <w:name w:val="A09par"/>
    <w:basedOn w:val="Normal"/>
    <w:rsid w:val="006B22CD"/>
    <w:pPr>
      <w:spacing w:before="120"/>
      <w:jc w:val="both"/>
    </w:pPr>
    <w:rPr>
      <w:rFonts w:ascii="Arial Narrow" w:eastAsia="MS Mincho" w:hAnsi="Arial Narrow"/>
      <w:sz w:val="22"/>
    </w:rPr>
  </w:style>
  <w:style w:type="character" w:styleId="PlaceholderText">
    <w:name w:val="Placeholder Text"/>
    <w:basedOn w:val="DefaultParagraphFont"/>
    <w:uiPriority w:val="99"/>
    <w:semiHidden/>
    <w:rsid w:val="00C227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4.jpeg"/><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2.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97ED27-AAD2-43E1-AA38-35C328735191}">
  <ds:schemaRefs>
    <ds:schemaRef ds:uri="http://schemas.openxmlformats.org/officeDocument/2006/bibliography"/>
  </ds:schemaRefs>
</ds:datastoreItem>
</file>

<file path=customXml/itemProps4.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86</TotalTime>
  <Pages>10</Pages>
  <Words>12362</Words>
  <Characters>70466</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82663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Ayu Jati Puspitasari</cp:lastModifiedBy>
  <cp:revision>10</cp:revision>
  <cp:lastPrinted>2011-03-03T08:29:00Z</cp:lastPrinted>
  <dcterms:created xsi:type="dcterms:W3CDTF">2021-09-18T11:39:00Z</dcterms:created>
  <dcterms:modified xsi:type="dcterms:W3CDTF">2021-10-03T10:49:00Z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c66aac78-f4bc-341b-b2c5-fd2c41509209</vt:lpwstr>
  </property>
  <property fmtid="{D5CDD505-2E9C-101B-9397-08002B2CF9AE}" pid="25" name="Mendeley Citation Style_1">
    <vt:lpwstr>http://www.zotero.org/styles/ieee</vt:lpwstr>
  </property>
</Properties>
</file>