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815EA" w14:textId="2972A3EA" w:rsidR="0016385D" w:rsidRPr="00075EA6" w:rsidRDefault="002A1F66" w:rsidP="00090674">
      <w:pPr>
        <w:pStyle w:val="PaperTitle"/>
        <w:rPr>
          <w:b w:val="0"/>
          <w:bCs/>
          <w:sz w:val="24"/>
          <w:szCs w:val="24"/>
        </w:rPr>
      </w:pPr>
      <w:r>
        <w:t>The Analysis of Liquefaction Potential in Balaroa Area, Palu City, Central Sulawesi</w:t>
      </w:r>
      <w:r w:rsidR="00BE5FD1" w:rsidRPr="002B5648">
        <w:t xml:space="preserve"> </w:t>
      </w:r>
    </w:p>
    <w:p w14:paraId="548D96A3" w14:textId="3C4A1C71" w:rsidR="00C14B14" w:rsidRDefault="002A1F66" w:rsidP="002A1F66">
      <w:pPr>
        <w:pStyle w:val="AuthorName"/>
        <w:spacing w:after="0"/>
        <w:rPr>
          <w:sz w:val="20"/>
          <w:lang w:val="en-GB" w:eastAsia="en-GB"/>
        </w:rPr>
      </w:pPr>
      <w:r>
        <w:t>S</w:t>
      </w:r>
      <w:r w:rsidR="00C25663">
        <w:t xml:space="preserve">uci </w:t>
      </w:r>
      <w:r>
        <w:t>A</w:t>
      </w:r>
      <w:r w:rsidR="00C25663">
        <w:t>malia</w:t>
      </w:r>
      <w:r>
        <w:t xml:space="preserve"> Namira</w:t>
      </w:r>
      <w:r w:rsidR="00EF6940" w:rsidRPr="2F830975">
        <w:rPr>
          <w:vertAlign w:val="superscript"/>
        </w:rPr>
        <w:t>1,</w:t>
      </w:r>
      <w:r w:rsidR="003A5C85" w:rsidRPr="2F830975">
        <w:rPr>
          <w:vertAlign w:val="superscript"/>
        </w:rPr>
        <w:t xml:space="preserve"> </w:t>
      </w:r>
      <w:r w:rsidR="00EF6940" w:rsidRPr="2F830975">
        <w:rPr>
          <w:vertAlign w:val="superscript"/>
        </w:rPr>
        <w:t>a)</w:t>
      </w:r>
      <w:r>
        <w:t>, T</w:t>
      </w:r>
      <w:r w:rsidR="00C25663">
        <w:t xml:space="preserve">euku </w:t>
      </w:r>
      <w:r>
        <w:t>F</w:t>
      </w:r>
      <w:r w:rsidR="00C25663">
        <w:t>aisal</w:t>
      </w:r>
      <w:r>
        <w:t xml:space="preserve"> Fathani</w:t>
      </w:r>
      <w:r>
        <w:rPr>
          <w:vertAlign w:val="superscript"/>
        </w:rPr>
        <w:t>1</w:t>
      </w:r>
      <w:r>
        <w:t xml:space="preserve"> &amp; A</w:t>
      </w:r>
      <w:r w:rsidR="00C25663">
        <w:t xml:space="preserve">gus </w:t>
      </w:r>
      <w:r>
        <w:t>D</w:t>
      </w:r>
      <w:r w:rsidR="00C25663">
        <w:t>armawan</w:t>
      </w:r>
      <w:r w:rsidR="00FF4457">
        <w:t xml:space="preserve"> </w:t>
      </w:r>
      <w:r>
        <w:t>Adi</w:t>
      </w:r>
      <w:r>
        <w:rPr>
          <w:vertAlign w:val="superscript"/>
        </w:rPr>
        <w:t>1</w:t>
      </w:r>
    </w:p>
    <w:p w14:paraId="5E05E235" w14:textId="23C06C15" w:rsidR="003A5C85" w:rsidRPr="00075EA6" w:rsidRDefault="00027428" w:rsidP="002A1F66">
      <w:pPr>
        <w:pStyle w:val="AuthorAffiliation"/>
      </w:pPr>
      <w:r w:rsidRPr="00075EA6">
        <w:rPr>
          <w:i w:val="0"/>
          <w:iCs/>
          <w:vertAlign w:val="superscript"/>
        </w:rPr>
        <w:t>1</w:t>
      </w:r>
      <w:r w:rsidR="002A1F66">
        <w:t xml:space="preserve">Department of Civil and Environmental Engineering, </w:t>
      </w:r>
      <w:r w:rsidR="003F0F00">
        <w:t xml:space="preserve">Universitas </w:t>
      </w:r>
      <w:r w:rsidR="002A1F66">
        <w:t>Gadjah Mada, Yogyakarta</w:t>
      </w:r>
      <w:r w:rsidR="0016385D" w:rsidRPr="00075EA6">
        <w:t xml:space="preserve"> </w:t>
      </w:r>
      <w:r w:rsidR="00ED4A2C" w:rsidRPr="00075EA6">
        <w:br/>
      </w:r>
      <w:r w:rsidR="00003D7C" w:rsidRPr="00075EA6">
        <w:rPr>
          <w:szCs w:val="28"/>
          <w:vertAlign w:val="superscript"/>
        </w:rPr>
        <w:t>a)</w:t>
      </w:r>
      <w:r w:rsidR="00003D7C" w:rsidRPr="00075EA6">
        <w:t xml:space="preserve"> Corresponding</w:t>
      </w:r>
      <w:r w:rsidR="004E3CB2" w:rsidRPr="00075EA6">
        <w:t xml:space="preserve"> author: </w:t>
      </w:r>
      <w:r w:rsidR="002A1F66">
        <w:t>suci.a.n@mail.ugm.ac.id</w:t>
      </w:r>
    </w:p>
    <w:p w14:paraId="22C3F2A8" w14:textId="6654BD9B" w:rsidR="0016385D" w:rsidRPr="00075EA6" w:rsidRDefault="002A1F66" w:rsidP="002A1F66">
      <w:pPr>
        <w:pStyle w:val="Abstract"/>
        <w:ind w:left="0" w:right="4"/>
      </w:pPr>
      <w:r w:rsidRPr="00075EA6">
        <w:rPr>
          <w:b/>
          <w:bCs/>
        </w:rPr>
        <w:t>Abstract.</w:t>
      </w:r>
      <w:r w:rsidRPr="00075EA6">
        <w:t xml:space="preserve"> </w:t>
      </w:r>
      <w:r w:rsidR="00311555" w:rsidRPr="00D81278">
        <w:t>On September 28, 2018, Mw 7.</w:t>
      </w:r>
      <w:r w:rsidR="00311555">
        <w:t>5</w:t>
      </w:r>
      <w:r w:rsidR="00311555" w:rsidRPr="00D81278">
        <w:t xml:space="preserve"> earthquake in Central Sulawesi caused </w:t>
      </w:r>
      <w:r w:rsidR="00311555" w:rsidRPr="002464A8">
        <w:t>the shift that occurred in the Palu Koro fault</w:t>
      </w:r>
      <w:r w:rsidR="00311555" w:rsidRPr="00D81278">
        <w:t xml:space="preserve"> triggered several disasters. </w:t>
      </w:r>
      <w:r w:rsidR="00311555">
        <w:t>It</w:t>
      </w:r>
      <w:r w:rsidR="00311555" w:rsidRPr="00D81278">
        <w:t xml:space="preserve"> includes tsunamis </w:t>
      </w:r>
      <w:r w:rsidR="00311555">
        <w:t>on</w:t>
      </w:r>
      <w:r w:rsidR="00311555" w:rsidRPr="00D81278">
        <w:t xml:space="preserve"> </w:t>
      </w:r>
      <w:r w:rsidR="002B71D3">
        <w:t xml:space="preserve">the coast of </w:t>
      </w:r>
      <w:r w:rsidR="00311555" w:rsidRPr="00D81278">
        <w:t xml:space="preserve">Palu City and liquefaction in several areas including </w:t>
      </w:r>
      <w:r w:rsidR="00311555">
        <w:t>Petobo, Balaroa, and Jono Oge Village</w:t>
      </w:r>
      <w:r w:rsidR="00311555" w:rsidRPr="00D81278">
        <w:t>. The liquefaction phenomenon is the loss of soil strength during earthquake higher than 0.1 g which generally occurs in loose sandy soil with high groundwater levels. This study aims to determine the liquefaction potential in Balaroa, Palu City, Central Sulawesi. The analysis of liquefaction potential was carried out using the Settle3 software with N-SPT (Standard Penetration Test) and PGA (peak ground acceleration) data of 0.33 g. Each analysis produced a safety factor value based on the review point. Furthermore, the Liquefaction Potential Index (LPI) as well as Liquefaction Severity Index (LSI) were calculated. Based on the analysis carried out through two review points of the soil test, the results of this study showed that the drilling point of BH 01 (at the top part of the area) had liquefaction potential with high damage potential. Meanwhile, the drilling point of BH 02 (at the un-liquified area) had liquefaction potential</w:t>
      </w:r>
      <w:r w:rsidR="00311555">
        <w:t>.</w:t>
      </w:r>
    </w:p>
    <w:p w14:paraId="75AAF495" w14:textId="449C729B" w:rsidR="002A1F66" w:rsidRPr="00000814" w:rsidRDefault="002A1F66" w:rsidP="00000814">
      <w:pPr>
        <w:pStyle w:val="Heading1"/>
      </w:pPr>
      <w:r w:rsidRPr="00000814">
        <w:t>INTRODUCTION</w:t>
      </w:r>
    </w:p>
    <w:p w14:paraId="04F6A57B" w14:textId="56ACA57C" w:rsidR="00FB27A7" w:rsidRDefault="00FB27A7" w:rsidP="00D41B71">
      <w:pPr>
        <w:pStyle w:val="Paragraph"/>
      </w:pPr>
      <w:r>
        <w:t xml:space="preserve">Central Sulawesi </w:t>
      </w:r>
      <w:r w:rsidR="00311555">
        <w:t>is an area traversed by the intersection of</w:t>
      </w:r>
      <w:r>
        <w:t xml:space="preserve"> three of the world's major tectonic plates, the Indo- Australian Plate, the Pacific Plate, and the Eurasian Plate. </w:t>
      </w:r>
      <w:r w:rsidR="00311555">
        <w:t>This makes the area vulnerable to natural disasters</w:t>
      </w:r>
      <w:r>
        <w:t xml:space="preserve">, especially </w:t>
      </w:r>
      <w:r w:rsidR="00311555">
        <w:t>the occurrence of a shift in the Palu Koro Fault caused by plate movement</w:t>
      </w:r>
      <w:r>
        <w:t>. This also caused a</w:t>
      </w:r>
      <w:r w:rsidR="00311555">
        <w:t xml:space="preserve">n earthquake on September 28, </w:t>
      </w:r>
      <w:proofErr w:type="gramStart"/>
      <w:r w:rsidR="00311555">
        <w:t>2018</w:t>
      </w:r>
      <w:proofErr w:type="gramEnd"/>
      <w:r w:rsidR="00311555">
        <w:t xml:space="preserve"> with a</w:t>
      </w:r>
      <w:r>
        <w:t xml:space="preserve"> 7.</w:t>
      </w:r>
      <w:r w:rsidR="00224402">
        <w:t>5</w:t>
      </w:r>
      <w:r>
        <w:t xml:space="preserve"> </w:t>
      </w:r>
      <w:r w:rsidR="00786C75">
        <w:t xml:space="preserve">magnitude </w:t>
      </w:r>
      <w:r w:rsidR="00311555">
        <w:t xml:space="preserve">which </w:t>
      </w:r>
      <w:r>
        <w:t>destroyed the coast of Palu Ba</w:t>
      </w:r>
      <w:r w:rsidR="00311555">
        <w:t>y</w:t>
      </w:r>
      <w:r>
        <w:t xml:space="preserve">. This earthquake also triggered a tsunami and liquefaction </w:t>
      </w:r>
      <w:r w:rsidRPr="00FB27A7">
        <w:t>causing severe damages and the death of approximately 2000 people. The earthquake triggered liquefaction in Palu City</w:t>
      </w:r>
      <w:r w:rsidR="00786C75">
        <w:t xml:space="preserve">, namely in </w:t>
      </w:r>
      <w:r w:rsidRPr="00FB27A7">
        <w:t>Balaroa, Petobo, Sibalaya, Jono Oge, and Lolu Village areas</w:t>
      </w:r>
      <w:r w:rsidR="00311555">
        <w:t xml:space="preserve"> </w:t>
      </w:r>
      <w:r w:rsidR="00F1377D">
        <w:t>[15]</w:t>
      </w:r>
      <w:r w:rsidRPr="00C402D2">
        <w:t>.</w:t>
      </w:r>
    </w:p>
    <w:p w14:paraId="1E033DE3" w14:textId="4F853C83" w:rsidR="00D41B71" w:rsidRPr="00FA3F18" w:rsidRDefault="00F1377D" w:rsidP="00D41B71">
      <w:pPr>
        <w:pStyle w:val="Paragraph"/>
      </w:pPr>
      <w:r>
        <w:t>[22]</w:t>
      </w:r>
      <w:r w:rsidR="002A1F66" w:rsidRPr="00FA3F18">
        <w:t xml:space="preserve"> carried out a study related to liquefaction potential in Palu City and </w:t>
      </w:r>
      <w:r w:rsidR="00786C75" w:rsidRPr="00FA3F18">
        <w:t xml:space="preserve">developed </w:t>
      </w:r>
      <w:r w:rsidR="002A1F66" w:rsidRPr="00FA3F18">
        <w:t xml:space="preserve">a liquefaction hazard map. </w:t>
      </w:r>
      <w:r w:rsidR="00786C75" w:rsidRPr="00FA3F18">
        <w:t xml:space="preserve">In </w:t>
      </w:r>
      <w:r w:rsidR="002A1F66" w:rsidRPr="00FA3F18">
        <w:t>the map, some places were categorized as liquefaction hazards with very high potential which was acceptable. However, based on the earthquake in Palu which resulted in liquefaction, it is the largest event in world history with infrastructure losses reaching 85% and causing many fatalities.</w:t>
      </w:r>
      <w:r w:rsidR="00D41B71" w:rsidRPr="00FA3F18">
        <w:t xml:space="preserve"> </w:t>
      </w:r>
      <w:r w:rsidR="002C313F" w:rsidRPr="00FA3F18">
        <w:t>Figure 1</w:t>
      </w:r>
      <w:r w:rsidR="00BE2968">
        <w:t xml:space="preserve"> </w:t>
      </w:r>
      <w:r w:rsidR="002C313F" w:rsidRPr="00BE2968">
        <w:t xml:space="preserve">shows a </w:t>
      </w:r>
      <w:proofErr w:type="gramStart"/>
      <w:r w:rsidR="002C313F" w:rsidRPr="00BE2968">
        <w:t>satellite photo</w:t>
      </w:r>
      <w:r w:rsidR="00BE2968" w:rsidRPr="00BE2968">
        <w:t>s</w:t>
      </w:r>
      <w:proofErr w:type="gramEnd"/>
      <w:r w:rsidR="00BE2968" w:rsidRPr="00BE2968">
        <w:t xml:space="preserve"> from </w:t>
      </w:r>
      <w:r w:rsidR="002C313F" w:rsidRPr="00BE2968">
        <w:t>Google Earth and some photo</w:t>
      </w:r>
      <w:r w:rsidR="00BE2968" w:rsidRPr="00BE2968">
        <w:t>s</w:t>
      </w:r>
      <w:r w:rsidR="002C313F" w:rsidRPr="00BE2968">
        <w:t xml:space="preserve"> of damage </w:t>
      </w:r>
      <w:r w:rsidR="00BE2968" w:rsidRPr="00BE2968">
        <w:t xml:space="preserve">the </w:t>
      </w:r>
      <w:r w:rsidR="002C313F" w:rsidRPr="00BE2968">
        <w:t>Balaroa</w:t>
      </w:r>
      <w:r w:rsidR="00BE2968" w:rsidRPr="00BE2968">
        <w:t xml:space="preserve"> area, Palu City</w:t>
      </w:r>
      <w:r w:rsidR="002C313F" w:rsidRPr="00BE2968">
        <w:t>.</w:t>
      </w:r>
      <w:r w:rsidR="00BE2968">
        <w:t xml:space="preserve"> The yellow arrow in the figure indicates the direction of the large ground flow that occurred from south-west to north-east.</w:t>
      </w:r>
      <w:r w:rsidR="002C313F" w:rsidRPr="00BE2968">
        <w:t xml:space="preserve"> </w:t>
      </w:r>
      <w:r w:rsidR="002C313F" w:rsidRPr="00AE35F5">
        <w:t xml:space="preserve">Large ground </w:t>
      </w:r>
      <w:r w:rsidR="00786C75" w:rsidRPr="00AE35F5">
        <w:t>settlements</w:t>
      </w:r>
      <w:r w:rsidR="002C313F" w:rsidRPr="00AE35F5">
        <w:t xml:space="preserve"> and large tension cracks appeared at the upper side of the flow and </w:t>
      </w:r>
      <w:r w:rsidR="00786C75" w:rsidRPr="00AE35F5">
        <w:t>collapsed</w:t>
      </w:r>
      <w:r w:rsidR="002C313F" w:rsidRPr="00AE35F5">
        <w:t xml:space="preserve"> houses were piled up and many houses were buried in the flowed soil at the lower side</w:t>
      </w:r>
      <w:r>
        <w:t xml:space="preserve"> [11]</w:t>
      </w:r>
    </w:p>
    <w:p w14:paraId="0767E0E4" w14:textId="5F2B23C0" w:rsidR="00432380" w:rsidRPr="00FA3F18" w:rsidRDefault="00F1377D" w:rsidP="00D41B71">
      <w:pPr>
        <w:pStyle w:val="Paragraph"/>
      </w:pPr>
      <w:r>
        <w:t>[14]</w:t>
      </w:r>
      <w:r w:rsidR="002C313F" w:rsidRPr="00FA3F18">
        <w:t xml:space="preserve"> identif</w:t>
      </w:r>
      <w:r w:rsidR="00786C75" w:rsidRPr="00FA3F18">
        <w:t>ied</w:t>
      </w:r>
      <w:r w:rsidR="002C313F" w:rsidRPr="00FA3F18">
        <w:t xml:space="preserve"> topographical conditions at the time of earthquake and liquefaction, the results of the resistivity test at lane 1 (Balaroa) show</w:t>
      </w:r>
      <w:r w:rsidR="00786C75" w:rsidRPr="00FA3F18">
        <w:t>ed</w:t>
      </w:r>
      <w:r w:rsidR="002C313F" w:rsidRPr="00FA3F18">
        <w:t xml:space="preserve"> the occurrence of the phenomenon of a distressed aquifer that </w:t>
      </w:r>
      <w:r w:rsidR="00786C75" w:rsidRPr="00FA3F18">
        <w:t>broke</w:t>
      </w:r>
      <w:r w:rsidR="002C313F" w:rsidRPr="00FA3F18">
        <w:t>, causing an increase in water content in the soil layers above. This phenomenon is one indicator causing the occurrence of liquefaction in Balaroa.</w:t>
      </w:r>
      <w:r w:rsidR="00432380" w:rsidRPr="00FA3F18">
        <w:t xml:space="preserve"> </w:t>
      </w:r>
    </w:p>
    <w:p w14:paraId="5E0C5391" w14:textId="39678F27" w:rsidR="00432380" w:rsidRPr="00FA3F18" w:rsidRDefault="00F1377D" w:rsidP="00D41B71">
      <w:pPr>
        <w:pStyle w:val="Paragraph"/>
      </w:pPr>
      <w:r>
        <w:t>[5]</w:t>
      </w:r>
      <w:r w:rsidR="00432380" w:rsidRPr="00FA3F18">
        <w:t xml:space="preserve"> explore</w:t>
      </w:r>
      <w:r w:rsidR="00786C75" w:rsidRPr="00FA3F18">
        <w:t>d</w:t>
      </w:r>
      <w:r w:rsidR="00432380" w:rsidRPr="00FA3F18">
        <w:t xml:space="preserve"> the causing factors of the massive mudflow</w:t>
      </w:r>
      <w:r w:rsidR="00D41B71" w:rsidRPr="00FA3F18">
        <w:t>,</w:t>
      </w:r>
      <w:r w:rsidR="00AE35F5">
        <w:t xml:space="preserve"> several areas including Balaroa, Petobo, and Jono Oge have high liquefaction potential in large-scale </w:t>
      </w:r>
      <w:r w:rsidR="00342586">
        <w:t>at a depth of 16 meters below the ground surface based on analysis using semi-empirical method.</w:t>
      </w:r>
      <w:r w:rsidR="00D41B71" w:rsidRPr="00FA3F18">
        <w:t xml:space="preserve"> </w:t>
      </w:r>
      <w:r w:rsidR="00314B75">
        <w:t xml:space="preserve">Liquefaction will turn soil into a massive amount of mud, this can happen if an area has a </w:t>
      </w:r>
      <w:r w:rsidR="002C313F" w:rsidRPr="00314B75">
        <w:t>loose soil grain with high water content</w:t>
      </w:r>
      <w:r w:rsidR="00314B75" w:rsidRPr="00525D19">
        <w:t xml:space="preserve">. </w:t>
      </w:r>
      <w:r w:rsidR="002C313F" w:rsidRPr="00525D19">
        <w:t xml:space="preserve">In addition, </w:t>
      </w:r>
      <w:r w:rsidR="00525D19" w:rsidRPr="00525D19">
        <w:t xml:space="preserve">other thing that can trigger the occurance of mudflows is a </w:t>
      </w:r>
      <w:r w:rsidR="002C313F" w:rsidRPr="00525D19">
        <w:t>ground slopes and ground vibration due to the earthquake</w:t>
      </w:r>
      <w:r w:rsidR="00525D19" w:rsidRPr="00525D19">
        <w:t xml:space="preserve">. </w:t>
      </w:r>
      <w:r w:rsidR="002C313F" w:rsidRPr="00525D19">
        <w:t>Also</w:t>
      </w:r>
      <w:r w:rsidR="002C313F" w:rsidRPr="00FA3F18">
        <w:t xml:space="preserve">, </w:t>
      </w:r>
      <w:r>
        <w:t>[3]</w:t>
      </w:r>
      <w:r w:rsidR="002C313F" w:rsidRPr="00FA3F18">
        <w:t xml:space="preserve"> conducted an analysis to determine the mechanism and level of geotechnical damage due to the earthquake in Palu City on September 28, </w:t>
      </w:r>
      <w:proofErr w:type="gramStart"/>
      <w:r w:rsidR="002C313F" w:rsidRPr="00FA3F18">
        <w:t>2018</w:t>
      </w:r>
      <w:proofErr w:type="gramEnd"/>
      <w:r w:rsidR="002C313F" w:rsidRPr="00FA3F18">
        <w:t xml:space="preserve"> using a Dynamic Cone Penetration Test (D</w:t>
      </w:r>
      <w:r w:rsidR="008E09F6">
        <w:t>-</w:t>
      </w:r>
      <w:r w:rsidR="002C313F" w:rsidRPr="00FA3F18">
        <w:t>CPT)</w:t>
      </w:r>
      <w:r w:rsidR="00786C75" w:rsidRPr="00FA3F18">
        <w:t>. T</w:t>
      </w:r>
      <w:r w:rsidR="002C313F" w:rsidRPr="00FA3F18">
        <w:t xml:space="preserve">he results showed that </w:t>
      </w:r>
      <w:r w:rsidR="00525D19">
        <w:t>in Petobo and Balaroa areas there some spots of freshwater imundation</w:t>
      </w:r>
      <w:r w:rsidR="00A3058C">
        <w:t xml:space="preserve"> even two weeks after the disaster</w:t>
      </w:r>
      <w:r w:rsidR="00525D19">
        <w:t xml:space="preserve">, and </w:t>
      </w:r>
      <w:r w:rsidR="002C313F" w:rsidRPr="00FA3F18">
        <w:t>the affected area</w:t>
      </w:r>
      <w:r w:rsidR="00525D19">
        <w:t xml:space="preserve"> had</w:t>
      </w:r>
      <w:r w:rsidR="002C313F" w:rsidRPr="00FA3F18">
        <w:t xml:space="preserve"> a loose</w:t>
      </w:r>
      <w:r w:rsidR="00525D19">
        <w:t xml:space="preserve"> soil</w:t>
      </w:r>
      <w:r w:rsidR="002C313F" w:rsidRPr="00FA3F18">
        <w:t xml:space="preserve"> compared to the non- affected areas.</w:t>
      </w:r>
      <w:r w:rsidR="00A3058C">
        <w:t xml:space="preserve"> </w:t>
      </w:r>
      <w:r w:rsidR="002A1F66" w:rsidRPr="00FA3F18">
        <w:t xml:space="preserve">In this study, an analysis of the liquefaction potential was </w:t>
      </w:r>
      <w:proofErr w:type="gramStart"/>
      <w:r w:rsidR="002A1F66" w:rsidRPr="00FA3F18">
        <w:t>carr</w:t>
      </w:r>
      <w:r w:rsidR="008E09F6">
        <w:t>y</w:t>
      </w:r>
      <w:proofErr w:type="gramEnd"/>
      <w:r w:rsidR="002A1F66" w:rsidRPr="00FA3F18">
        <w:t xml:space="preserve"> out based on </w:t>
      </w:r>
      <w:r w:rsidR="00786C75" w:rsidRPr="00FA3F18">
        <w:t xml:space="preserve">the </w:t>
      </w:r>
      <w:r w:rsidR="002A1F66" w:rsidRPr="00FA3F18">
        <w:t xml:space="preserve">Standard Penetration Test </w:t>
      </w:r>
      <w:r w:rsidR="002A1F66" w:rsidRPr="00FA3F18">
        <w:lastRenderedPageBreak/>
        <w:t>(SPT) data in the field using the Settle3 software. The results of the analysis are expected to be a reference in the spatial development of the area prone to liquefaction and its related impacts.</w:t>
      </w:r>
    </w:p>
    <w:p w14:paraId="396A34AD" w14:textId="2E374AF3" w:rsidR="00432380" w:rsidRDefault="00432380" w:rsidP="00D41B71">
      <w:pPr>
        <w:pStyle w:val="Paragraph"/>
        <w:ind w:firstLine="0"/>
        <w:jc w:val="center"/>
      </w:pPr>
      <w:r>
        <w:rPr>
          <w:noProof/>
        </w:rPr>
        <w:drawing>
          <wp:inline distT="0" distB="0" distL="0" distR="0" wp14:anchorId="00D59F4C" wp14:editId="396D37A0">
            <wp:extent cx="3902299" cy="2308860"/>
            <wp:effectExtent l="0" t="0" r="0" b="2540"/>
            <wp:docPr id="2" name="Picture 2" descr="A picture containing text, different,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fferent, crow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0430" cy="2325504"/>
                    </a:xfrm>
                    <a:prstGeom prst="rect">
                      <a:avLst/>
                    </a:prstGeom>
                  </pic:spPr>
                </pic:pic>
              </a:graphicData>
            </a:graphic>
          </wp:inline>
        </w:drawing>
      </w:r>
    </w:p>
    <w:p w14:paraId="3AA91E5A" w14:textId="72CE84CE" w:rsidR="00D41B71" w:rsidRPr="00D41B71" w:rsidRDefault="00D41B71" w:rsidP="00D41B71">
      <w:pPr>
        <w:pStyle w:val="FigureCaption"/>
        <w:rPr>
          <w:sz w:val="24"/>
        </w:rPr>
      </w:pPr>
      <w:r>
        <w:rPr>
          <w:b/>
          <w:bCs/>
        </w:rPr>
        <w:t>FIGURE 1</w:t>
      </w:r>
      <w:r w:rsidRPr="00D81278">
        <w:t xml:space="preserve">. </w:t>
      </w:r>
      <w:r>
        <w:t xml:space="preserve">Satellite photo by Google Earth and some photos of damage in Balaroa district in Palu city </w:t>
      </w:r>
      <w:r w:rsidR="00F1377D">
        <w:t>[11]</w:t>
      </w:r>
    </w:p>
    <w:p w14:paraId="73149A50" w14:textId="1E71084E" w:rsidR="002A1F66" w:rsidRPr="00000814" w:rsidRDefault="00C30BFF" w:rsidP="00000814">
      <w:pPr>
        <w:pStyle w:val="Heading1"/>
      </w:pPr>
      <w:r w:rsidRPr="00000814">
        <w:t>RESEARCH METHODS</w:t>
      </w:r>
    </w:p>
    <w:p w14:paraId="42E39EBF" w14:textId="07BEAF42" w:rsidR="00000814" w:rsidRDefault="00C30BFF" w:rsidP="00013880">
      <w:pPr>
        <w:pStyle w:val="Paragraph"/>
      </w:pPr>
      <w:r w:rsidRPr="00C30BFF">
        <w:t>The Mw 7.5 earthquake in Palu City, Central Sulawesi triggered another disaster, namely liquefaction at several points of the City, which led to the change in the soil properties of the affected area. This study was carried</w:t>
      </w:r>
      <w:r w:rsidR="00786C75">
        <w:t xml:space="preserve"> out</w:t>
      </w:r>
      <w:r w:rsidRPr="00C30BFF">
        <w:t xml:space="preserve"> using the Settle3 software to analyze an earthquake with a magnitude of 7.5</w:t>
      </w:r>
      <w:r w:rsidR="00786C75">
        <w:t xml:space="preserve"> Mw</w:t>
      </w:r>
      <w:r w:rsidRPr="00C30BFF">
        <w:t xml:space="preserve">. The liquefaction potential was analyzed using the Liquefaction Potential Index (LPI) and </w:t>
      </w:r>
      <w:r w:rsidR="00786C75">
        <w:t xml:space="preserve">the </w:t>
      </w:r>
      <w:r w:rsidRPr="00C30BFF">
        <w:t xml:space="preserve">Liquefaction Severity Index (LSI) methods. </w:t>
      </w:r>
    </w:p>
    <w:p w14:paraId="33E43519" w14:textId="64250314" w:rsidR="00000814" w:rsidRPr="00BF02A4" w:rsidRDefault="00BF02A4" w:rsidP="00BF02A4">
      <w:pPr>
        <w:pStyle w:val="Heading2"/>
      </w:pPr>
      <w:r w:rsidRPr="00BF02A4">
        <w:t>Data Collection</w:t>
      </w:r>
    </w:p>
    <w:p w14:paraId="408625EE" w14:textId="0177365A" w:rsidR="00000814" w:rsidRDefault="00000814" w:rsidP="00916995">
      <w:pPr>
        <w:pStyle w:val="Paragraph"/>
      </w:pPr>
      <w:r w:rsidRPr="00000814">
        <w:t xml:space="preserve">The data obtained was soil investigation in the form of the SPT test results and laboratory testing carried out in Balaroa Village, Palu City, Central Sulawesi. The earthquake data used in the analysis had a magnitude of 7.5 Mw </w:t>
      </w:r>
      <w:r w:rsidR="00786C75">
        <w:t>and</w:t>
      </w:r>
      <w:r w:rsidR="00786C75" w:rsidRPr="00000814">
        <w:t xml:space="preserve"> </w:t>
      </w:r>
      <w:r w:rsidRPr="00000814">
        <w:t>peak ground acceleration in the study area is 0.33 g. Furthermore, the SPT test results at the review points are shown in Table 1. BH 01 is located at the top part of the liquefaction area, whereas BH 02 is located at the north-side of the area and remain</w:t>
      </w:r>
      <w:r w:rsidR="00786C75">
        <w:t>ed</w:t>
      </w:r>
      <w:r w:rsidRPr="00000814">
        <w:t xml:space="preserve"> un-liquified during the 2018 earthquake.</w:t>
      </w:r>
      <w:r w:rsidR="00013880">
        <w:t xml:space="preserve"> </w:t>
      </w:r>
    </w:p>
    <w:p w14:paraId="6869AE36" w14:textId="30E0F2B2" w:rsidR="00000814" w:rsidRPr="00D81278" w:rsidRDefault="00000814" w:rsidP="00916995">
      <w:pPr>
        <w:pStyle w:val="TableCaption"/>
      </w:pPr>
      <w:r w:rsidRPr="00D81278">
        <w:rPr>
          <w:b/>
          <w:bCs/>
        </w:rPr>
        <w:t>T</w:t>
      </w:r>
      <w:r w:rsidR="00C25663">
        <w:rPr>
          <w:b/>
          <w:bCs/>
        </w:rPr>
        <w:t>ABLE</w:t>
      </w:r>
      <w:r w:rsidRPr="00D81278">
        <w:rPr>
          <w:b/>
          <w:bCs/>
        </w:rPr>
        <w:t xml:space="preserve"> 1</w:t>
      </w:r>
      <w:r w:rsidRPr="00D81278">
        <w:t>. SPT</w:t>
      </w:r>
      <w:r>
        <w:t xml:space="preserve"> test </w:t>
      </w:r>
      <w:r w:rsidRPr="00D81278">
        <w:t xml:space="preserve">results of BH 01 and BH 02 point </w:t>
      </w:r>
    </w:p>
    <w:tbl>
      <w:tblPr>
        <w:tblW w:w="3310" w:type="pct"/>
        <w:jc w:val="center"/>
        <w:tblBorders>
          <w:top w:val="single" w:sz="4" w:space="0" w:color="auto"/>
          <w:bottom w:val="single" w:sz="4" w:space="0" w:color="auto"/>
        </w:tblBorders>
        <w:tblLook w:val="04A0" w:firstRow="1" w:lastRow="0" w:firstColumn="1" w:lastColumn="0" w:noHBand="0" w:noVBand="1"/>
      </w:tblPr>
      <w:tblGrid>
        <w:gridCol w:w="963"/>
        <w:gridCol w:w="967"/>
        <w:gridCol w:w="1650"/>
        <w:gridCol w:w="959"/>
        <w:gridCol w:w="1651"/>
      </w:tblGrid>
      <w:tr w:rsidR="00000814" w:rsidRPr="00916995" w14:paraId="149235E2" w14:textId="77777777" w:rsidTr="00F1377D">
        <w:trPr>
          <w:trHeight w:val="20"/>
          <w:jc w:val="center"/>
        </w:trPr>
        <w:tc>
          <w:tcPr>
            <w:tcW w:w="777" w:type="pct"/>
            <w:tcBorders>
              <w:top w:val="single" w:sz="4" w:space="0" w:color="auto"/>
              <w:left w:val="single" w:sz="4" w:space="0" w:color="000000"/>
              <w:bottom w:val="single" w:sz="4" w:space="0" w:color="auto"/>
              <w:right w:val="single" w:sz="4" w:space="0" w:color="000000"/>
            </w:tcBorders>
            <w:shd w:val="clear" w:color="auto" w:fill="auto"/>
            <w:noWrap/>
            <w:vAlign w:val="center"/>
          </w:tcPr>
          <w:p w14:paraId="394D322C" w14:textId="77777777" w:rsidR="00000814" w:rsidRPr="00916995" w:rsidRDefault="00000814" w:rsidP="00786C75">
            <w:pPr>
              <w:jc w:val="center"/>
              <w:rPr>
                <w:b/>
                <w:bCs/>
                <w:i/>
                <w:iCs/>
                <w:color w:val="000000"/>
                <w:sz w:val="18"/>
                <w:szCs w:val="18"/>
              </w:rPr>
            </w:pPr>
          </w:p>
        </w:tc>
        <w:tc>
          <w:tcPr>
            <w:tcW w:w="2114" w:type="pct"/>
            <w:gridSpan w:val="2"/>
            <w:tcBorders>
              <w:top w:val="single" w:sz="4" w:space="0" w:color="auto"/>
              <w:left w:val="single" w:sz="4" w:space="0" w:color="000000"/>
              <w:bottom w:val="single" w:sz="4" w:space="0" w:color="auto"/>
              <w:right w:val="single" w:sz="4" w:space="0" w:color="000000"/>
            </w:tcBorders>
            <w:shd w:val="clear" w:color="auto" w:fill="auto"/>
            <w:noWrap/>
            <w:vAlign w:val="center"/>
          </w:tcPr>
          <w:p w14:paraId="618A92AE" w14:textId="77777777" w:rsidR="00000814" w:rsidRPr="00916995" w:rsidRDefault="00000814" w:rsidP="00786C75">
            <w:pPr>
              <w:jc w:val="center"/>
              <w:rPr>
                <w:b/>
                <w:bCs/>
                <w:color w:val="000000"/>
                <w:sz w:val="18"/>
                <w:szCs w:val="18"/>
              </w:rPr>
            </w:pPr>
            <w:r w:rsidRPr="00916995">
              <w:rPr>
                <w:b/>
                <w:bCs/>
                <w:color w:val="000000"/>
                <w:sz w:val="18"/>
                <w:szCs w:val="18"/>
              </w:rPr>
              <w:t>BH 01</w:t>
            </w:r>
          </w:p>
        </w:tc>
        <w:tc>
          <w:tcPr>
            <w:tcW w:w="2109" w:type="pct"/>
            <w:gridSpan w:val="2"/>
            <w:tcBorders>
              <w:top w:val="single" w:sz="4" w:space="0" w:color="auto"/>
              <w:left w:val="single" w:sz="4" w:space="0" w:color="000000"/>
              <w:bottom w:val="single" w:sz="4" w:space="0" w:color="auto"/>
              <w:right w:val="single" w:sz="4" w:space="0" w:color="000000"/>
            </w:tcBorders>
          </w:tcPr>
          <w:p w14:paraId="1C2A0F1B" w14:textId="77777777" w:rsidR="00000814" w:rsidRPr="00916995" w:rsidRDefault="00000814" w:rsidP="00786C75">
            <w:pPr>
              <w:jc w:val="center"/>
              <w:rPr>
                <w:b/>
                <w:bCs/>
                <w:color w:val="000000"/>
                <w:sz w:val="18"/>
                <w:szCs w:val="18"/>
              </w:rPr>
            </w:pPr>
            <w:r w:rsidRPr="00916995">
              <w:rPr>
                <w:b/>
                <w:bCs/>
                <w:color w:val="000000"/>
                <w:sz w:val="18"/>
                <w:szCs w:val="18"/>
              </w:rPr>
              <w:t>BH 02</w:t>
            </w:r>
          </w:p>
        </w:tc>
      </w:tr>
      <w:tr w:rsidR="00000814" w:rsidRPr="00916995" w14:paraId="56C928A8" w14:textId="77777777" w:rsidTr="00F1377D">
        <w:trPr>
          <w:trHeight w:val="20"/>
          <w:jc w:val="center"/>
        </w:trPr>
        <w:tc>
          <w:tcPr>
            <w:tcW w:w="777" w:type="pct"/>
            <w:tcBorders>
              <w:top w:val="single" w:sz="4" w:space="0" w:color="auto"/>
              <w:left w:val="single" w:sz="4" w:space="0" w:color="000000"/>
              <w:bottom w:val="single" w:sz="4" w:space="0" w:color="auto"/>
              <w:right w:val="single" w:sz="4" w:space="0" w:color="000000"/>
            </w:tcBorders>
            <w:shd w:val="clear" w:color="auto" w:fill="auto"/>
            <w:noWrap/>
            <w:vAlign w:val="center"/>
          </w:tcPr>
          <w:p w14:paraId="4829E5FC" w14:textId="77777777" w:rsidR="00000814" w:rsidRPr="00916995" w:rsidRDefault="00000814" w:rsidP="00786C75">
            <w:pPr>
              <w:jc w:val="center"/>
              <w:rPr>
                <w:b/>
                <w:bCs/>
                <w:i/>
                <w:iCs/>
                <w:color w:val="000000"/>
                <w:sz w:val="18"/>
                <w:szCs w:val="18"/>
              </w:rPr>
            </w:pPr>
            <w:r w:rsidRPr="00916995">
              <w:rPr>
                <w:b/>
                <w:bCs/>
                <w:i/>
                <w:iCs/>
                <w:color w:val="000000"/>
                <w:sz w:val="18"/>
                <w:szCs w:val="18"/>
              </w:rPr>
              <w:t xml:space="preserve">z </w:t>
            </w:r>
            <w:r w:rsidRPr="00916995">
              <w:rPr>
                <w:b/>
                <w:bCs/>
                <w:color w:val="000000"/>
                <w:sz w:val="18"/>
                <w:szCs w:val="18"/>
              </w:rPr>
              <w:t>(m)</w:t>
            </w:r>
          </w:p>
        </w:tc>
        <w:tc>
          <w:tcPr>
            <w:tcW w:w="781" w:type="pct"/>
            <w:tcBorders>
              <w:top w:val="single" w:sz="4" w:space="0" w:color="auto"/>
              <w:left w:val="single" w:sz="4" w:space="0" w:color="000000"/>
              <w:bottom w:val="single" w:sz="4" w:space="0" w:color="auto"/>
              <w:right w:val="single" w:sz="4" w:space="0" w:color="000000"/>
            </w:tcBorders>
            <w:shd w:val="clear" w:color="auto" w:fill="auto"/>
            <w:noWrap/>
            <w:vAlign w:val="center"/>
          </w:tcPr>
          <w:p w14:paraId="0A68C7F2" w14:textId="77777777" w:rsidR="00000814" w:rsidRPr="00916995" w:rsidRDefault="00000814" w:rsidP="00786C75">
            <w:pPr>
              <w:jc w:val="center"/>
              <w:rPr>
                <w:b/>
                <w:bCs/>
                <w:i/>
                <w:iCs/>
                <w:color w:val="000000"/>
                <w:sz w:val="18"/>
                <w:szCs w:val="18"/>
              </w:rPr>
            </w:pPr>
            <w:r w:rsidRPr="00916995">
              <w:rPr>
                <w:b/>
                <w:bCs/>
                <w:i/>
                <w:iCs/>
                <w:color w:val="000000"/>
                <w:sz w:val="18"/>
                <w:szCs w:val="18"/>
              </w:rPr>
              <w:t>N-SPT</w:t>
            </w:r>
          </w:p>
        </w:tc>
        <w:tc>
          <w:tcPr>
            <w:tcW w:w="1333" w:type="pct"/>
            <w:tcBorders>
              <w:top w:val="single" w:sz="4" w:space="0" w:color="auto"/>
              <w:left w:val="single" w:sz="4" w:space="0" w:color="000000"/>
              <w:bottom w:val="single" w:sz="4" w:space="0" w:color="auto"/>
              <w:right w:val="single" w:sz="4" w:space="0" w:color="000000"/>
            </w:tcBorders>
            <w:shd w:val="clear" w:color="auto" w:fill="auto"/>
            <w:noWrap/>
            <w:vAlign w:val="center"/>
          </w:tcPr>
          <w:p w14:paraId="70CB48C2" w14:textId="77777777" w:rsidR="00000814" w:rsidRPr="00916995" w:rsidRDefault="00000814" w:rsidP="00786C75">
            <w:pPr>
              <w:rPr>
                <w:b/>
                <w:bCs/>
                <w:color w:val="000000"/>
                <w:sz w:val="18"/>
                <w:szCs w:val="18"/>
              </w:rPr>
            </w:pPr>
            <w:r w:rsidRPr="00916995">
              <w:rPr>
                <w:b/>
                <w:bCs/>
                <w:color w:val="000000"/>
                <w:sz w:val="18"/>
                <w:szCs w:val="18"/>
              </w:rPr>
              <w:t>Soil type</w:t>
            </w:r>
          </w:p>
        </w:tc>
        <w:tc>
          <w:tcPr>
            <w:tcW w:w="775" w:type="pct"/>
            <w:tcBorders>
              <w:top w:val="single" w:sz="4" w:space="0" w:color="auto"/>
              <w:left w:val="single" w:sz="4" w:space="0" w:color="000000"/>
              <w:bottom w:val="single" w:sz="4" w:space="0" w:color="auto"/>
              <w:right w:val="single" w:sz="4" w:space="0" w:color="000000"/>
            </w:tcBorders>
            <w:vAlign w:val="center"/>
          </w:tcPr>
          <w:p w14:paraId="41B31D02" w14:textId="77777777" w:rsidR="00000814" w:rsidRPr="00916995" w:rsidRDefault="00000814" w:rsidP="00786C75">
            <w:pPr>
              <w:jc w:val="center"/>
              <w:rPr>
                <w:b/>
                <w:bCs/>
                <w:color w:val="000000"/>
                <w:sz w:val="18"/>
                <w:szCs w:val="18"/>
              </w:rPr>
            </w:pPr>
            <w:r w:rsidRPr="00916995">
              <w:rPr>
                <w:b/>
                <w:bCs/>
                <w:i/>
                <w:iCs/>
                <w:color w:val="000000"/>
                <w:sz w:val="18"/>
                <w:szCs w:val="18"/>
              </w:rPr>
              <w:t>N-SPT</w:t>
            </w:r>
          </w:p>
        </w:tc>
        <w:tc>
          <w:tcPr>
            <w:tcW w:w="1334" w:type="pct"/>
            <w:tcBorders>
              <w:top w:val="single" w:sz="4" w:space="0" w:color="auto"/>
              <w:left w:val="single" w:sz="4" w:space="0" w:color="000000"/>
              <w:bottom w:val="single" w:sz="4" w:space="0" w:color="auto"/>
              <w:right w:val="single" w:sz="4" w:space="0" w:color="000000"/>
            </w:tcBorders>
            <w:vAlign w:val="center"/>
          </w:tcPr>
          <w:p w14:paraId="0F6CAA2D" w14:textId="77777777" w:rsidR="00000814" w:rsidRPr="00916995" w:rsidRDefault="00000814" w:rsidP="00786C75">
            <w:pPr>
              <w:jc w:val="center"/>
              <w:rPr>
                <w:b/>
                <w:bCs/>
                <w:color w:val="000000"/>
                <w:sz w:val="18"/>
                <w:szCs w:val="18"/>
              </w:rPr>
            </w:pPr>
            <w:r w:rsidRPr="00916995">
              <w:rPr>
                <w:b/>
                <w:bCs/>
                <w:color w:val="000000"/>
                <w:sz w:val="18"/>
                <w:szCs w:val="18"/>
              </w:rPr>
              <w:t>Soil type</w:t>
            </w:r>
          </w:p>
        </w:tc>
      </w:tr>
      <w:tr w:rsidR="00000814" w:rsidRPr="00916995" w14:paraId="0D1FB0D7" w14:textId="77777777" w:rsidTr="00F1377D">
        <w:trPr>
          <w:trHeight w:val="20"/>
          <w:jc w:val="center"/>
        </w:trPr>
        <w:tc>
          <w:tcPr>
            <w:tcW w:w="777" w:type="pct"/>
            <w:tcBorders>
              <w:top w:val="single" w:sz="4" w:space="0" w:color="auto"/>
              <w:left w:val="single" w:sz="4" w:space="0" w:color="000000"/>
              <w:right w:val="single" w:sz="4" w:space="0" w:color="000000"/>
            </w:tcBorders>
            <w:shd w:val="clear" w:color="auto" w:fill="auto"/>
            <w:noWrap/>
            <w:vAlign w:val="center"/>
          </w:tcPr>
          <w:p w14:paraId="7E29AA97" w14:textId="77777777" w:rsidR="00000814" w:rsidRPr="00916995" w:rsidRDefault="00000814" w:rsidP="00786C75">
            <w:pPr>
              <w:jc w:val="center"/>
              <w:rPr>
                <w:color w:val="000000"/>
                <w:sz w:val="18"/>
                <w:szCs w:val="18"/>
              </w:rPr>
            </w:pPr>
            <w:r w:rsidRPr="00916995">
              <w:rPr>
                <w:color w:val="000000"/>
                <w:sz w:val="18"/>
                <w:szCs w:val="18"/>
              </w:rPr>
              <w:t>0</w:t>
            </w:r>
          </w:p>
        </w:tc>
        <w:tc>
          <w:tcPr>
            <w:tcW w:w="781" w:type="pct"/>
            <w:tcBorders>
              <w:top w:val="single" w:sz="4" w:space="0" w:color="auto"/>
              <w:left w:val="single" w:sz="4" w:space="0" w:color="000000"/>
              <w:right w:val="single" w:sz="4" w:space="0" w:color="000000"/>
            </w:tcBorders>
            <w:shd w:val="clear" w:color="auto" w:fill="auto"/>
            <w:noWrap/>
            <w:vAlign w:val="center"/>
          </w:tcPr>
          <w:p w14:paraId="1F8262D6" w14:textId="77777777" w:rsidR="00000814" w:rsidRPr="00916995" w:rsidRDefault="00000814" w:rsidP="00786C75">
            <w:pPr>
              <w:jc w:val="center"/>
              <w:rPr>
                <w:b/>
                <w:bCs/>
                <w:color w:val="000000"/>
                <w:sz w:val="18"/>
                <w:szCs w:val="18"/>
              </w:rPr>
            </w:pPr>
            <w:r w:rsidRPr="00916995">
              <w:rPr>
                <w:color w:val="000000"/>
                <w:sz w:val="18"/>
                <w:szCs w:val="18"/>
              </w:rPr>
              <w:t>0</w:t>
            </w:r>
          </w:p>
        </w:tc>
        <w:tc>
          <w:tcPr>
            <w:tcW w:w="1333" w:type="pct"/>
            <w:vMerge w:val="restart"/>
            <w:tcBorders>
              <w:top w:val="single" w:sz="4" w:space="0" w:color="auto"/>
              <w:left w:val="single" w:sz="4" w:space="0" w:color="000000"/>
              <w:right w:val="single" w:sz="4" w:space="0" w:color="000000"/>
            </w:tcBorders>
            <w:shd w:val="clear" w:color="auto" w:fill="auto"/>
            <w:noWrap/>
            <w:vAlign w:val="center"/>
          </w:tcPr>
          <w:p w14:paraId="68166882" w14:textId="77777777" w:rsidR="00000814" w:rsidRPr="00916995" w:rsidRDefault="00000814" w:rsidP="00786C75">
            <w:pPr>
              <w:jc w:val="center"/>
              <w:rPr>
                <w:b/>
                <w:bCs/>
                <w:color w:val="000000"/>
                <w:sz w:val="18"/>
                <w:szCs w:val="18"/>
              </w:rPr>
            </w:pPr>
            <w:r w:rsidRPr="00916995">
              <w:rPr>
                <w:color w:val="000000"/>
                <w:sz w:val="18"/>
                <w:szCs w:val="18"/>
              </w:rPr>
              <w:t>loose sand</w:t>
            </w:r>
          </w:p>
        </w:tc>
        <w:tc>
          <w:tcPr>
            <w:tcW w:w="775" w:type="pct"/>
            <w:tcBorders>
              <w:top w:val="single" w:sz="4" w:space="0" w:color="auto"/>
              <w:left w:val="single" w:sz="4" w:space="0" w:color="000000"/>
              <w:right w:val="single" w:sz="4" w:space="0" w:color="000000"/>
            </w:tcBorders>
            <w:vAlign w:val="center"/>
          </w:tcPr>
          <w:p w14:paraId="3EB428FB" w14:textId="77777777" w:rsidR="00000814" w:rsidRPr="00916995" w:rsidRDefault="00000814" w:rsidP="00786C75">
            <w:pPr>
              <w:jc w:val="center"/>
              <w:rPr>
                <w:color w:val="000000"/>
                <w:sz w:val="18"/>
                <w:szCs w:val="18"/>
              </w:rPr>
            </w:pPr>
            <w:r w:rsidRPr="00916995">
              <w:rPr>
                <w:color w:val="000000"/>
                <w:sz w:val="18"/>
                <w:szCs w:val="18"/>
              </w:rPr>
              <w:t>0</w:t>
            </w:r>
          </w:p>
        </w:tc>
        <w:tc>
          <w:tcPr>
            <w:tcW w:w="1334" w:type="pct"/>
            <w:vMerge w:val="restart"/>
            <w:tcBorders>
              <w:top w:val="single" w:sz="4" w:space="0" w:color="auto"/>
              <w:left w:val="single" w:sz="4" w:space="0" w:color="000000"/>
              <w:right w:val="single" w:sz="4" w:space="0" w:color="000000"/>
            </w:tcBorders>
            <w:vAlign w:val="center"/>
          </w:tcPr>
          <w:p w14:paraId="2094F249" w14:textId="77777777" w:rsidR="00000814" w:rsidRPr="00916995" w:rsidRDefault="00000814" w:rsidP="00786C75">
            <w:pPr>
              <w:jc w:val="center"/>
              <w:rPr>
                <w:color w:val="000000"/>
                <w:sz w:val="18"/>
                <w:szCs w:val="18"/>
              </w:rPr>
            </w:pPr>
            <w:r w:rsidRPr="00916995">
              <w:rPr>
                <w:color w:val="000000"/>
                <w:sz w:val="18"/>
                <w:szCs w:val="18"/>
              </w:rPr>
              <w:t>loose sand</w:t>
            </w:r>
          </w:p>
        </w:tc>
      </w:tr>
      <w:tr w:rsidR="00000814" w:rsidRPr="00916995" w14:paraId="21731DF9" w14:textId="77777777" w:rsidTr="00F1377D">
        <w:trPr>
          <w:trHeight w:val="20"/>
          <w:jc w:val="center"/>
        </w:trPr>
        <w:tc>
          <w:tcPr>
            <w:tcW w:w="777" w:type="pct"/>
            <w:tcBorders>
              <w:left w:val="single" w:sz="4" w:space="0" w:color="000000"/>
              <w:right w:val="single" w:sz="4" w:space="0" w:color="000000"/>
            </w:tcBorders>
            <w:shd w:val="clear" w:color="auto" w:fill="auto"/>
            <w:noWrap/>
            <w:vAlign w:val="center"/>
          </w:tcPr>
          <w:p w14:paraId="13CFE52D" w14:textId="77777777" w:rsidR="00000814" w:rsidRPr="00916995" w:rsidRDefault="00000814" w:rsidP="00786C75">
            <w:pPr>
              <w:jc w:val="center"/>
              <w:rPr>
                <w:color w:val="000000"/>
                <w:sz w:val="18"/>
                <w:szCs w:val="18"/>
              </w:rPr>
            </w:pPr>
            <w:r w:rsidRPr="00916995">
              <w:rPr>
                <w:color w:val="000000"/>
                <w:sz w:val="18"/>
                <w:szCs w:val="18"/>
              </w:rPr>
              <w:t>2</w:t>
            </w:r>
          </w:p>
        </w:tc>
        <w:tc>
          <w:tcPr>
            <w:tcW w:w="781" w:type="pct"/>
            <w:tcBorders>
              <w:left w:val="single" w:sz="4" w:space="0" w:color="000000"/>
              <w:right w:val="single" w:sz="4" w:space="0" w:color="000000"/>
            </w:tcBorders>
            <w:shd w:val="clear" w:color="auto" w:fill="auto"/>
            <w:noWrap/>
            <w:vAlign w:val="center"/>
          </w:tcPr>
          <w:p w14:paraId="2997A440" w14:textId="77777777" w:rsidR="00000814" w:rsidRPr="00916995" w:rsidRDefault="00000814" w:rsidP="00786C75">
            <w:pPr>
              <w:jc w:val="center"/>
              <w:rPr>
                <w:color w:val="000000"/>
                <w:sz w:val="18"/>
                <w:szCs w:val="18"/>
              </w:rPr>
            </w:pPr>
            <w:r w:rsidRPr="00916995">
              <w:rPr>
                <w:color w:val="000000"/>
                <w:sz w:val="18"/>
                <w:szCs w:val="18"/>
              </w:rPr>
              <w:t>7</w:t>
            </w:r>
          </w:p>
        </w:tc>
        <w:tc>
          <w:tcPr>
            <w:tcW w:w="1333" w:type="pct"/>
            <w:vMerge/>
            <w:tcBorders>
              <w:left w:val="single" w:sz="4" w:space="0" w:color="000000"/>
              <w:right w:val="single" w:sz="4" w:space="0" w:color="000000"/>
            </w:tcBorders>
            <w:shd w:val="clear" w:color="auto" w:fill="auto"/>
            <w:noWrap/>
            <w:vAlign w:val="center"/>
          </w:tcPr>
          <w:p w14:paraId="3984E7DE" w14:textId="77777777" w:rsidR="00000814" w:rsidRPr="00916995" w:rsidRDefault="00000814" w:rsidP="00786C75">
            <w:pPr>
              <w:jc w:val="center"/>
              <w:rPr>
                <w:color w:val="000000"/>
                <w:sz w:val="18"/>
                <w:szCs w:val="18"/>
              </w:rPr>
            </w:pPr>
          </w:p>
        </w:tc>
        <w:tc>
          <w:tcPr>
            <w:tcW w:w="775" w:type="pct"/>
            <w:tcBorders>
              <w:left w:val="single" w:sz="4" w:space="0" w:color="000000"/>
              <w:right w:val="single" w:sz="4" w:space="0" w:color="000000"/>
            </w:tcBorders>
            <w:vAlign w:val="center"/>
          </w:tcPr>
          <w:p w14:paraId="3AC00777" w14:textId="77777777" w:rsidR="00000814" w:rsidRPr="00916995" w:rsidRDefault="00000814" w:rsidP="00786C75">
            <w:pPr>
              <w:jc w:val="center"/>
              <w:rPr>
                <w:color w:val="000000"/>
                <w:sz w:val="18"/>
                <w:szCs w:val="18"/>
              </w:rPr>
            </w:pPr>
            <w:r w:rsidRPr="00916995">
              <w:rPr>
                <w:color w:val="000000"/>
                <w:sz w:val="18"/>
                <w:szCs w:val="18"/>
              </w:rPr>
              <w:t>50</w:t>
            </w:r>
          </w:p>
        </w:tc>
        <w:tc>
          <w:tcPr>
            <w:tcW w:w="1334" w:type="pct"/>
            <w:vMerge/>
            <w:tcBorders>
              <w:left w:val="single" w:sz="4" w:space="0" w:color="000000"/>
              <w:right w:val="single" w:sz="4" w:space="0" w:color="000000"/>
            </w:tcBorders>
            <w:vAlign w:val="center"/>
          </w:tcPr>
          <w:p w14:paraId="73EB3592" w14:textId="77777777" w:rsidR="00000814" w:rsidRPr="00916995" w:rsidRDefault="00000814" w:rsidP="00786C75">
            <w:pPr>
              <w:jc w:val="center"/>
              <w:rPr>
                <w:color w:val="000000"/>
                <w:sz w:val="18"/>
                <w:szCs w:val="18"/>
              </w:rPr>
            </w:pPr>
          </w:p>
        </w:tc>
      </w:tr>
      <w:tr w:rsidR="00000814" w:rsidRPr="00916995" w14:paraId="57477D4F" w14:textId="77777777" w:rsidTr="00F1377D">
        <w:trPr>
          <w:trHeight w:val="20"/>
          <w:jc w:val="center"/>
        </w:trPr>
        <w:tc>
          <w:tcPr>
            <w:tcW w:w="777" w:type="pct"/>
            <w:tcBorders>
              <w:left w:val="single" w:sz="4" w:space="0" w:color="000000"/>
              <w:right w:val="single" w:sz="4" w:space="0" w:color="000000"/>
            </w:tcBorders>
            <w:shd w:val="clear" w:color="auto" w:fill="auto"/>
            <w:noWrap/>
            <w:vAlign w:val="center"/>
          </w:tcPr>
          <w:p w14:paraId="58519DB7" w14:textId="77777777" w:rsidR="00000814" w:rsidRPr="00916995" w:rsidRDefault="00000814" w:rsidP="00786C75">
            <w:pPr>
              <w:jc w:val="center"/>
              <w:rPr>
                <w:color w:val="000000"/>
                <w:sz w:val="18"/>
                <w:szCs w:val="18"/>
              </w:rPr>
            </w:pPr>
            <w:r w:rsidRPr="00916995">
              <w:rPr>
                <w:color w:val="000000"/>
                <w:sz w:val="18"/>
                <w:szCs w:val="18"/>
              </w:rPr>
              <w:t>4</w:t>
            </w:r>
          </w:p>
        </w:tc>
        <w:tc>
          <w:tcPr>
            <w:tcW w:w="781" w:type="pct"/>
            <w:tcBorders>
              <w:left w:val="single" w:sz="4" w:space="0" w:color="000000"/>
              <w:right w:val="single" w:sz="4" w:space="0" w:color="000000"/>
            </w:tcBorders>
            <w:shd w:val="clear" w:color="auto" w:fill="auto"/>
            <w:noWrap/>
            <w:vAlign w:val="center"/>
          </w:tcPr>
          <w:p w14:paraId="4E1C6187" w14:textId="77777777" w:rsidR="00000814" w:rsidRPr="00916995" w:rsidRDefault="00000814" w:rsidP="00786C75">
            <w:pPr>
              <w:jc w:val="center"/>
              <w:rPr>
                <w:color w:val="000000"/>
                <w:sz w:val="18"/>
                <w:szCs w:val="18"/>
              </w:rPr>
            </w:pPr>
            <w:r w:rsidRPr="00916995">
              <w:rPr>
                <w:color w:val="000000"/>
                <w:sz w:val="18"/>
                <w:szCs w:val="18"/>
              </w:rPr>
              <w:t>5</w:t>
            </w:r>
          </w:p>
        </w:tc>
        <w:tc>
          <w:tcPr>
            <w:tcW w:w="1333" w:type="pct"/>
            <w:vMerge/>
            <w:tcBorders>
              <w:left w:val="single" w:sz="4" w:space="0" w:color="000000"/>
              <w:right w:val="single" w:sz="4" w:space="0" w:color="000000"/>
            </w:tcBorders>
            <w:vAlign w:val="center"/>
          </w:tcPr>
          <w:p w14:paraId="31D64F09" w14:textId="77777777" w:rsidR="00000814" w:rsidRPr="00916995" w:rsidRDefault="00000814" w:rsidP="00786C75">
            <w:pPr>
              <w:rPr>
                <w:color w:val="000000"/>
                <w:sz w:val="18"/>
                <w:szCs w:val="18"/>
              </w:rPr>
            </w:pPr>
          </w:p>
        </w:tc>
        <w:tc>
          <w:tcPr>
            <w:tcW w:w="775" w:type="pct"/>
            <w:tcBorders>
              <w:left w:val="single" w:sz="4" w:space="0" w:color="000000"/>
              <w:right w:val="single" w:sz="4" w:space="0" w:color="000000"/>
            </w:tcBorders>
            <w:vAlign w:val="center"/>
          </w:tcPr>
          <w:p w14:paraId="05A2E1B1" w14:textId="77777777" w:rsidR="00000814" w:rsidRPr="00916995" w:rsidRDefault="00000814" w:rsidP="00786C75">
            <w:pPr>
              <w:jc w:val="center"/>
              <w:rPr>
                <w:color w:val="000000"/>
                <w:sz w:val="18"/>
                <w:szCs w:val="18"/>
              </w:rPr>
            </w:pPr>
            <w:r w:rsidRPr="00916995">
              <w:rPr>
                <w:color w:val="000000"/>
                <w:sz w:val="18"/>
                <w:szCs w:val="18"/>
              </w:rPr>
              <w:t>6</w:t>
            </w:r>
          </w:p>
        </w:tc>
        <w:tc>
          <w:tcPr>
            <w:tcW w:w="1334" w:type="pct"/>
            <w:vMerge/>
            <w:tcBorders>
              <w:left w:val="single" w:sz="4" w:space="0" w:color="000000"/>
              <w:right w:val="single" w:sz="4" w:space="0" w:color="000000"/>
            </w:tcBorders>
            <w:vAlign w:val="center"/>
          </w:tcPr>
          <w:p w14:paraId="54B8F979" w14:textId="77777777" w:rsidR="00000814" w:rsidRPr="00916995" w:rsidRDefault="00000814" w:rsidP="00786C75">
            <w:pPr>
              <w:rPr>
                <w:color w:val="000000"/>
                <w:sz w:val="18"/>
                <w:szCs w:val="18"/>
              </w:rPr>
            </w:pPr>
          </w:p>
        </w:tc>
      </w:tr>
      <w:tr w:rsidR="00000814" w:rsidRPr="00916995" w14:paraId="31F825F7" w14:textId="77777777" w:rsidTr="00F1377D">
        <w:trPr>
          <w:trHeight w:val="20"/>
          <w:jc w:val="center"/>
        </w:trPr>
        <w:tc>
          <w:tcPr>
            <w:tcW w:w="777" w:type="pct"/>
            <w:tcBorders>
              <w:left w:val="single" w:sz="4" w:space="0" w:color="000000"/>
              <w:bottom w:val="single" w:sz="4" w:space="0" w:color="000000"/>
              <w:right w:val="single" w:sz="4" w:space="0" w:color="000000"/>
            </w:tcBorders>
            <w:shd w:val="clear" w:color="auto" w:fill="auto"/>
            <w:noWrap/>
            <w:vAlign w:val="center"/>
          </w:tcPr>
          <w:p w14:paraId="6C9F1E2E" w14:textId="77777777" w:rsidR="00000814" w:rsidRPr="00916995" w:rsidRDefault="00000814" w:rsidP="00786C75">
            <w:pPr>
              <w:jc w:val="center"/>
              <w:rPr>
                <w:color w:val="000000"/>
                <w:sz w:val="18"/>
                <w:szCs w:val="18"/>
              </w:rPr>
            </w:pPr>
            <w:r w:rsidRPr="00916995">
              <w:rPr>
                <w:color w:val="000000"/>
                <w:sz w:val="18"/>
                <w:szCs w:val="18"/>
              </w:rPr>
              <w:t>6</w:t>
            </w:r>
          </w:p>
        </w:tc>
        <w:tc>
          <w:tcPr>
            <w:tcW w:w="781" w:type="pct"/>
            <w:tcBorders>
              <w:left w:val="single" w:sz="4" w:space="0" w:color="000000"/>
              <w:bottom w:val="single" w:sz="4" w:space="0" w:color="000000"/>
              <w:right w:val="single" w:sz="4" w:space="0" w:color="000000"/>
            </w:tcBorders>
            <w:shd w:val="clear" w:color="auto" w:fill="auto"/>
            <w:noWrap/>
            <w:vAlign w:val="center"/>
          </w:tcPr>
          <w:p w14:paraId="2F55CCCA" w14:textId="77777777" w:rsidR="00000814" w:rsidRPr="00916995" w:rsidRDefault="00000814" w:rsidP="00786C75">
            <w:pPr>
              <w:jc w:val="center"/>
              <w:rPr>
                <w:color w:val="000000"/>
                <w:sz w:val="18"/>
                <w:szCs w:val="18"/>
              </w:rPr>
            </w:pPr>
            <w:r w:rsidRPr="00916995">
              <w:rPr>
                <w:color w:val="000000"/>
                <w:sz w:val="18"/>
                <w:szCs w:val="18"/>
              </w:rPr>
              <w:t>10</w:t>
            </w:r>
          </w:p>
        </w:tc>
        <w:tc>
          <w:tcPr>
            <w:tcW w:w="1333" w:type="pct"/>
            <w:vMerge/>
            <w:tcBorders>
              <w:left w:val="single" w:sz="4" w:space="0" w:color="000000"/>
              <w:bottom w:val="single" w:sz="4" w:space="0" w:color="000000"/>
              <w:right w:val="single" w:sz="4" w:space="0" w:color="000000"/>
            </w:tcBorders>
            <w:vAlign w:val="center"/>
          </w:tcPr>
          <w:p w14:paraId="099E2173" w14:textId="77777777" w:rsidR="00000814" w:rsidRPr="00916995" w:rsidRDefault="00000814" w:rsidP="00786C75">
            <w:pPr>
              <w:rPr>
                <w:color w:val="000000"/>
                <w:sz w:val="18"/>
                <w:szCs w:val="18"/>
              </w:rPr>
            </w:pPr>
          </w:p>
        </w:tc>
        <w:tc>
          <w:tcPr>
            <w:tcW w:w="775" w:type="pct"/>
            <w:tcBorders>
              <w:left w:val="single" w:sz="4" w:space="0" w:color="000000"/>
              <w:bottom w:val="single" w:sz="4" w:space="0" w:color="000000"/>
              <w:right w:val="single" w:sz="4" w:space="0" w:color="000000"/>
            </w:tcBorders>
            <w:vAlign w:val="center"/>
          </w:tcPr>
          <w:p w14:paraId="1275F7DF" w14:textId="77777777" w:rsidR="00000814" w:rsidRPr="00916995" w:rsidRDefault="00000814" w:rsidP="00786C75">
            <w:pPr>
              <w:jc w:val="center"/>
              <w:rPr>
                <w:color w:val="000000"/>
                <w:sz w:val="18"/>
                <w:szCs w:val="18"/>
              </w:rPr>
            </w:pPr>
            <w:r w:rsidRPr="00916995">
              <w:rPr>
                <w:color w:val="000000"/>
                <w:sz w:val="18"/>
                <w:szCs w:val="18"/>
              </w:rPr>
              <w:t>5</w:t>
            </w:r>
          </w:p>
        </w:tc>
        <w:tc>
          <w:tcPr>
            <w:tcW w:w="1334" w:type="pct"/>
            <w:vMerge/>
            <w:tcBorders>
              <w:left w:val="single" w:sz="4" w:space="0" w:color="000000"/>
              <w:bottom w:val="single" w:sz="4" w:space="0" w:color="000000"/>
              <w:right w:val="single" w:sz="4" w:space="0" w:color="000000"/>
            </w:tcBorders>
            <w:vAlign w:val="center"/>
          </w:tcPr>
          <w:p w14:paraId="52B2D73D" w14:textId="77777777" w:rsidR="00000814" w:rsidRPr="00916995" w:rsidRDefault="00000814" w:rsidP="00786C75">
            <w:pPr>
              <w:rPr>
                <w:color w:val="000000"/>
                <w:sz w:val="18"/>
                <w:szCs w:val="18"/>
              </w:rPr>
            </w:pPr>
          </w:p>
        </w:tc>
      </w:tr>
      <w:tr w:rsidR="00000814" w:rsidRPr="00916995" w14:paraId="4B6353F7" w14:textId="77777777" w:rsidTr="00F1377D">
        <w:trPr>
          <w:trHeight w:val="20"/>
          <w:jc w:val="center"/>
        </w:trPr>
        <w:tc>
          <w:tcPr>
            <w:tcW w:w="7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5304D" w14:textId="77777777" w:rsidR="00000814" w:rsidRPr="00916995" w:rsidRDefault="00000814" w:rsidP="00786C75">
            <w:pPr>
              <w:jc w:val="center"/>
              <w:rPr>
                <w:color w:val="000000"/>
                <w:sz w:val="18"/>
                <w:szCs w:val="18"/>
              </w:rPr>
            </w:pPr>
            <w:r w:rsidRPr="00916995">
              <w:rPr>
                <w:color w:val="000000"/>
                <w:sz w:val="18"/>
                <w:szCs w:val="18"/>
              </w:rPr>
              <w:t>8</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ABCF5" w14:textId="77777777" w:rsidR="00000814" w:rsidRPr="00916995" w:rsidRDefault="00000814" w:rsidP="00786C75">
            <w:pPr>
              <w:jc w:val="center"/>
              <w:rPr>
                <w:color w:val="000000"/>
                <w:sz w:val="18"/>
                <w:szCs w:val="18"/>
              </w:rPr>
            </w:pPr>
            <w:r w:rsidRPr="00916995">
              <w:rPr>
                <w:color w:val="000000"/>
                <w:sz w:val="18"/>
                <w:szCs w:val="18"/>
              </w:rPr>
              <w:t>68</w:t>
            </w:r>
          </w:p>
        </w:tc>
        <w:tc>
          <w:tcPr>
            <w:tcW w:w="13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FEBAD" w14:textId="77777777" w:rsidR="00000814" w:rsidRPr="00916995" w:rsidRDefault="00000814" w:rsidP="00786C75">
            <w:pPr>
              <w:jc w:val="center"/>
              <w:rPr>
                <w:color w:val="000000"/>
                <w:sz w:val="18"/>
                <w:szCs w:val="18"/>
              </w:rPr>
            </w:pPr>
            <w:r w:rsidRPr="00916995">
              <w:rPr>
                <w:color w:val="000000"/>
                <w:sz w:val="18"/>
                <w:szCs w:val="18"/>
              </w:rPr>
              <w:t>very dense sand</w:t>
            </w:r>
          </w:p>
        </w:tc>
        <w:tc>
          <w:tcPr>
            <w:tcW w:w="775" w:type="pct"/>
            <w:tcBorders>
              <w:top w:val="single" w:sz="4" w:space="0" w:color="000000"/>
              <w:left w:val="single" w:sz="4" w:space="0" w:color="000000"/>
              <w:bottom w:val="single" w:sz="4" w:space="0" w:color="000000"/>
              <w:right w:val="single" w:sz="4" w:space="0" w:color="000000"/>
            </w:tcBorders>
            <w:vAlign w:val="center"/>
          </w:tcPr>
          <w:p w14:paraId="58A14288" w14:textId="77777777" w:rsidR="00000814" w:rsidRPr="00916995" w:rsidRDefault="00000814" w:rsidP="00786C75">
            <w:pPr>
              <w:jc w:val="center"/>
              <w:rPr>
                <w:color w:val="000000"/>
                <w:sz w:val="18"/>
                <w:szCs w:val="18"/>
              </w:rPr>
            </w:pPr>
            <w:r w:rsidRPr="00916995">
              <w:rPr>
                <w:color w:val="000000"/>
                <w:sz w:val="18"/>
                <w:szCs w:val="18"/>
              </w:rPr>
              <w:t>41</w:t>
            </w:r>
          </w:p>
        </w:tc>
        <w:tc>
          <w:tcPr>
            <w:tcW w:w="1334" w:type="pct"/>
            <w:vMerge w:val="restart"/>
            <w:tcBorders>
              <w:top w:val="single" w:sz="4" w:space="0" w:color="000000"/>
              <w:left w:val="single" w:sz="4" w:space="0" w:color="000000"/>
              <w:bottom w:val="single" w:sz="4" w:space="0" w:color="000000"/>
              <w:right w:val="single" w:sz="4" w:space="0" w:color="000000"/>
            </w:tcBorders>
            <w:vAlign w:val="center"/>
          </w:tcPr>
          <w:p w14:paraId="3D8250D2" w14:textId="77777777" w:rsidR="00000814" w:rsidRPr="00916995" w:rsidRDefault="00000814" w:rsidP="00786C75">
            <w:pPr>
              <w:jc w:val="center"/>
              <w:rPr>
                <w:color w:val="000000"/>
                <w:sz w:val="18"/>
                <w:szCs w:val="18"/>
              </w:rPr>
            </w:pPr>
            <w:r w:rsidRPr="00916995">
              <w:rPr>
                <w:color w:val="000000"/>
                <w:sz w:val="18"/>
                <w:szCs w:val="18"/>
              </w:rPr>
              <w:t>dense sand</w:t>
            </w:r>
          </w:p>
        </w:tc>
      </w:tr>
      <w:tr w:rsidR="00000814" w:rsidRPr="00916995" w14:paraId="311B5005" w14:textId="77777777" w:rsidTr="00F1377D">
        <w:trPr>
          <w:trHeight w:val="20"/>
          <w:jc w:val="center"/>
        </w:trPr>
        <w:tc>
          <w:tcPr>
            <w:tcW w:w="777" w:type="pct"/>
            <w:tcBorders>
              <w:top w:val="single" w:sz="4" w:space="0" w:color="000000"/>
              <w:left w:val="single" w:sz="4" w:space="0" w:color="000000"/>
              <w:right w:val="single" w:sz="4" w:space="0" w:color="000000"/>
            </w:tcBorders>
            <w:shd w:val="clear" w:color="auto" w:fill="auto"/>
            <w:noWrap/>
            <w:vAlign w:val="center"/>
          </w:tcPr>
          <w:p w14:paraId="3C99161A" w14:textId="77777777" w:rsidR="00000814" w:rsidRPr="00916995" w:rsidRDefault="00000814" w:rsidP="00786C75">
            <w:pPr>
              <w:jc w:val="center"/>
              <w:rPr>
                <w:color w:val="000000"/>
                <w:sz w:val="18"/>
                <w:szCs w:val="18"/>
              </w:rPr>
            </w:pPr>
            <w:r w:rsidRPr="00916995">
              <w:rPr>
                <w:color w:val="000000"/>
                <w:sz w:val="18"/>
                <w:szCs w:val="18"/>
              </w:rPr>
              <w:t>10</w:t>
            </w:r>
          </w:p>
        </w:tc>
        <w:tc>
          <w:tcPr>
            <w:tcW w:w="781" w:type="pct"/>
            <w:tcBorders>
              <w:top w:val="single" w:sz="4" w:space="0" w:color="000000"/>
              <w:left w:val="single" w:sz="4" w:space="0" w:color="000000"/>
              <w:right w:val="single" w:sz="4" w:space="0" w:color="000000"/>
            </w:tcBorders>
            <w:shd w:val="clear" w:color="auto" w:fill="auto"/>
            <w:noWrap/>
            <w:vAlign w:val="center"/>
          </w:tcPr>
          <w:p w14:paraId="57F1C873" w14:textId="77777777" w:rsidR="00000814" w:rsidRPr="00916995" w:rsidRDefault="00000814" w:rsidP="00786C75">
            <w:pPr>
              <w:jc w:val="center"/>
              <w:rPr>
                <w:color w:val="000000"/>
                <w:sz w:val="18"/>
                <w:szCs w:val="18"/>
              </w:rPr>
            </w:pPr>
            <w:r w:rsidRPr="00916995">
              <w:rPr>
                <w:color w:val="000000"/>
                <w:sz w:val="18"/>
                <w:szCs w:val="18"/>
              </w:rPr>
              <w:t>16</w:t>
            </w:r>
          </w:p>
        </w:tc>
        <w:tc>
          <w:tcPr>
            <w:tcW w:w="1333" w:type="pct"/>
            <w:vMerge w:val="restart"/>
            <w:tcBorders>
              <w:top w:val="single" w:sz="4" w:space="0" w:color="000000"/>
              <w:left w:val="single" w:sz="4" w:space="0" w:color="000000"/>
              <w:right w:val="single" w:sz="4" w:space="0" w:color="000000"/>
            </w:tcBorders>
            <w:shd w:val="clear" w:color="auto" w:fill="auto"/>
            <w:noWrap/>
            <w:vAlign w:val="center"/>
          </w:tcPr>
          <w:p w14:paraId="71A3B7EB" w14:textId="77777777" w:rsidR="00000814" w:rsidRPr="00916995" w:rsidRDefault="00000814" w:rsidP="00786C75">
            <w:pPr>
              <w:jc w:val="center"/>
              <w:rPr>
                <w:color w:val="000000"/>
                <w:sz w:val="18"/>
                <w:szCs w:val="18"/>
              </w:rPr>
            </w:pPr>
            <w:r w:rsidRPr="00916995">
              <w:rPr>
                <w:color w:val="000000"/>
                <w:sz w:val="18"/>
                <w:szCs w:val="18"/>
              </w:rPr>
              <w:t>medium sand</w:t>
            </w:r>
          </w:p>
        </w:tc>
        <w:tc>
          <w:tcPr>
            <w:tcW w:w="775" w:type="pct"/>
            <w:tcBorders>
              <w:left w:val="single" w:sz="4" w:space="0" w:color="000000"/>
              <w:right w:val="single" w:sz="4" w:space="0" w:color="000000"/>
            </w:tcBorders>
            <w:vAlign w:val="center"/>
          </w:tcPr>
          <w:p w14:paraId="30D3B1E6" w14:textId="77777777" w:rsidR="00000814" w:rsidRPr="00916995" w:rsidRDefault="00000814" w:rsidP="00786C75">
            <w:pPr>
              <w:jc w:val="center"/>
              <w:rPr>
                <w:color w:val="000000"/>
                <w:sz w:val="18"/>
                <w:szCs w:val="18"/>
              </w:rPr>
            </w:pPr>
            <w:r w:rsidRPr="00916995">
              <w:rPr>
                <w:color w:val="000000"/>
                <w:sz w:val="18"/>
                <w:szCs w:val="18"/>
              </w:rPr>
              <w:t>50</w:t>
            </w:r>
          </w:p>
        </w:tc>
        <w:tc>
          <w:tcPr>
            <w:tcW w:w="1334" w:type="pct"/>
            <w:vMerge/>
            <w:tcBorders>
              <w:left w:val="single" w:sz="4" w:space="0" w:color="000000"/>
              <w:right w:val="single" w:sz="4" w:space="0" w:color="000000"/>
            </w:tcBorders>
            <w:vAlign w:val="center"/>
          </w:tcPr>
          <w:p w14:paraId="445CA463" w14:textId="77777777" w:rsidR="00000814" w:rsidRPr="00916995" w:rsidRDefault="00000814" w:rsidP="00786C75">
            <w:pPr>
              <w:jc w:val="center"/>
              <w:rPr>
                <w:color w:val="000000"/>
                <w:sz w:val="18"/>
                <w:szCs w:val="18"/>
              </w:rPr>
            </w:pPr>
          </w:p>
        </w:tc>
      </w:tr>
      <w:tr w:rsidR="00000814" w:rsidRPr="00916995" w14:paraId="5ED0608A" w14:textId="77777777" w:rsidTr="00F1377D">
        <w:trPr>
          <w:trHeight w:val="20"/>
          <w:jc w:val="center"/>
        </w:trPr>
        <w:tc>
          <w:tcPr>
            <w:tcW w:w="777" w:type="pct"/>
            <w:tcBorders>
              <w:left w:val="single" w:sz="4" w:space="0" w:color="000000"/>
              <w:right w:val="single" w:sz="4" w:space="0" w:color="000000"/>
            </w:tcBorders>
            <w:shd w:val="clear" w:color="auto" w:fill="auto"/>
            <w:noWrap/>
            <w:vAlign w:val="center"/>
          </w:tcPr>
          <w:p w14:paraId="7FD9926D" w14:textId="77777777" w:rsidR="00000814" w:rsidRPr="00916995" w:rsidRDefault="00000814" w:rsidP="00786C75">
            <w:pPr>
              <w:jc w:val="center"/>
              <w:rPr>
                <w:color w:val="000000"/>
                <w:sz w:val="18"/>
                <w:szCs w:val="18"/>
              </w:rPr>
            </w:pPr>
            <w:r w:rsidRPr="00916995">
              <w:rPr>
                <w:color w:val="000000"/>
                <w:sz w:val="18"/>
                <w:szCs w:val="18"/>
              </w:rPr>
              <w:t>12</w:t>
            </w:r>
          </w:p>
        </w:tc>
        <w:tc>
          <w:tcPr>
            <w:tcW w:w="781" w:type="pct"/>
            <w:tcBorders>
              <w:left w:val="single" w:sz="4" w:space="0" w:color="000000"/>
              <w:right w:val="single" w:sz="4" w:space="0" w:color="000000"/>
            </w:tcBorders>
            <w:shd w:val="clear" w:color="auto" w:fill="auto"/>
            <w:noWrap/>
            <w:vAlign w:val="center"/>
          </w:tcPr>
          <w:p w14:paraId="58D34BCB" w14:textId="77777777" w:rsidR="00000814" w:rsidRPr="00916995" w:rsidRDefault="00000814" w:rsidP="00786C75">
            <w:pPr>
              <w:jc w:val="center"/>
              <w:rPr>
                <w:color w:val="000000"/>
                <w:sz w:val="18"/>
                <w:szCs w:val="18"/>
              </w:rPr>
            </w:pPr>
            <w:r w:rsidRPr="00916995">
              <w:rPr>
                <w:color w:val="000000"/>
                <w:sz w:val="18"/>
                <w:szCs w:val="18"/>
              </w:rPr>
              <w:t>21</w:t>
            </w:r>
          </w:p>
        </w:tc>
        <w:tc>
          <w:tcPr>
            <w:tcW w:w="1333" w:type="pct"/>
            <w:vMerge/>
            <w:tcBorders>
              <w:left w:val="single" w:sz="4" w:space="0" w:color="000000"/>
              <w:right w:val="single" w:sz="4" w:space="0" w:color="000000"/>
            </w:tcBorders>
            <w:vAlign w:val="center"/>
          </w:tcPr>
          <w:p w14:paraId="3D0F8FAD" w14:textId="77777777" w:rsidR="00000814" w:rsidRPr="00916995" w:rsidRDefault="00000814" w:rsidP="00786C75">
            <w:pPr>
              <w:rPr>
                <w:color w:val="000000"/>
                <w:sz w:val="18"/>
                <w:szCs w:val="18"/>
              </w:rPr>
            </w:pPr>
          </w:p>
        </w:tc>
        <w:tc>
          <w:tcPr>
            <w:tcW w:w="775" w:type="pct"/>
            <w:tcBorders>
              <w:left w:val="single" w:sz="4" w:space="0" w:color="000000"/>
              <w:right w:val="single" w:sz="4" w:space="0" w:color="000000"/>
            </w:tcBorders>
            <w:vAlign w:val="center"/>
          </w:tcPr>
          <w:p w14:paraId="1907AD07" w14:textId="77777777" w:rsidR="00000814" w:rsidRPr="00916995" w:rsidRDefault="00000814" w:rsidP="00786C75">
            <w:pPr>
              <w:jc w:val="center"/>
              <w:rPr>
                <w:color w:val="000000"/>
                <w:sz w:val="18"/>
                <w:szCs w:val="18"/>
              </w:rPr>
            </w:pPr>
            <w:r w:rsidRPr="00916995">
              <w:rPr>
                <w:color w:val="000000"/>
                <w:sz w:val="18"/>
                <w:szCs w:val="18"/>
              </w:rPr>
              <w:t>49</w:t>
            </w:r>
          </w:p>
        </w:tc>
        <w:tc>
          <w:tcPr>
            <w:tcW w:w="1334" w:type="pct"/>
            <w:vMerge/>
            <w:tcBorders>
              <w:left w:val="single" w:sz="4" w:space="0" w:color="000000"/>
              <w:right w:val="single" w:sz="4" w:space="0" w:color="000000"/>
            </w:tcBorders>
            <w:vAlign w:val="center"/>
          </w:tcPr>
          <w:p w14:paraId="56859C77" w14:textId="77777777" w:rsidR="00000814" w:rsidRPr="00916995" w:rsidRDefault="00000814" w:rsidP="00786C75">
            <w:pPr>
              <w:rPr>
                <w:color w:val="000000"/>
                <w:sz w:val="18"/>
                <w:szCs w:val="18"/>
              </w:rPr>
            </w:pPr>
          </w:p>
        </w:tc>
      </w:tr>
      <w:tr w:rsidR="00000814" w:rsidRPr="00916995" w14:paraId="0007F8B0" w14:textId="77777777" w:rsidTr="00F1377D">
        <w:trPr>
          <w:trHeight w:val="20"/>
          <w:jc w:val="center"/>
        </w:trPr>
        <w:tc>
          <w:tcPr>
            <w:tcW w:w="777" w:type="pct"/>
            <w:tcBorders>
              <w:left w:val="single" w:sz="4" w:space="0" w:color="000000"/>
              <w:bottom w:val="single" w:sz="4" w:space="0" w:color="000000"/>
              <w:right w:val="single" w:sz="4" w:space="0" w:color="000000"/>
            </w:tcBorders>
            <w:shd w:val="clear" w:color="auto" w:fill="auto"/>
            <w:noWrap/>
            <w:vAlign w:val="center"/>
          </w:tcPr>
          <w:p w14:paraId="7B1469C4" w14:textId="77777777" w:rsidR="00000814" w:rsidRPr="00916995" w:rsidRDefault="00000814" w:rsidP="00786C75">
            <w:pPr>
              <w:jc w:val="center"/>
              <w:rPr>
                <w:color w:val="000000"/>
                <w:sz w:val="18"/>
                <w:szCs w:val="18"/>
              </w:rPr>
            </w:pPr>
            <w:r w:rsidRPr="00916995">
              <w:rPr>
                <w:color w:val="000000"/>
                <w:sz w:val="18"/>
                <w:szCs w:val="18"/>
              </w:rPr>
              <w:t>14</w:t>
            </w:r>
          </w:p>
        </w:tc>
        <w:tc>
          <w:tcPr>
            <w:tcW w:w="781" w:type="pct"/>
            <w:tcBorders>
              <w:left w:val="single" w:sz="4" w:space="0" w:color="000000"/>
              <w:bottom w:val="single" w:sz="4" w:space="0" w:color="000000"/>
              <w:right w:val="single" w:sz="4" w:space="0" w:color="000000"/>
            </w:tcBorders>
            <w:shd w:val="clear" w:color="auto" w:fill="auto"/>
            <w:noWrap/>
            <w:vAlign w:val="center"/>
          </w:tcPr>
          <w:p w14:paraId="592A8A06" w14:textId="77777777" w:rsidR="00000814" w:rsidRPr="00916995" w:rsidRDefault="00000814" w:rsidP="00786C75">
            <w:pPr>
              <w:jc w:val="center"/>
              <w:rPr>
                <w:color w:val="000000"/>
                <w:sz w:val="18"/>
                <w:szCs w:val="18"/>
              </w:rPr>
            </w:pPr>
            <w:r w:rsidRPr="00916995">
              <w:rPr>
                <w:color w:val="000000"/>
                <w:sz w:val="18"/>
                <w:szCs w:val="18"/>
              </w:rPr>
              <w:t>33</w:t>
            </w:r>
          </w:p>
        </w:tc>
        <w:tc>
          <w:tcPr>
            <w:tcW w:w="1333" w:type="pct"/>
            <w:vMerge/>
            <w:tcBorders>
              <w:left w:val="single" w:sz="4" w:space="0" w:color="000000"/>
              <w:bottom w:val="single" w:sz="4" w:space="0" w:color="000000"/>
              <w:right w:val="single" w:sz="4" w:space="0" w:color="000000"/>
            </w:tcBorders>
            <w:vAlign w:val="center"/>
          </w:tcPr>
          <w:p w14:paraId="4FFDF1E7" w14:textId="77777777" w:rsidR="00000814" w:rsidRPr="00916995" w:rsidRDefault="00000814" w:rsidP="00786C75">
            <w:pPr>
              <w:rPr>
                <w:color w:val="000000"/>
                <w:sz w:val="18"/>
                <w:szCs w:val="18"/>
              </w:rPr>
            </w:pPr>
          </w:p>
        </w:tc>
        <w:tc>
          <w:tcPr>
            <w:tcW w:w="775" w:type="pct"/>
            <w:tcBorders>
              <w:left w:val="single" w:sz="4" w:space="0" w:color="000000"/>
              <w:bottom w:val="single" w:sz="4" w:space="0" w:color="000000"/>
              <w:right w:val="single" w:sz="4" w:space="0" w:color="000000"/>
            </w:tcBorders>
            <w:vAlign w:val="center"/>
          </w:tcPr>
          <w:p w14:paraId="5C361012" w14:textId="77777777" w:rsidR="00000814" w:rsidRPr="00916995" w:rsidRDefault="00000814" w:rsidP="00786C75">
            <w:pPr>
              <w:jc w:val="center"/>
              <w:rPr>
                <w:color w:val="000000"/>
                <w:sz w:val="18"/>
                <w:szCs w:val="18"/>
              </w:rPr>
            </w:pPr>
            <w:r w:rsidRPr="00916995">
              <w:rPr>
                <w:color w:val="000000"/>
                <w:sz w:val="18"/>
                <w:szCs w:val="18"/>
              </w:rPr>
              <w:t>36</w:t>
            </w:r>
          </w:p>
        </w:tc>
        <w:tc>
          <w:tcPr>
            <w:tcW w:w="1334" w:type="pct"/>
            <w:vMerge/>
            <w:tcBorders>
              <w:left w:val="single" w:sz="4" w:space="0" w:color="000000"/>
              <w:right w:val="single" w:sz="4" w:space="0" w:color="000000"/>
            </w:tcBorders>
            <w:vAlign w:val="center"/>
          </w:tcPr>
          <w:p w14:paraId="2113649F" w14:textId="77777777" w:rsidR="00000814" w:rsidRPr="00916995" w:rsidRDefault="00000814" w:rsidP="00786C75">
            <w:pPr>
              <w:rPr>
                <w:color w:val="000000"/>
                <w:sz w:val="18"/>
                <w:szCs w:val="18"/>
              </w:rPr>
            </w:pPr>
          </w:p>
        </w:tc>
      </w:tr>
      <w:tr w:rsidR="00000814" w:rsidRPr="00916995" w14:paraId="5C8602CE" w14:textId="77777777" w:rsidTr="00F1377D">
        <w:trPr>
          <w:trHeight w:val="20"/>
          <w:jc w:val="center"/>
        </w:trPr>
        <w:tc>
          <w:tcPr>
            <w:tcW w:w="777" w:type="pct"/>
            <w:tcBorders>
              <w:top w:val="single" w:sz="4" w:space="0" w:color="000000"/>
              <w:left w:val="single" w:sz="4" w:space="0" w:color="000000"/>
              <w:right w:val="single" w:sz="4" w:space="0" w:color="000000"/>
            </w:tcBorders>
            <w:shd w:val="clear" w:color="auto" w:fill="auto"/>
            <w:noWrap/>
            <w:vAlign w:val="center"/>
          </w:tcPr>
          <w:p w14:paraId="4CDC3202" w14:textId="77777777" w:rsidR="00000814" w:rsidRPr="00916995" w:rsidRDefault="00000814" w:rsidP="00786C75">
            <w:pPr>
              <w:jc w:val="center"/>
              <w:rPr>
                <w:color w:val="000000"/>
                <w:sz w:val="18"/>
                <w:szCs w:val="18"/>
              </w:rPr>
            </w:pPr>
            <w:r w:rsidRPr="00916995">
              <w:rPr>
                <w:color w:val="000000"/>
                <w:sz w:val="18"/>
                <w:szCs w:val="18"/>
              </w:rPr>
              <w:t>16</w:t>
            </w:r>
          </w:p>
        </w:tc>
        <w:tc>
          <w:tcPr>
            <w:tcW w:w="781" w:type="pct"/>
            <w:tcBorders>
              <w:top w:val="single" w:sz="4" w:space="0" w:color="000000"/>
              <w:left w:val="single" w:sz="4" w:space="0" w:color="000000"/>
              <w:right w:val="single" w:sz="4" w:space="0" w:color="000000"/>
            </w:tcBorders>
            <w:shd w:val="clear" w:color="auto" w:fill="auto"/>
            <w:noWrap/>
            <w:vAlign w:val="center"/>
          </w:tcPr>
          <w:p w14:paraId="367747CD" w14:textId="77777777" w:rsidR="00000814" w:rsidRPr="00916995" w:rsidRDefault="00000814" w:rsidP="00786C75">
            <w:pPr>
              <w:jc w:val="center"/>
              <w:rPr>
                <w:color w:val="000000"/>
                <w:sz w:val="18"/>
                <w:szCs w:val="18"/>
              </w:rPr>
            </w:pPr>
            <w:r w:rsidRPr="00916995">
              <w:rPr>
                <w:color w:val="000000"/>
                <w:sz w:val="18"/>
                <w:szCs w:val="18"/>
              </w:rPr>
              <w:t>12</w:t>
            </w:r>
          </w:p>
        </w:tc>
        <w:tc>
          <w:tcPr>
            <w:tcW w:w="1333" w:type="pct"/>
            <w:tcBorders>
              <w:top w:val="single" w:sz="4" w:space="0" w:color="000000"/>
              <w:left w:val="single" w:sz="4" w:space="0" w:color="000000"/>
              <w:right w:val="single" w:sz="4" w:space="0" w:color="000000"/>
            </w:tcBorders>
            <w:shd w:val="clear" w:color="auto" w:fill="auto"/>
            <w:noWrap/>
            <w:vAlign w:val="center"/>
          </w:tcPr>
          <w:p w14:paraId="190A591E" w14:textId="77777777" w:rsidR="00000814" w:rsidRPr="00916995" w:rsidRDefault="00000814" w:rsidP="00786C75">
            <w:pPr>
              <w:jc w:val="center"/>
              <w:rPr>
                <w:color w:val="000000"/>
                <w:sz w:val="18"/>
                <w:szCs w:val="18"/>
              </w:rPr>
            </w:pPr>
            <w:r w:rsidRPr="00916995">
              <w:rPr>
                <w:color w:val="000000"/>
                <w:sz w:val="18"/>
                <w:szCs w:val="18"/>
              </w:rPr>
              <w:t>silt</w:t>
            </w:r>
          </w:p>
        </w:tc>
        <w:tc>
          <w:tcPr>
            <w:tcW w:w="775" w:type="pct"/>
            <w:tcBorders>
              <w:left w:val="single" w:sz="4" w:space="0" w:color="000000"/>
              <w:bottom w:val="single" w:sz="4" w:space="0" w:color="000000"/>
              <w:right w:val="single" w:sz="4" w:space="0" w:color="000000"/>
            </w:tcBorders>
            <w:vAlign w:val="center"/>
          </w:tcPr>
          <w:p w14:paraId="3D099EFA" w14:textId="77777777" w:rsidR="00000814" w:rsidRPr="00916995" w:rsidRDefault="00000814" w:rsidP="00786C75">
            <w:pPr>
              <w:jc w:val="center"/>
              <w:rPr>
                <w:color w:val="000000"/>
                <w:sz w:val="18"/>
                <w:szCs w:val="18"/>
              </w:rPr>
            </w:pPr>
            <w:r w:rsidRPr="00916995">
              <w:rPr>
                <w:color w:val="000000"/>
                <w:sz w:val="18"/>
                <w:szCs w:val="18"/>
              </w:rPr>
              <w:t>65</w:t>
            </w:r>
          </w:p>
        </w:tc>
        <w:tc>
          <w:tcPr>
            <w:tcW w:w="1334" w:type="pct"/>
            <w:vMerge w:val="restart"/>
            <w:tcBorders>
              <w:left w:val="single" w:sz="4" w:space="0" w:color="000000"/>
              <w:right w:val="single" w:sz="4" w:space="0" w:color="000000"/>
            </w:tcBorders>
            <w:vAlign w:val="center"/>
          </w:tcPr>
          <w:p w14:paraId="3524B6CF" w14:textId="77777777" w:rsidR="00000814" w:rsidRPr="00916995" w:rsidRDefault="00000814" w:rsidP="00786C75">
            <w:pPr>
              <w:jc w:val="center"/>
              <w:rPr>
                <w:color w:val="000000"/>
                <w:sz w:val="18"/>
                <w:szCs w:val="18"/>
              </w:rPr>
            </w:pPr>
            <w:r w:rsidRPr="00916995">
              <w:rPr>
                <w:color w:val="000000"/>
                <w:sz w:val="18"/>
                <w:szCs w:val="18"/>
              </w:rPr>
              <w:t>very dense sand</w:t>
            </w:r>
          </w:p>
        </w:tc>
      </w:tr>
      <w:tr w:rsidR="00000814" w:rsidRPr="00916995" w14:paraId="05F0AA1F" w14:textId="77777777" w:rsidTr="00F1377D">
        <w:trPr>
          <w:trHeight w:val="20"/>
          <w:jc w:val="center"/>
        </w:trPr>
        <w:tc>
          <w:tcPr>
            <w:tcW w:w="777" w:type="pct"/>
            <w:tcBorders>
              <w:top w:val="single" w:sz="4" w:space="0" w:color="000000"/>
              <w:left w:val="single" w:sz="4" w:space="0" w:color="000000"/>
              <w:right w:val="single" w:sz="4" w:space="0" w:color="000000"/>
            </w:tcBorders>
            <w:shd w:val="clear" w:color="auto" w:fill="auto"/>
            <w:noWrap/>
            <w:vAlign w:val="center"/>
          </w:tcPr>
          <w:p w14:paraId="1C269059" w14:textId="77777777" w:rsidR="00000814" w:rsidRPr="00916995" w:rsidRDefault="00000814" w:rsidP="00786C75">
            <w:pPr>
              <w:jc w:val="center"/>
              <w:rPr>
                <w:color w:val="000000"/>
                <w:sz w:val="18"/>
                <w:szCs w:val="18"/>
              </w:rPr>
            </w:pPr>
            <w:r w:rsidRPr="00916995">
              <w:rPr>
                <w:color w:val="000000"/>
                <w:sz w:val="18"/>
                <w:szCs w:val="18"/>
              </w:rPr>
              <w:t>18</w:t>
            </w:r>
          </w:p>
        </w:tc>
        <w:tc>
          <w:tcPr>
            <w:tcW w:w="781" w:type="pct"/>
            <w:tcBorders>
              <w:top w:val="single" w:sz="4" w:space="0" w:color="000000"/>
              <w:left w:val="single" w:sz="4" w:space="0" w:color="000000"/>
              <w:right w:val="single" w:sz="4" w:space="0" w:color="000000"/>
            </w:tcBorders>
            <w:shd w:val="clear" w:color="auto" w:fill="auto"/>
            <w:noWrap/>
            <w:vAlign w:val="center"/>
          </w:tcPr>
          <w:p w14:paraId="0E7C754F" w14:textId="77777777" w:rsidR="00000814" w:rsidRPr="00916995" w:rsidRDefault="00000814" w:rsidP="00786C75">
            <w:pPr>
              <w:jc w:val="center"/>
              <w:rPr>
                <w:color w:val="000000"/>
                <w:sz w:val="18"/>
                <w:szCs w:val="18"/>
              </w:rPr>
            </w:pPr>
            <w:r w:rsidRPr="00916995">
              <w:rPr>
                <w:color w:val="000000"/>
                <w:sz w:val="18"/>
                <w:szCs w:val="18"/>
              </w:rPr>
              <w:t>51</w:t>
            </w:r>
          </w:p>
        </w:tc>
        <w:tc>
          <w:tcPr>
            <w:tcW w:w="1333" w:type="pct"/>
            <w:vMerge w:val="restart"/>
            <w:tcBorders>
              <w:top w:val="single" w:sz="4" w:space="0" w:color="000000"/>
              <w:left w:val="single" w:sz="4" w:space="0" w:color="000000"/>
              <w:right w:val="single" w:sz="4" w:space="0" w:color="000000"/>
            </w:tcBorders>
            <w:shd w:val="clear" w:color="auto" w:fill="auto"/>
            <w:noWrap/>
            <w:vAlign w:val="center"/>
          </w:tcPr>
          <w:p w14:paraId="57AD1C68" w14:textId="77777777" w:rsidR="00000814" w:rsidRPr="00916995" w:rsidRDefault="00000814" w:rsidP="00786C75">
            <w:pPr>
              <w:jc w:val="center"/>
              <w:rPr>
                <w:color w:val="000000"/>
                <w:sz w:val="18"/>
                <w:szCs w:val="18"/>
              </w:rPr>
            </w:pPr>
            <w:r w:rsidRPr="00916995">
              <w:rPr>
                <w:color w:val="000000"/>
                <w:sz w:val="18"/>
                <w:szCs w:val="18"/>
              </w:rPr>
              <w:t>dense sand</w:t>
            </w:r>
          </w:p>
        </w:tc>
        <w:tc>
          <w:tcPr>
            <w:tcW w:w="775" w:type="pct"/>
            <w:tcBorders>
              <w:top w:val="single" w:sz="4" w:space="0" w:color="000000"/>
              <w:left w:val="single" w:sz="4" w:space="0" w:color="000000"/>
              <w:right w:val="single" w:sz="4" w:space="0" w:color="000000"/>
            </w:tcBorders>
            <w:vAlign w:val="center"/>
          </w:tcPr>
          <w:p w14:paraId="2727B147" w14:textId="77777777" w:rsidR="00000814" w:rsidRPr="00916995" w:rsidRDefault="00000814" w:rsidP="00786C75">
            <w:pPr>
              <w:jc w:val="center"/>
              <w:rPr>
                <w:color w:val="000000"/>
                <w:sz w:val="18"/>
                <w:szCs w:val="18"/>
              </w:rPr>
            </w:pPr>
            <w:r w:rsidRPr="00916995">
              <w:rPr>
                <w:color w:val="000000"/>
                <w:sz w:val="18"/>
                <w:szCs w:val="18"/>
              </w:rPr>
              <w:t>50</w:t>
            </w:r>
          </w:p>
        </w:tc>
        <w:tc>
          <w:tcPr>
            <w:tcW w:w="1334" w:type="pct"/>
            <w:vMerge/>
            <w:tcBorders>
              <w:left w:val="single" w:sz="4" w:space="0" w:color="000000"/>
              <w:right w:val="single" w:sz="4" w:space="0" w:color="000000"/>
            </w:tcBorders>
          </w:tcPr>
          <w:p w14:paraId="38C8AF0F" w14:textId="77777777" w:rsidR="00000814" w:rsidRPr="00916995" w:rsidRDefault="00000814" w:rsidP="00786C75">
            <w:pPr>
              <w:jc w:val="center"/>
              <w:rPr>
                <w:color w:val="000000"/>
                <w:sz w:val="18"/>
                <w:szCs w:val="18"/>
              </w:rPr>
            </w:pPr>
          </w:p>
        </w:tc>
      </w:tr>
      <w:tr w:rsidR="00000814" w:rsidRPr="00916995" w14:paraId="556836FE" w14:textId="77777777" w:rsidTr="00F1377D">
        <w:trPr>
          <w:trHeight w:val="20"/>
          <w:jc w:val="center"/>
        </w:trPr>
        <w:tc>
          <w:tcPr>
            <w:tcW w:w="777" w:type="pct"/>
            <w:tcBorders>
              <w:left w:val="single" w:sz="4" w:space="0" w:color="000000"/>
              <w:right w:val="single" w:sz="4" w:space="0" w:color="000000"/>
            </w:tcBorders>
            <w:shd w:val="clear" w:color="auto" w:fill="auto"/>
            <w:noWrap/>
            <w:vAlign w:val="center"/>
          </w:tcPr>
          <w:p w14:paraId="7CBB084D" w14:textId="77777777" w:rsidR="00000814" w:rsidRPr="00916995" w:rsidRDefault="00000814" w:rsidP="00786C75">
            <w:pPr>
              <w:jc w:val="center"/>
              <w:rPr>
                <w:color w:val="000000"/>
                <w:sz w:val="18"/>
                <w:szCs w:val="18"/>
              </w:rPr>
            </w:pPr>
            <w:r w:rsidRPr="00916995">
              <w:rPr>
                <w:color w:val="000000"/>
                <w:sz w:val="18"/>
                <w:szCs w:val="18"/>
              </w:rPr>
              <w:t>20</w:t>
            </w:r>
          </w:p>
        </w:tc>
        <w:tc>
          <w:tcPr>
            <w:tcW w:w="781" w:type="pct"/>
            <w:tcBorders>
              <w:left w:val="single" w:sz="4" w:space="0" w:color="000000"/>
              <w:right w:val="single" w:sz="4" w:space="0" w:color="000000"/>
            </w:tcBorders>
            <w:shd w:val="clear" w:color="auto" w:fill="auto"/>
            <w:noWrap/>
            <w:vAlign w:val="center"/>
          </w:tcPr>
          <w:p w14:paraId="2E3A7626" w14:textId="77777777" w:rsidR="00000814" w:rsidRPr="00916995" w:rsidRDefault="00000814" w:rsidP="00786C75">
            <w:pPr>
              <w:jc w:val="center"/>
              <w:rPr>
                <w:color w:val="000000"/>
                <w:sz w:val="18"/>
                <w:szCs w:val="18"/>
              </w:rPr>
            </w:pPr>
            <w:r w:rsidRPr="00916995">
              <w:rPr>
                <w:color w:val="000000"/>
                <w:sz w:val="18"/>
                <w:szCs w:val="18"/>
              </w:rPr>
              <w:t>26</w:t>
            </w:r>
          </w:p>
        </w:tc>
        <w:tc>
          <w:tcPr>
            <w:tcW w:w="1333" w:type="pct"/>
            <w:vMerge/>
            <w:tcBorders>
              <w:left w:val="single" w:sz="4" w:space="0" w:color="000000"/>
              <w:right w:val="single" w:sz="4" w:space="0" w:color="000000"/>
            </w:tcBorders>
            <w:vAlign w:val="center"/>
          </w:tcPr>
          <w:p w14:paraId="13D3532B" w14:textId="77777777" w:rsidR="00000814" w:rsidRPr="00916995" w:rsidRDefault="00000814" w:rsidP="00786C75">
            <w:pPr>
              <w:rPr>
                <w:i/>
                <w:iCs/>
                <w:color w:val="000000"/>
                <w:sz w:val="18"/>
                <w:szCs w:val="18"/>
              </w:rPr>
            </w:pPr>
          </w:p>
        </w:tc>
        <w:tc>
          <w:tcPr>
            <w:tcW w:w="775" w:type="pct"/>
            <w:tcBorders>
              <w:left w:val="single" w:sz="4" w:space="0" w:color="000000"/>
              <w:right w:val="single" w:sz="4" w:space="0" w:color="000000"/>
            </w:tcBorders>
            <w:vAlign w:val="center"/>
          </w:tcPr>
          <w:p w14:paraId="2D2A576A" w14:textId="77777777" w:rsidR="00000814" w:rsidRPr="00916995" w:rsidRDefault="00000814" w:rsidP="00786C75">
            <w:pPr>
              <w:jc w:val="center"/>
              <w:rPr>
                <w:i/>
                <w:iCs/>
                <w:color w:val="000000"/>
                <w:sz w:val="18"/>
                <w:szCs w:val="18"/>
              </w:rPr>
            </w:pPr>
            <w:r w:rsidRPr="00916995">
              <w:rPr>
                <w:color w:val="000000"/>
                <w:sz w:val="18"/>
                <w:szCs w:val="18"/>
              </w:rPr>
              <w:t>72</w:t>
            </w:r>
          </w:p>
        </w:tc>
        <w:tc>
          <w:tcPr>
            <w:tcW w:w="1334" w:type="pct"/>
            <w:vMerge/>
            <w:tcBorders>
              <w:left w:val="single" w:sz="4" w:space="0" w:color="000000"/>
              <w:right w:val="single" w:sz="4" w:space="0" w:color="000000"/>
            </w:tcBorders>
          </w:tcPr>
          <w:p w14:paraId="4C68393A" w14:textId="77777777" w:rsidR="00000814" w:rsidRPr="00916995" w:rsidRDefault="00000814" w:rsidP="00786C75">
            <w:pPr>
              <w:rPr>
                <w:i/>
                <w:iCs/>
                <w:color w:val="000000"/>
                <w:sz w:val="18"/>
                <w:szCs w:val="18"/>
              </w:rPr>
            </w:pPr>
          </w:p>
        </w:tc>
      </w:tr>
    </w:tbl>
    <w:p w14:paraId="4E62BC4A" w14:textId="77777777" w:rsidR="00013880" w:rsidRDefault="00013880" w:rsidP="00013880">
      <w:pPr>
        <w:pStyle w:val="Paragraph"/>
      </w:pPr>
    </w:p>
    <w:p w14:paraId="5B978517" w14:textId="59027581" w:rsidR="00013880" w:rsidRDefault="00013880" w:rsidP="00013880">
      <w:pPr>
        <w:pStyle w:val="Paragraph"/>
      </w:pPr>
      <w:r w:rsidRPr="00C30BFF">
        <w:t xml:space="preserve">The location of study area is shown in Figure </w:t>
      </w:r>
      <w:r>
        <w:t>2</w:t>
      </w:r>
      <w:r w:rsidRPr="00C30BFF">
        <w:t>.</w:t>
      </w:r>
    </w:p>
    <w:p w14:paraId="5ED9AAFB" w14:textId="24691FB3" w:rsidR="00013880" w:rsidRPr="00D81278" w:rsidRDefault="00E93B70" w:rsidP="00013880">
      <w:pPr>
        <w:pStyle w:val="NoSpacing"/>
        <w:jc w:val="center"/>
      </w:pPr>
      <w:r>
        <w:rPr>
          <w:rFonts w:ascii="Times New Roman" w:hAnsi="Times New Roman"/>
          <w:noProof/>
          <w:sz w:val="20"/>
          <w:szCs w:val="20"/>
        </w:rPr>
        <w:lastRenderedPageBreak/>
        <w:drawing>
          <wp:anchor distT="0" distB="0" distL="114300" distR="114300" simplePos="0" relativeHeight="251663360" behindDoc="0" locked="0" layoutInCell="1" allowOverlap="1" wp14:anchorId="65402850" wp14:editId="497D4980">
            <wp:simplePos x="0" y="0"/>
            <wp:positionH relativeFrom="column">
              <wp:posOffset>1373505</wp:posOffset>
            </wp:positionH>
            <wp:positionV relativeFrom="paragraph">
              <wp:posOffset>1544320</wp:posOffset>
            </wp:positionV>
            <wp:extent cx="491490" cy="152400"/>
            <wp:effectExtent l="0" t="0" r="3810" b="0"/>
            <wp:wrapNone/>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490" cy="152400"/>
                    </a:xfrm>
                    <a:prstGeom prst="rect">
                      <a:avLst/>
                    </a:prstGeom>
                  </pic:spPr>
                </pic:pic>
              </a:graphicData>
            </a:graphic>
            <wp14:sizeRelH relativeFrom="page">
              <wp14:pctWidth>0</wp14:pctWidth>
            </wp14:sizeRelH>
            <wp14:sizeRelV relativeFrom="page">
              <wp14:pctHeight>0</wp14:pctHeight>
            </wp14:sizeRelV>
          </wp:anchor>
        </w:drawing>
      </w:r>
      <w:r w:rsidRPr="00D81278">
        <w:rPr>
          <w:noProof/>
        </w:rPr>
        <mc:AlternateContent>
          <mc:Choice Requires="wps">
            <w:drawing>
              <wp:anchor distT="0" distB="0" distL="0" distR="0" simplePos="0" relativeHeight="251669504" behindDoc="0" locked="0" layoutInCell="1" allowOverlap="1" wp14:anchorId="3D507EB8" wp14:editId="1AA2A491">
                <wp:simplePos x="0" y="0"/>
                <wp:positionH relativeFrom="column">
                  <wp:posOffset>2034540</wp:posOffset>
                </wp:positionH>
                <wp:positionV relativeFrom="paragraph">
                  <wp:posOffset>1360170</wp:posOffset>
                </wp:positionV>
                <wp:extent cx="1568450" cy="468630"/>
                <wp:effectExtent l="25400" t="0" r="19050" b="52070"/>
                <wp:wrapNone/>
                <wp:docPr id="1027" name="Straight Arrow Connector 28"/>
                <wp:cNvGraphicFramePr/>
                <a:graphic xmlns:a="http://schemas.openxmlformats.org/drawingml/2006/main">
                  <a:graphicData uri="http://schemas.microsoft.com/office/word/2010/wordprocessingShape">
                    <wps:wsp>
                      <wps:cNvCnPr/>
                      <wps:spPr>
                        <a:xfrm flipH="1">
                          <a:off x="0" y="0"/>
                          <a:ext cx="1568450" cy="468630"/>
                        </a:xfrm>
                        <a:prstGeom prst="straightConnector1">
                          <a:avLst/>
                        </a:prstGeom>
                        <a:ln w="12700" cap="flat" cmpd="sng">
                          <a:solidFill>
                            <a:srgbClr val="000000"/>
                          </a:solidFill>
                          <a:prstDash val="solid"/>
                          <a:miter/>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65F988F4" id="_x0000_t32" coordsize="21600,21600" o:spt="32" o:oned="t" path="m,l21600,21600e" filled="f">
                <v:path arrowok="t" fillok="f" o:connecttype="none"/>
                <o:lock v:ext="edit" shapetype="t"/>
              </v:shapetype>
              <v:shape id="Straight Arrow Connector 28" o:spid="_x0000_s1026" type="#_x0000_t32" style="position:absolute;margin-left:160.2pt;margin-top:107.1pt;width:123.5pt;height:36.9pt;flip:x;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" strokeweight="1pt">
                <v:stroke endarrow="block" joinstyle="miter"/>
              </v:shape>
            </w:pict>
          </mc:Fallback>
        </mc:AlternateContent>
      </w:r>
      <w:r w:rsidRPr="00D81278">
        <w:rPr>
          <w:noProof/>
        </w:rPr>
        <mc:AlternateContent>
          <mc:Choice Requires="wps">
            <w:drawing>
              <wp:anchor distT="0" distB="0" distL="0" distR="0" simplePos="0" relativeHeight="251662336" behindDoc="0" locked="0" layoutInCell="1" allowOverlap="1" wp14:anchorId="48134620" wp14:editId="1E92DE68">
                <wp:simplePos x="0" y="0"/>
                <wp:positionH relativeFrom="column">
                  <wp:posOffset>2286000</wp:posOffset>
                </wp:positionH>
                <wp:positionV relativeFrom="paragraph">
                  <wp:posOffset>342900</wp:posOffset>
                </wp:positionV>
                <wp:extent cx="1316990" cy="948690"/>
                <wp:effectExtent l="0" t="0" r="54610" b="41910"/>
                <wp:wrapNone/>
                <wp:docPr id="1030" name="Straight Arrow Connector 6"/>
                <wp:cNvGraphicFramePr/>
                <a:graphic xmlns:a="http://schemas.openxmlformats.org/drawingml/2006/main">
                  <a:graphicData uri="http://schemas.microsoft.com/office/word/2010/wordprocessingShape">
                    <wps:wsp>
                      <wps:cNvCnPr/>
                      <wps:spPr>
                        <a:xfrm>
                          <a:off x="0" y="0"/>
                          <a:ext cx="1316990" cy="948690"/>
                        </a:xfrm>
                        <a:prstGeom prst="straightConnector1">
                          <a:avLst/>
                        </a:prstGeom>
                        <a:ln w="12700" cap="flat" cmpd="sng">
                          <a:solidFill>
                            <a:srgbClr val="000000"/>
                          </a:solidFill>
                          <a:prstDash val="solid"/>
                          <a:miter/>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07E29C2" id="Straight Arrow Connector 6" o:spid="_x0000_s1026" type="#_x0000_t32" style="position:absolute;margin-left:180pt;margin-top:27pt;width:103.7pt;height:74.7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" strokeweight="1pt">
                <v:stroke endarrow="block" joinstyle="miter"/>
              </v:shape>
            </w:pict>
          </mc:Fallback>
        </mc:AlternateContent>
      </w:r>
      <w:r w:rsidR="00013880" w:rsidRPr="00D81278">
        <w:rPr>
          <w:noProof/>
        </w:rPr>
        <mc:AlternateContent>
          <mc:Choice Requires="wps">
            <w:drawing>
              <wp:anchor distT="0" distB="0" distL="0" distR="0" simplePos="0" relativeHeight="251671552" behindDoc="0" locked="0" layoutInCell="1" allowOverlap="1" wp14:anchorId="4DCD7092" wp14:editId="574A512F">
                <wp:simplePos x="0" y="0"/>
                <wp:positionH relativeFrom="column">
                  <wp:posOffset>4267200</wp:posOffset>
                </wp:positionH>
                <wp:positionV relativeFrom="paragraph">
                  <wp:posOffset>-114300</wp:posOffset>
                </wp:positionV>
                <wp:extent cx="638175" cy="438150"/>
                <wp:effectExtent l="0" t="0" r="0" b="0"/>
                <wp:wrapNone/>
                <wp:docPr id="3" name="Text Box 26"/>
                <wp:cNvGraphicFramePr/>
                <a:graphic xmlns:a="http://schemas.openxmlformats.org/drawingml/2006/main">
                  <a:graphicData uri="http://schemas.microsoft.com/office/word/2010/wordprocessingShape">
                    <wps:wsp>
                      <wps:cNvSpPr/>
                      <wps:spPr>
                        <a:xfrm>
                          <a:off x="0" y="0"/>
                          <a:ext cx="638175" cy="438150"/>
                        </a:xfrm>
                        <a:prstGeom prst="rect">
                          <a:avLst/>
                        </a:prstGeom>
                        <a:ln>
                          <a:noFill/>
                        </a:ln>
                      </wps:spPr>
                      <wps:txbx>
                        <w:txbxContent>
                          <w:p w14:paraId="0857C812" w14:textId="77777777" w:rsidR="00F26813" w:rsidRPr="001C68AC" w:rsidRDefault="00F26813" w:rsidP="00013880">
                            <w:pPr>
                              <w:rPr>
                                <w:sz w:val="20"/>
                              </w:rPr>
                            </w:pPr>
                            <w:r>
                              <w:rPr>
                                <w:sz w:val="20"/>
                              </w:rPr>
                              <w:t>N</w:t>
                            </w:r>
                          </w:p>
                        </w:txbxContent>
                      </wps:txbx>
                      <wps:bodyPr vert="horz"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DCD7092" id="Text Box 26" o:spid="_x0000_s1026" style="position:absolute;left:0;text-align:left;margin-left:336pt;margin-top:-9pt;width:50.25pt;height:34.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" filled="f" stroked="f">
                <v:textbox>
                  <w:txbxContent>
                    <w:p w14:paraId="0857C812" w14:textId="77777777" w:rsidR="00F26813" w:rsidRPr="001C68AC" w:rsidRDefault="00F26813" w:rsidP="00013880">
                      <w:pPr>
                        <w:rPr>
                          <w:sz w:val="20"/>
                        </w:rPr>
                      </w:pPr>
                      <w:r>
                        <w:rPr>
                          <w:sz w:val="20"/>
                        </w:rPr>
                        <w:t>N</w:t>
                      </w:r>
                    </w:p>
                  </w:txbxContent>
                </v:textbox>
              </v:rect>
            </w:pict>
          </mc:Fallback>
        </mc:AlternateContent>
      </w:r>
      <w:r w:rsidR="00013880">
        <w:rPr>
          <w:noProof/>
        </w:rPr>
        <w:drawing>
          <wp:anchor distT="0" distB="0" distL="114300" distR="114300" simplePos="0" relativeHeight="251665408" behindDoc="0" locked="0" layoutInCell="1" allowOverlap="1" wp14:anchorId="29358BDD" wp14:editId="06436EA9">
            <wp:simplePos x="0" y="0"/>
            <wp:positionH relativeFrom="column">
              <wp:posOffset>4132580</wp:posOffset>
            </wp:positionH>
            <wp:positionV relativeFrom="paragraph">
              <wp:posOffset>156210</wp:posOffset>
            </wp:positionV>
            <wp:extent cx="494030" cy="485775"/>
            <wp:effectExtent l="0" t="0" r="0" b="0"/>
            <wp:wrapNone/>
            <wp:docPr id="4" name="Picture 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10;&#10;Description automatically generated with low confidence"/>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94030" cy="485775"/>
                    </a:xfrm>
                    <a:prstGeom prst="rect">
                      <a:avLst/>
                    </a:prstGeom>
                  </pic:spPr>
                </pic:pic>
              </a:graphicData>
            </a:graphic>
            <wp14:sizeRelH relativeFrom="page">
              <wp14:pctWidth>0</wp14:pctWidth>
            </wp14:sizeRelH>
            <wp14:sizeRelV relativeFrom="page">
              <wp14:pctHeight>0</wp14:pctHeight>
            </wp14:sizeRelV>
          </wp:anchor>
        </w:drawing>
      </w:r>
      <w:r w:rsidR="00013880" w:rsidRPr="00D81278">
        <w:rPr>
          <w:noProof/>
        </w:rPr>
        <mc:AlternateContent>
          <mc:Choice Requires="wps">
            <w:drawing>
              <wp:anchor distT="0" distB="0" distL="0" distR="0" simplePos="0" relativeHeight="251668480" behindDoc="0" locked="0" layoutInCell="1" allowOverlap="1" wp14:anchorId="63F906E9" wp14:editId="6D3E1AB9">
                <wp:simplePos x="0" y="0"/>
                <wp:positionH relativeFrom="column">
                  <wp:posOffset>4264025</wp:posOffset>
                </wp:positionH>
                <wp:positionV relativeFrom="paragraph">
                  <wp:posOffset>1651000</wp:posOffset>
                </wp:positionV>
                <wp:extent cx="638175" cy="438150"/>
                <wp:effectExtent l="0" t="0" r="0" b="0"/>
                <wp:wrapNone/>
                <wp:docPr id="8" name="Text Box 26"/>
                <wp:cNvGraphicFramePr/>
                <a:graphic xmlns:a="http://schemas.openxmlformats.org/drawingml/2006/main">
                  <a:graphicData uri="http://schemas.microsoft.com/office/word/2010/wordprocessingShape">
                    <wps:wsp>
                      <wps:cNvSpPr/>
                      <wps:spPr>
                        <a:xfrm>
                          <a:off x="0" y="0"/>
                          <a:ext cx="638175" cy="438150"/>
                        </a:xfrm>
                        <a:prstGeom prst="rect">
                          <a:avLst/>
                        </a:prstGeom>
                        <a:ln>
                          <a:noFill/>
                        </a:ln>
                      </wps:spPr>
                      <wps:txbx>
                        <w:txbxContent>
                          <w:p w14:paraId="49255616" w14:textId="77777777" w:rsidR="00F26813" w:rsidRPr="001C68AC" w:rsidRDefault="00F26813" w:rsidP="00013880">
                            <w:pPr>
                              <w:rPr>
                                <w:sz w:val="20"/>
                              </w:rPr>
                            </w:pPr>
                            <w:r>
                              <w:rPr>
                                <w:sz w:val="20"/>
                              </w:rPr>
                              <w:t>N</w:t>
                            </w:r>
                          </w:p>
                        </w:txbxContent>
                      </wps:txbx>
                      <wps:bodyPr vert="horz"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3F906E9" id="_x0000_s1027" style="position:absolute;left:0;text-align:left;margin-left:335.75pt;margin-top:130pt;width:50.25pt;height:34.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" filled="f" stroked="f">
                <v:textbox>
                  <w:txbxContent>
                    <w:p w14:paraId="49255616" w14:textId="77777777" w:rsidR="00F26813" w:rsidRPr="001C68AC" w:rsidRDefault="00F26813" w:rsidP="00013880">
                      <w:pPr>
                        <w:rPr>
                          <w:sz w:val="20"/>
                        </w:rPr>
                      </w:pPr>
                      <w:r>
                        <w:rPr>
                          <w:sz w:val="20"/>
                        </w:rPr>
                        <w:t>N</w:t>
                      </w:r>
                    </w:p>
                  </w:txbxContent>
                </v:textbox>
              </v:rect>
            </w:pict>
          </mc:Fallback>
        </mc:AlternateContent>
      </w:r>
      <w:r w:rsidR="00013880" w:rsidRPr="00D81278">
        <w:rPr>
          <w:noProof/>
        </w:rPr>
        <w:drawing>
          <wp:anchor distT="0" distB="0" distL="114300" distR="114300" simplePos="0" relativeHeight="251664384" behindDoc="0" locked="0" layoutInCell="1" allowOverlap="1" wp14:anchorId="57E93533" wp14:editId="2F5AEB2B">
            <wp:simplePos x="0" y="0"/>
            <wp:positionH relativeFrom="column">
              <wp:posOffset>1314450</wp:posOffset>
            </wp:positionH>
            <wp:positionV relativeFrom="paragraph">
              <wp:posOffset>1734185</wp:posOffset>
            </wp:positionV>
            <wp:extent cx="3268980" cy="2114550"/>
            <wp:effectExtent l="0" t="0" r="0" b="6350"/>
            <wp:wrapNone/>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8980" cy="2114550"/>
                    </a:xfrm>
                    <a:prstGeom prst="rect">
                      <a:avLst/>
                    </a:prstGeom>
                  </pic:spPr>
                </pic:pic>
              </a:graphicData>
            </a:graphic>
            <wp14:sizeRelH relativeFrom="page">
              <wp14:pctWidth>0</wp14:pctWidth>
            </wp14:sizeRelH>
            <wp14:sizeRelV relativeFrom="page">
              <wp14:pctHeight>0</wp14:pctHeight>
            </wp14:sizeRelV>
          </wp:anchor>
        </w:drawing>
      </w:r>
      <w:r w:rsidR="00013880" w:rsidRPr="00D81278">
        <w:rPr>
          <w:noProof/>
        </w:rPr>
        <w:drawing>
          <wp:anchor distT="0" distB="0" distL="0" distR="0" simplePos="0" relativeHeight="251659264" behindDoc="0" locked="0" layoutInCell="1" allowOverlap="1" wp14:anchorId="0E253D95" wp14:editId="7DB17072">
            <wp:simplePos x="0" y="0"/>
            <wp:positionH relativeFrom="column">
              <wp:posOffset>1361440</wp:posOffset>
            </wp:positionH>
            <wp:positionV relativeFrom="paragraph">
              <wp:posOffset>8890</wp:posOffset>
            </wp:positionV>
            <wp:extent cx="1638300" cy="784225"/>
            <wp:effectExtent l="76200" t="63500" r="76200" b="92075"/>
            <wp:wrapNone/>
            <wp:docPr id="1031" name="Picture 19"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31" name="Picture 19" descr="Map&#10;&#10;Description automatically generated"/>
                    <pic:cNvPicPr/>
                  </pic:nvPicPr>
                  <pic:blipFill>
                    <a:blip r:embed="rId14" cstate="print"/>
                    <a:srcRect/>
                    <a:stretch>
                      <a:fillRect/>
                    </a:stretch>
                  </pic:blipFill>
                  <pic:spPr>
                    <a:xfrm>
                      <a:off x="0" y="0"/>
                      <a:ext cx="1638300" cy="784225"/>
                    </a:xfrm>
                    <a:prstGeom prst="rect">
                      <a:avLst/>
                    </a:prstGeom>
                    <a:solidFill>
                      <a:srgbClr val="EDEDED"/>
                    </a:solidFill>
                    <a:ln w="9525" cap="sq" cmpd="sng">
                      <a:solidFill>
                        <a:srgbClr val="000000"/>
                      </a:solidFill>
                      <a:prstDash val="solid"/>
                      <a:miter/>
                      <a:headEnd type="none" w="med" len="med"/>
                      <a:tailEnd type="none" w="med" len="med"/>
                    </a:ln>
                    <a:effectLst>
                      <a:outerShdw blurRad="55000" dist="127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013880" w:rsidRPr="00D81278">
        <w:rPr>
          <w:noProof/>
        </w:rPr>
        <mc:AlternateContent>
          <mc:Choice Requires="wps">
            <w:drawing>
              <wp:anchor distT="0" distB="0" distL="0" distR="0" simplePos="0" relativeHeight="251660288" behindDoc="0" locked="0" layoutInCell="1" allowOverlap="1" wp14:anchorId="19E138E6" wp14:editId="70508799">
                <wp:simplePos x="0" y="0"/>
                <wp:positionH relativeFrom="column">
                  <wp:posOffset>3796030</wp:posOffset>
                </wp:positionH>
                <wp:positionV relativeFrom="paragraph">
                  <wp:posOffset>1108710</wp:posOffset>
                </wp:positionV>
                <wp:extent cx="856615" cy="375285"/>
                <wp:effectExtent l="0" t="0" r="0" b="0"/>
                <wp:wrapNone/>
                <wp:docPr id="1028" name="Text Box 26"/>
                <wp:cNvGraphicFramePr/>
                <a:graphic xmlns:a="http://schemas.openxmlformats.org/drawingml/2006/main">
                  <a:graphicData uri="http://schemas.microsoft.com/office/word/2010/wordprocessingShape">
                    <wps:wsp>
                      <wps:cNvSpPr/>
                      <wps:spPr>
                        <a:xfrm>
                          <a:off x="0" y="0"/>
                          <a:ext cx="856615" cy="375285"/>
                        </a:xfrm>
                        <a:prstGeom prst="rect">
                          <a:avLst/>
                        </a:prstGeom>
                        <a:ln>
                          <a:noFill/>
                        </a:ln>
                      </wps:spPr>
                      <wps:txbx>
                        <w:txbxContent>
                          <w:p w14:paraId="38645991" w14:textId="77777777" w:rsidR="00F26813" w:rsidRPr="001C68AC" w:rsidRDefault="00F26813" w:rsidP="00013880">
                            <w:pPr>
                              <w:rPr>
                                <w:sz w:val="20"/>
                              </w:rPr>
                            </w:pPr>
                            <w:r>
                              <w:rPr>
                                <w:sz w:val="20"/>
                              </w:rPr>
                              <w:t>Palu City</w:t>
                            </w:r>
                          </w:p>
                        </w:txbxContent>
                      </wps:txbx>
                      <wps:bodyPr vert="horz" wrap="square" lIns="91440" tIns="45720" rIns="91440" bIns="45720" anchor="ctr"/>
                    </wps:wsp>
                  </a:graphicData>
                </a:graphic>
              </wp:anchor>
            </w:drawing>
          </mc:Choice>
          <mc:Fallback>
            <w:pict>
              <v:rect w14:anchorId="19E138E6" id="_x0000_s1028" style="position:absolute;left:0;text-align:left;margin-left:298.9pt;margin-top:87.3pt;width:67.45pt;height:29.55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" filled="f" stroked="f">
                <v:textbox>
                  <w:txbxContent>
                    <w:p w14:paraId="38645991" w14:textId="77777777" w:rsidR="00F26813" w:rsidRPr="001C68AC" w:rsidRDefault="00F26813" w:rsidP="00013880">
                      <w:pPr>
                        <w:rPr>
                          <w:sz w:val="20"/>
                        </w:rPr>
                      </w:pPr>
                      <w:proofErr w:type="spellStart"/>
                      <w:r>
                        <w:rPr>
                          <w:sz w:val="20"/>
                        </w:rPr>
                        <w:t>Palu</w:t>
                      </w:r>
                      <w:proofErr w:type="spellEnd"/>
                      <w:r>
                        <w:rPr>
                          <w:sz w:val="20"/>
                        </w:rPr>
                        <w:t xml:space="preserve"> City</w:t>
                      </w:r>
                    </w:p>
                  </w:txbxContent>
                </v:textbox>
              </v:rect>
            </w:pict>
          </mc:Fallback>
        </mc:AlternateContent>
      </w:r>
      <w:r w:rsidR="00013880" w:rsidRPr="00D81278">
        <w:rPr>
          <w:noProof/>
        </w:rPr>
        <mc:AlternateContent>
          <mc:Choice Requires="wps">
            <w:drawing>
              <wp:anchor distT="0" distB="0" distL="0" distR="0" simplePos="0" relativeHeight="251661312" behindDoc="0" locked="0" layoutInCell="1" allowOverlap="1" wp14:anchorId="5C6EF3B0" wp14:editId="27879190">
                <wp:simplePos x="0" y="0"/>
                <wp:positionH relativeFrom="column">
                  <wp:posOffset>3573145</wp:posOffset>
                </wp:positionH>
                <wp:positionV relativeFrom="paragraph">
                  <wp:posOffset>1226820</wp:posOffset>
                </wp:positionV>
                <wp:extent cx="269240" cy="279400"/>
                <wp:effectExtent l="0" t="0" r="10160" b="13334"/>
                <wp:wrapNone/>
                <wp:docPr id="1029" name="Oval 29"/>
                <wp:cNvGraphicFramePr/>
                <a:graphic xmlns:a="http://schemas.openxmlformats.org/drawingml/2006/main">
                  <a:graphicData uri="http://schemas.microsoft.com/office/word/2010/wordprocessingShape">
                    <wps:wsp>
                      <wps:cNvSpPr/>
                      <wps:spPr>
                        <a:xfrm>
                          <a:off x="0" y="0"/>
                          <a:ext cx="269240" cy="279400"/>
                        </a:xfrm>
                        <a:prstGeom prst="ellipse">
                          <a:avLst/>
                        </a:prstGeom>
                        <a:ln w="12700" cap="flat" cmpd="sng">
                          <a:solidFill>
                            <a:srgbClr val="000000"/>
                          </a:solidFill>
                          <a:prstDash val="solid"/>
                          <a:miter/>
                        </a:ln>
                      </wps:spPr>
                      <wps:bodyPr/>
                    </wps:wsp>
                  </a:graphicData>
                </a:graphic>
              </wp:anchor>
            </w:drawing>
          </mc:Choice>
          <mc:Fallback>
            <w:pict>
              <v:oval w14:anchorId="314AB157" id="Oval 29" o:spid="_x0000_s1026" style="position:absolute;margin-left:281.35pt;margin-top:96.6pt;width:21.2pt;height:22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" filled="f" strokeweight="1pt">
                <v:stroke joinstyle="miter"/>
              </v:oval>
            </w:pict>
          </mc:Fallback>
        </mc:AlternateContent>
      </w:r>
      <w:r w:rsidR="00013880" w:rsidRPr="00D81278">
        <w:rPr>
          <w:noProof/>
        </w:rPr>
        <w:drawing>
          <wp:inline distT="0" distB="0" distL="0" distR="0" wp14:anchorId="16E80700" wp14:editId="5E613BA0">
            <wp:extent cx="3221990" cy="1724660"/>
            <wp:effectExtent l="12700" t="12700" r="16510" b="15240"/>
            <wp:docPr id="1034" name="Picture 22"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34" name="Picture 22" descr="Map&#10;&#10;Description automatically generated"/>
                    <pic:cNvPicPr/>
                  </pic:nvPicPr>
                  <pic:blipFill>
                    <a:blip r:embed="rId15" cstate="print"/>
                    <a:srcRect/>
                    <a:stretch>
                      <a:fillRect/>
                    </a:stretch>
                  </pic:blipFill>
                  <pic:spPr>
                    <a:xfrm>
                      <a:off x="0" y="0"/>
                      <a:ext cx="3221990" cy="1724660"/>
                    </a:xfrm>
                    <a:prstGeom prst="rect">
                      <a:avLst/>
                    </a:prstGeom>
                    <a:ln w="9525" cap="flat" cmpd="sng">
                      <a:solidFill>
                        <a:srgbClr val="000000"/>
                      </a:solidFill>
                      <a:prstDash val="solid"/>
                      <a:round/>
                    </a:ln>
                  </pic:spPr>
                </pic:pic>
              </a:graphicData>
            </a:graphic>
          </wp:inline>
        </w:drawing>
      </w:r>
    </w:p>
    <w:p w14:paraId="5F81410A" w14:textId="77777777" w:rsidR="00013880" w:rsidRDefault="00013880" w:rsidP="00013880">
      <w:pPr>
        <w:pStyle w:val="NoSpacing"/>
        <w:jc w:val="center"/>
      </w:pPr>
      <w:r>
        <w:rPr>
          <w:noProof/>
        </w:rPr>
        <w:drawing>
          <wp:anchor distT="0" distB="0" distL="114300" distR="114300" simplePos="0" relativeHeight="251667456" behindDoc="0" locked="0" layoutInCell="1" allowOverlap="1" wp14:anchorId="533964E8" wp14:editId="5BE0F4D1">
            <wp:simplePos x="0" y="0"/>
            <wp:positionH relativeFrom="column">
              <wp:posOffset>4143375</wp:posOffset>
            </wp:positionH>
            <wp:positionV relativeFrom="paragraph">
              <wp:posOffset>137160</wp:posOffset>
            </wp:positionV>
            <wp:extent cx="494030" cy="485775"/>
            <wp:effectExtent l="0" t="0" r="0" b="0"/>
            <wp:wrapNone/>
            <wp:docPr id="12" name="Picture 1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10;&#10;Description automatically generated with low confidence"/>
                    <pic:cNvPicPr/>
                  </pic:nvPicPr>
                  <pic:blipFill>
                    <a:blip r:embed="rId11" cstate="print">
                      <a:duotone>
                        <a:prstClr val="black"/>
                        <a:schemeClr val="bg1">
                          <a:tint val="45000"/>
                          <a:satMod val="400000"/>
                        </a:schemeClr>
                      </a:duotone>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94030" cy="485775"/>
                    </a:xfrm>
                    <a:prstGeom prst="rect">
                      <a:avLst/>
                    </a:prstGeom>
                  </pic:spPr>
                </pic:pic>
              </a:graphicData>
            </a:graphic>
            <wp14:sizeRelH relativeFrom="page">
              <wp14:pctWidth>0</wp14:pctWidth>
            </wp14:sizeRelH>
            <wp14:sizeRelV relativeFrom="page">
              <wp14:pctHeight>0</wp14:pctHeight>
            </wp14:sizeRelV>
          </wp:anchor>
        </w:drawing>
      </w:r>
      <w:r w:rsidRPr="00D81278">
        <w:rPr>
          <w:noProof/>
        </w:rPr>
        <mc:AlternateContent>
          <mc:Choice Requires="wps">
            <w:drawing>
              <wp:anchor distT="0" distB="0" distL="0" distR="0" simplePos="0" relativeHeight="251666432" behindDoc="0" locked="0" layoutInCell="1" allowOverlap="1" wp14:anchorId="601CDC47" wp14:editId="4E3B6E47">
                <wp:simplePos x="0" y="0"/>
                <wp:positionH relativeFrom="column">
                  <wp:posOffset>1350010</wp:posOffset>
                </wp:positionH>
                <wp:positionV relativeFrom="paragraph">
                  <wp:posOffset>70485</wp:posOffset>
                </wp:positionV>
                <wp:extent cx="1200150" cy="219075"/>
                <wp:effectExtent l="0" t="0" r="6350" b="0"/>
                <wp:wrapNone/>
                <wp:docPr id="10" name="Text Box 26"/>
                <wp:cNvGraphicFramePr/>
                <a:graphic xmlns:a="http://schemas.openxmlformats.org/drawingml/2006/main">
                  <a:graphicData uri="http://schemas.microsoft.com/office/word/2010/wordprocessingShape">
                    <wps:wsp>
                      <wps:cNvSpPr/>
                      <wps:spPr>
                        <a:xfrm>
                          <a:off x="0" y="0"/>
                          <a:ext cx="1200150" cy="219075"/>
                        </a:xfrm>
                        <a:prstGeom prst="rect">
                          <a:avLst/>
                        </a:prstGeom>
                        <a:solidFill>
                          <a:schemeClr val="accent2"/>
                        </a:solidFill>
                        <a:ln>
                          <a:noFill/>
                        </a:ln>
                      </wps:spPr>
                      <wps:txbx>
                        <w:txbxContent>
                          <w:p w14:paraId="7CCCE5C4" w14:textId="77777777" w:rsidR="00F26813" w:rsidRPr="001C68AC" w:rsidRDefault="00F26813" w:rsidP="00013880">
                            <w:pPr>
                              <w:jc w:val="center"/>
                              <w:rPr>
                                <w:sz w:val="20"/>
                              </w:rPr>
                            </w:pPr>
                            <w:r>
                              <w:rPr>
                                <w:sz w:val="20"/>
                              </w:rPr>
                              <w:t>Balaroa, West Palu</w:t>
                            </w:r>
                          </w:p>
                        </w:txbxContent>
                      </wps:txbx>
                      <wps:bodyPr vert="horz"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01CDC47" id="_x0000_s1029" style="position:absolute;left:0;text-align:left;margin-left:106.3pt;margin-top:5.55pt;width:94.5pt;height:17.2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" fillcolor="#c0504d [3205]" stroked="f">
                <v:textbox>
                  <w:txbxContent>
                    <w:p w14:paraId="7CCCE5C4" w14:textId="77777777" w:rsidR="00F26813" w:rsidRPr="001C68AC" w:rsidRDefault="00F26813" w:rsidP="00013880">
                      <w:pPr>
                        <w:jc w:val="center"/>
                        <w:rPr>
                          <w:sz w:val="20"/>
                        </w:rPr>
                      </w:pPr>
                      <w:proofErr w:type="spellStart"/>
                      <w:r>
                        <w:rPr>
                          <w:sz w:val="20"/>
                        </w:rPr>
                        <w:t>Balaroa</w:t>
                      </w:r>
                      <w:proofErr w:type="spellEnd"/>
                      <w:r>
                        <w:rPr>
                          <w:sz w:val="20"/>
                        </w:rPr>
                        <w:t xml:space="preserve">, West </w:t>
                      </w:r>
                      <w:proofErr w:type="spellStart"/>
                      <w:r>
                        <w:rPr>
                          <w:sz w:val="20"/>
                        </w:rPr>
                        <w:t>Palu</w:t>
                      </w:r>
                      <w:proofErr w:type="spellEnd"/>
                    </w:p>
                  </w:txbxContent>
                </v:textbox>
              </v:rect>
            </w:pict>
          </mc:Fallback>
        </mc:AlternateContent>
      </w:r>
    </w:p>
    <w:p w14:paraId="7CA8FF03" w14:textId="77777777" w:rsidR="00013880" w:rsidRDefault="00013880" w:rsidP="00013880">
      <w:pPr>
        <w:pStyle w:val="NoSpacing"/>
        <w:jc w:val="center"/>
      </w:pPr>
    </w:p>
    <w:p w14:paraId="7A4C02E2" w14:textId="77777777" w:rsidR="00013880" w:rsidRDefault="00013880" w:rsidP="00013880">
      <w:pPr>
        <w:pStyle w:val="NoSpacing"/>
        <w:jc w:val="center"/>
      </w:pPr>
    </w:p>
    <w:p w14:paraId="51178E6A" w14:textId="77777777" w:rsidR="00013880" w:rsidRDefault="00013880" w:rsidP="00013880">
      <w:pPr>
        <w:pStyle w:val="NoSpacing"/>
        <w:jc w:val="center"/>
      </w:pPr>
    </w:p>
    <w:p w14:paraId="0FBF4B28" w14:textId="77777777" w:rsidR="00013880" w:rsidRDefault="00013880" w:rsidP="00013880">
      <w:pPr>
        <w:pStyle w:val="NoSpacing"/>
        <w:jc w:val="center"/>
      </w:pPr>
    </w:p>
    <w:p w14:paraId="38B2FE6C" w14:textId="77777777" w:rsidR="00013880" w:rsidRDefault="00013880" w:rsidP="00013880">
      <w:pPr>
        <w:pStyle w:val="NoSpacing"/>
        <w:jc w:val="center"/>
      </w:pPr>
    </w:p>
    <w:p w14:paraId="45D73440" w14:textId="77777777" w:rsidR="00013880" w:rsidRDefault="00013880" w:rsidP="00013880">
      <w:pPr>
        <w:pStyle w:val="NoSpacing"/>
        <w:jc w:val="center"/>
      </w:pPr>
    </w:p>
    <w:p w14:paraId="6BFC4BDF" w14:textId="77777777" w:rsidR="00013880" w:rsidRDefault="00013880" w:rsidP="00013880">
      <w:pPr>
        <w:pStyle w:val="NoSpacing"/>
        <w:jc w:val="center"/>
      </w:pPr>
    </w:p>
    <w:p w14:paraId="48F794EF" w14:textId="77777777" w:rsidR="00013880" w:rsidRDefault="00013880" w:rsidP="00013880">
      <w:pPr>
        <w:pStyle w:val="NoSpacing"/>
        <w:jc w:val="center"/>
      </w:pPr>
    </w:p>
    <w:p w14:paraId="5D197674" w14:textId="77777777" w:rsidR="00013880" w:rsidRDefault="00013880" w:rsidP="00013880">
      <w:pPr>
        <w:pStyle w:val="NoSpacing"/>
        <w:jc w:val="center"/>
      </w:pPr>
    </w:p>
    <w:p w14:paraId="34E233FB" w14:textId="77777777" w:rsidR="00013880" w:rsidRDefault="00013880" w:rsidP="00013880">
      <w:pPr>
        <w:pStyle w:val="NoSpacing"/>
        <w:jc w:val="center"/>
      </w:pPr>
    </w:p>
    <w:p w14:paraId="64F0F6FA" w14:textId="77777777" w:rsidR="00013880" w:rsidRDefault="00013880" w:rsidP="00013880">
      <w:pPr>
        <w:pStyle w:val="FigureCaption"/>
        <w:spacing w:before="0"/>
        <w:jc w:val="left"/>
        <w:rPr>
          <w:b/>
          <w:bCs/>
        </w:rPr>
      </w:pPr>
      <w:bookmarkStart w:id="0" w:name="_Toc74466232"/>
    </w:p>
    <w:p w14:paraId="0879F129" w14:textId="59196252" w:rsidR="00013880" w:rsidRDefault="00013880" w:rsidP="00013880">
      <w:pPr>
        <w:pStyle w:val="FigureCaption"/>
        <w:spacing w:before="0"/>
      </w:pPr>
      <w:r>
        <w:rPr>
          <w:b/>
          <w:bCs/>
        </w:rPr>
        <w:t>FIGURE 2</w:t>
      </w:r>
      <w:r w:rsidRPr="00D81278">
        <w:t xml:space="preserve">. </w:t>
      </w:r>
      <w:bookmarkEnd w:id="0"/>
      <w:r w:rsidRPr="00D81278">
        <w:t>Research location (Google Maps and Mason et al., 2019)</w:t>
      </w:r>
    </w:p>
    <w:p w14:paraId="0C4E70F0" w14:textId="77FEE3E6" w:rsidR="00916995" w:rsidRPr="00BF02A4" w:rsidRDefault="00BF02A4" w:rsidP="00BF02A4">
      <w:pPr>
        <w:pStyle w:val="Heading2"/>
      </w:pPr>
      <w:r>
        <w:t>Seismic Design Analysis</w:t>
      </w:r>
    </w:p>
    <w:p w14:paraId="7539C87D" w14:textId="7ED523E7" w:rsidR="00916995" w:rsidRDefault="00916995" w:rsidP="00916995">
      <w:pPr>
        <w:pStyle w:val="Paragraph"/>
      </w:pPr>
      <w:r w:rsidRPr="00D81278">
        <w:t>To carry out</w:t>
      </w:r>
      <w:r w:rsidR="00786C75">
        <w:t xml:space="preserve"> a</w:t>
      </w:r>
      <w:r w:rsidRPr="00D81278">
        <w:t xml:space="preserve"> liquefaction analysis at a location, there is a necessity to determine the peak ground acceleration</w:t>
      </w:r>
      <w:r w:rsidR="00C7038A">
        <w:t xml:space="preserve"> </w:t>
      </w:r>
      <w:r w:rsidRPr="00D81278">
        <w:t>(</w:t>
      </w:r>
      <w:r w:rsidRPr="00D81278">
        <w:rPr>
          <w:i/>
          <w:iCs/>
        </w:rPr>
        <w:t>a</w:t>
      </w:r>
      <w:r w:rsidRPr="00D81278">
        <w:rPr>
          <w:i/>
          <w:iCs/>
          <w:vertAlign w:val="subscript"/>
        </w:rPr>
        <w:t>max</w:t>
      </w:r>
      <w:r w:rsidRPr="00D81278">
        <w:t xml:space="preserve">) at the area. This data was obtained using a probabilistic method with reference to </w:t>
      </w:r>
      <w:r w:rsidR="00786C75" w:rsidRPr="00786C75">
        <w:t>Indonesian seismic code of SNI 1726-2019 concerning procedures for earthquake resistant building and non-building structures</w:t>
      </w:r>
      <w:r w:rsidR="00C7038A">
        <w:t xml:space="preserve"> design</w:t>
      </w:r>
      <w:r w:rsidR="00786C75" w:rsidRPr="00786C75">
        <w:t>.</w:t>
      </w:r>
      <w:r w:rsidR="00C7038A">
        <w:t xml:space="preserve"> </w:t>
      </w:r>
      <w:r w:rsidR="00CF6C90">
        <w:t>The code</w:t>
      </w:r>
      <w:r w:rsidR="00CF6C90" w:rsidRPr="00D81278">
        <w:t xml:space="preserve"> </w:t>
      </w:r>
      <w:r w:rsidRPr="00D81278">
        <w:t>state</w:t>
      </w:r>
      <w:r w:rsidR="00CF6C90">
        <w:t>s</w:t>
      </w:r>
      <w:r w:rsidRPr="00D81278">
        <w:t xml:space="preserve"> that the planned earthquake is an earthquake with an occurrence probability of 10 percent within 50 years. </w:t>
      </w:r>
      <w:r w:rsidR="00F1377D">
        <w:t>[12]</w:t>
      </w:r>
      <w:r w:rsidRPr="00D81278">
        <w:t xml:space="preserve"> which refers to AASHTO (2012) states that the potential for liquefaction and loss of soil strength is evaluated against the peak ground acceleration at the surface, magnitude, earthquake, and source characteristics consistent with the consideration of the maximum earthquake peak acceleration. The </w:t>
      </w:r>
      <w:r>
        <w:t>peak ground acceleration (</w:t>
      </w:r>
      <w:r w:rsidRPr="00D81278">
        <w:t>PGA</w:t>
      </w:r>
      <w:r>
        <w:t>)</w:t>
      </w:r>
      <w:r w:rsidRPr="00D81278">
        <w:t xml:space="preserve"> distribution classification can be seen in Table </w:t>
      </w:r>
      <w:r>
        <w:t>2</w:t>
      </w:r>
      <w:r w:rsidRPr="00D81278">
        <w:t>.</w:t>
      </w:r>
    </w:p>
    <w:p w14:paraId="457CF60E" w14:textId="1266A27A" w:rsidR="00916995" w:rsidRPr="00D81278" w:rsidRDefault="00F1377D" w:rsidP="00916995">
      <w:pPr>
        <w:pStyle w:val="TableCaption"/>
      </w:pPr>
      <w:bookmarkStart w:id="1" w:name="_Toc74466590"/>
      <w:r>
        <w:rPr>
          <w:b/>
          <w:bCs/>
        </w:rPr>
        <w:t>TABLE</w:t>
      </w:r>
      <w:r w:rsidR="00916995" w:rsidRPr="00D81278">
        <w:rPr>
          <w:b/>
          <w:bCs/>
        </w:rPr>
        <w:t xml:space="preserve"> </w:t>
      </w:r>
      <w:r w:rsidR="00916995">
        <w:rPr>
          <w:b/>
          <w:bCs/>
        </w:rPr>
        <w:t>2</w:t>
      </w:r>
      <w:r w:rsidR="00916995" w:rsidRPr="00D81278">
        <w:t xml:space="preserve">. </w:t>
      </w:r>
      <w:bookmarkEnd w:id="1"/>
      <w:r w:rsidR="00916995" w:rsidRPr="00D81278">
        <w:t>PGA distribution classification system</w:t>
      </w:r>
      <w:r>
        <w:t xml:space="preserve"> [2]</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51"/>
        <w:gridCol w:w="2447"/>
        <w:gridCol w:w="1239"/>
        <w:gridCol w:w="1559"/>
      </w:tblGrid>
      <w:tr w:rsidR="00916995" w:rsidRPr="00916995" w14:paraId="37813415" w14:textId="77777777" w:rsidTr="00916995">
        <w:trPr>
          <w:trHeight w:val="227"/>
          <w:jc w:val="center"/>
        </w:trPr>
        <w:tc>
          <w:tcPr>
            <w:tcW w:w="851" w:type="dxa"/>
            <w:tcBorders>
              <w:bottom w:val="single" w:sz="4" w:space="0" w:color="auto"/>
            </w:tcBorders>
            <w:vAlign w:val="center"/>
          </w:tcPr>
          <w:p w14:paraId="65F84B87" w14:textId="77777777" w:rsidR="00916995" w:rsidRPr="00916995" w:rsidRDefault="00916995" w:rsidP="00786C75">
            <w:pPr>
              <w:pStyle w:val="NoSpacing"/>
              <w:jc w:val="center"/>
              <w:rPr>
                <w:rFonts w:ascii="Times" w:hAnsi="Times"/>
                <w:b/>
                <w:sz w:val="18"/>
                <w:szCs w:val="18"/>
              </w:rPr>
            </w:pPr>
            <w:r w:rsidRPr="00916995">
              <w:rPr>
                <w:rFonts w:ascii="Times" w:hAnsi="Times"/>
                <w:b/>
                <w:sz w:val="18"/>
                <w:szCs w:val="18"/>
              </w:rPr>
              <w:t>No.</w:t>
            </w:r>
          </w:p>
        </w:tc>
        <w:tc>
          <w:tcPr>
            <w:tcW w:w="2447" w:type="dxa"/>
            <w:tcBorders>
              <w:bottom w:val="single" w:sz="4" w:space="0" w:color="auto"/>
            </w:tcBorders>
            <w:vAlign w:val="center"/>
          </w:tcPr>
          <w:p w14:paraId="01766F16" w14:textId="77777777" w:rsidR="00916995" w:rsidRPr="00916995" w:rsidRDefault="00916995" w:rsidP="00786C75">
            <w:pPr>
              <w:pStyle w:val="NoSpacing"/>
              <w:jc w:val="center"/>
              <w:rPr>
                <w:rFonts w:ascii="Times" w:hAnsi="Times"/>
                <w:b/>
                <w:sz w:val="18"/>
                <w:szCs w:val="18"/>
              </w:rPr>
            </w:pPr>
            <w:r w:rsidRPr="00916995">
              <w:rPr>
                <w:rFonts w:ascii="Times" w:hAnsi="Times"/>
                <w:b/>
                <w:i/>
                <w:iCs/>
                <w:sz w:val="18"/>
                <w:szCs w:val="18"/>
              </w:rPr>
              <w:t>PGA</w:t>
            </w:r>
            <w:r w:rsidRPr="00916995">
              <w:rPr>
                <w:rFonts w:ascii="Times" w:hAnsi="Times"/>
                <w:b/>
                <w:sz w:val="18"/>
                <w:szCs w:val="18"/>
              </w:rPr>
              <w:t xml:space="preserve"> (</w:t>
            </w:r>
            <w:r w:rsidRPr="00916995">
              <w:rPr>
                <w:rFonts w:ascii="Times" w:hAnsi="Times"/>
                <w:b/>
                <w:i/>
                <w:iCs/>
                <w:sz w:val="18"/>
                <w:szCs w:val="18"/>
              </w:rPr>
              <w:t>g</w:t>
            </w:r>
            <w:r w:rsidRPr="00916995">
              <w:rPr>
                <w:rFonts w:ascii="Times" w:hAnsi="Times"/>
                <w:b/>
                <w:sz w:val="18"/>
                <w:szCs w:val="18"/>
              </w:rPr>
              <w:t>)</w:t>
            </w:r>
          </w:p>
        </w:tc>
        <w:tc>
          <w:tcPr>
            <w:tcW w:w="1239" w:type="dxa"/>
            <w:tcBorders>
              <w:bottom w:val="single" w:sz="4" w:space="0" w:color="auto"/>
            </w:tcBorders>
            <w:vAlign w:val="center"/>
          </w:tcPr>
          <w:p w14:paraId="379047D4" w14:textId="77777777" w:rsidR="00916995" w:rsidRPr="00916995" w:rsidRDefault="00916995" w:rsidP="00786C75">
            <w:pPr>
              <w:pStyle w:val="NoSpacing"/>
              <w:jc w:val="center"/>
              <w:rPr>
                <w:rFonts w:ascii="Times" w:hAnsi="Times"/>
                <w:b/>
                <w:sz w:val="18"/>
                <w:szCs w:val="18"/>
              </w:rPr>
            </w:pPr>
            <w:r w:rsidRPr="00916995">
              <w:rPr>
                <w:rFonts w:ascii="Times" w:hAnsi="Times"/>
                <w:b/>
                <w:sz w:val="18"/>
                <w:szCs w:val="18"/>
              </w:rPr>
              <w:t>Class</w:t>
            </w:r>
          </w:p>
        </w:tc>
        <w:tc>
          <w:tcPr>
            <w:tcW w:w="1559" w:type="dxa"/>
            <w:tcBorders>
              <w:bottom w:val="single" w:sz="4" w:space="0" w:color="auto"/>
            </w:tcBorders>
            <w:vAlign w:val="center"/>
          </w:tcPr>
          <w:p w14:paraId="352069A2" w14:textId="77777777" w:rsidR="00916995" w:rsidRPr="00916995" w:rsidRDefault="00916995" w:rsidP="00786C75">
            <w:pPr>
              <w:pStyle w:val="NoSpacing"/>
              <w:jc w:val="center"/>
              <w:rPr>
                <w:rFonts w:ascii="Times" w:hAnsi="Times"/>
                <w:b/>
                <w:sz w:val="18"/>
                <w:szCs w:val="18"/>
              </w:rPr>
            </w:pPr>
            <w:r w:rsidRPr="00916995">
              <w:rPr>
                <w:rFonts w:ascii="Times" w:hAnsi="Times"/>
                <w:b/>
                <w:sz w:val="18"/>
                <w:szCs w:val="18"/>
              </w:rPr>
              <w:t>Risk Level</w:t>
            </w:r>
          </w:p>
        </w:tc>
      </w:tr>
      <w:tr w:rsidR="00916995" w:rsidRPr="00916995" w14:paraId="6532DEA2" w14:textId="77777777" w:rsidTr="00916995">
        <w:trPr>
          <w:trHeight w:val="227"/>
          <w:jc w:val="center"/>
        </w:trPr>
        <w:tc>
          <w:tcPr>
            <w:tcW w:w="851" w:type="dxa"/>
            <w:tcBorders>
              <w:bottom w:val="nil"/>
            </w:tcBorders>
            <w:vAlign w:val="center"/>
          </w:tcPr>
          <w:p w14:paraId="72B7E75D"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1</w:t>
            </w:r>
          </w:p>
        </w:tc>
        <w:tc>
          <w:tcPr>
            <w:tcW w:w="2447" w:type="dxa"/>
            <w:tcBorders>
              <w:bottom w:val="nil"/>
            </w:tcBorders>
            <w:vAlign w:val="center"/>
          </w:tcPr>
          <w:p w14:paraId="1433BD8B" w14:textId="77777777" w:rsidR="00916995" w:rsidRPr="00916995" w:rsidRDefault="00916995" w:rsidP="00786C75">
            <w:pPr>
              <w:pStyle w:val="NoSpacing"/>
              <w:jc w:val="center"/>
              <w:rPr>
                <w:rFonts w:ascii="Times" w:hAnsi="Times" w:cs="Ayuthaya"/>
                <w:sz w:val="18"/>
                <w:szCs w:val="18"/>
              </w:rPr>
            </w:pPr>
            <w:r w:rsidRPr="00916995">
              <w:rPr>
                <w:rFonts w:ascii="Times" w:hAnsi="Times" w:cs="Times New Roman"/>
                <w:i/>
                <w:iCs/>
                <w:sz w:val="18"/>
                <w:szCs w:val="18"/>
              </w:rPr>
              <w:t>a</w:t>
            </w:r>
            <w:r w:rsidRPr="00916995">
              <w:rPr>
                <w:rFonts w:ascii="Times" w:hAnsi="Times"/>
                <w:i/>
                <w:iCs/>
                <w:sz w:val="18"/>
                <w:szCs w:val="18"/>
                <w:vertAlign w:val="subscript"/>
              </w:rPr>
              <w:t>max</w:t>
            </w:r>
            <w:r w:rsidRPr="00916995">
              <w:rPr>
                <w:rFonts w:ascii="Times" w:hAnsi="Times"/>
                <w:sz w:val="18"/>
                <w:szCs w:val="18"/>
              </w:rPr>
              <w:t xml:space="preserve"> &lt; 0.10</w:t>
            </w:r>
          </w:p>
        </w:tc>
        <w:tc>
          <w:tcPr>
            <w:tcW w:w="1239" w:type="dxa"/>
            <w:tcBorders>
              <w:bottom w:val="nil"/>
            </w:tcBorders>
            <w:vAlign w:val="center"/>
          </w:tcPr>
          <w:p w14:paraId="1FFB408F"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1</w:t>
            </w:r>
          </w:p>
        </w:tc>
        <w:tc>
          <w:tcPr>
            <w:tcW w:w="1559" w:type="dxa"/>
            <w:tcBorders>
              <w:bottom w:val="nil"/>
            </w:tcBorders>
            <w:vAlign w:val="center"/>
          </w:tcPr>
          <w:p w14:paraId="04E8773C" w14:textId="77777777" w:rsidR="00916995" w:rsidRPr="00916995" w:rsidRDefault="00916995" w:rsidP="00786C75">
            <w:pPr>
              <w:jc w:val="center"/>
              <w:rPr>
                <w:sz w:val="18"/>
                <w:szCs w:val="18"/>
              </w:rPr>
            </w:pPr>
            <w:r w:rsidRPr="00916995">
              <w:rPr>
                <w:sz w:val="18"/>
                <w:szCs w:val="18"/>
              </w:rPr>
              <w:t>Very low</w:t>
            </w:r>
          </w:p>
        </w:tc>
      </w:tr>
      <w:tr w:rsidR="00916995" w:rsidRPr="00916995" w14:paraId="462AF2BA" w14:textId="77777777" w:rsidTr="00916995">
        <w:trPr>
          <w:trHeight w:val="227"/>
          <w:jc w:val="center"/>
        </w:trPr>
        <w:tc>
          <w:tcPr>
            <w:tcW w:w="851" w:type="dxa"/>
            <w:tcBorders>
              <w:top w:val="nil"/>
              <w:bottom w:val="nil"/>
            </w:tcBorders>
            <w:vAlign w:val="center"/>
          </w:tcPr>
          <w:p w14:paraId="6B93E2A3"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2</w:t>
            </w:r>
          </w:p>
        </w:tc>
        <w:tc>
          <w:tcPr>
            <w:tcW w:w="2447" w:type="dxa"/>
            <w:tcBorders>
              <w:top w:val="nil"/>
              <w:bottom w:val="nil"/>
            </w:tcBorders>
            <w:vAlign w:val="center"/>
          </w:tcPr>
          <w:p w14:paraId="236A75BC"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 xml:space="preserve">0.10 </w:t>
            </w:r>
            <w:r w:rsidRPr="00916995">
              <w:rPr>
                <w:rFonts w:ascii="Times" w:hAnsi="Times"/>
                <w:sz w:val="18"/>
                <w:szCs w:val="18"/>
                <w:u w:val="single"/>
              </w:rPr>
              <w:t xml:space="preserve">&lt; </w:t>
            </w:r>
            <w:r w:rsidRPr="00916995">
              <w:rPr>
                <w:rFonts w:ascii="Times" w:hAnsi="Times" w:cs="Times New Roman"/>
                <w:i/>
                <w:iCs/>
                <w:sz w:val="18"/>
                <w:szCs w:val="18"/>
              </w:rPr>
              <w:t>a</w:t>
            </w:r>
            <w:r w:rsidRPr="00916995">
              <w:rPr>
                <w:rFonts w:ascii="Times" w:hAnsi="Times"/>
                <w:i/>
                <w:iCs/>
                <w:sz w:val="18"/>
                <w:szCs w:val="18"/>
                <w:vertAlign w:val="subscript"/>
              </w:rPr>
              <w:t>max</w:t>
            </w:r>
            <w:r w:rsidRPr="00916995">
              <w:rPr>
                <w:rFonts w:ascii="Times" w:hAnsi="Times"/>
                <w:sz w:val="18"/>
                <w:szCs w:val="18"/>
              </w:rPr>
              <w:t xml:space="preserve"> &lt; 0.20</w:t>
            </w:r>
          </w:p>
        </w:tc>
        <w:tc>
          <w:tcPr>
            <w:tcW w:w="1239" w:type="dxa"/>
            <w:tcBorders>
              <w:top w:val="nil"/>
              <w:bottom w:val="nil"/>
            </w:tcBorders>
            <w:vAlign w:val="center"/>
          </w:tcPr>
          <w:p w14:paraId="46338424"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2</w:t>
            </w:r>
          </w:p>
        </w:tc>
        <w:tc>
          <w:tcPr>
            <w:tcW w:w="1559" w:type="dxa"/>
            <w:tcBorders>
              <w:top w:val="nil"/>
              <w:bottom w:val="nil"/>
            </w:tcBorders>
            <w:vAlign w:val="center"/>
          </w:tcPr>
          <w:p w14:paraId="4161208F" w14:textId="77777777" w:rsidR="00916995" w:rsidRPr="00916995" w:rsidRDefault="00916995" w:rsidP="00786C75">
            <w:pPr>
              <w:jc w:val="center"/>
              <w:rPr>
                <w:sz w:val="18"/>
                <w:szCs w:val="18"/>
              </w:rPr>
            </w:pPr>
            <w:r w:rsidRPr="00916995">
              <w:rPr>
                <w:sz w:val="18"/>
                <w:szCs w:val="18"/>
              </w:rPr>
              <w:t>Low</w:t>
            </w:r>
          </w:p>
        </w:tc>
      </w:tr>
      <w:tr w:rsidR="00916995" w:rsidRPr="00916995" w14:paraId="6331753E" w14:textId="77777777" w:rsidTr="00916995">
        <w:trPr>
          <w:trHeight w:val="227"/>
          <w:jc w:val="center"/>
        </w:trPr>
        <w:tc>
          <w:tcPr>
            <w:tcW w:w="851" w:type="dxa"/>
            <w:tcBorders>
              <w:top w:val="nil"/>
              <w:bottom w:val="nil"/>
            </w:tcBorders>
            <w:vAlign w:val="center"/>
          </w:tcPr>
          <w:p w14:paraId="78AEAF2C"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3</w:t>
            </w:r>
          </w:p>
        </w:tc>
        <w:tc>
          <w:tcPr>
            <w:tcW w:w="2447" w:type="dxa"/>
            <w:tcBorders>
              <w:top w:val="nil"/>
              <w:bottom w:val="nil"/>
            </w:tcBorders>
            <w:vAlign w:val="center"/>
          </w:tcPr>
          <w:p w14:paraId="60831083"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 xml:space="preserve">0.20 </w:t>
            </w:r>
            <w:r w:rsidRPr="00916995">
              <w:rPr>
                <w:rFonts w:ascii="Times" w:hAnsi="Times"/>
                <w:sz w:val="18"/>
                <w:szCs w:val="18"/>
                <w:u w:val="single"/>
              </w:rPr>
              <w:t xml:space="preserve">&lt; </w:t>
            </w:r>
            <w:r w:rsidRPr="00916995">
              <w:rPr>
                <w:rFonts w:ascii="Times" w:hAnsi="Times" w:cs="Times New Roman"/>
                <w:i/>
                <w:iCs/>
                <w:sz w:val="18"/>
                <w:szCs w:val="18"/>
              </w:rPr>
              <w:t>a</w:t>
            </w:r>
            <w:r w:rsidRPr="00916995">
              <w:rPr>
                <w:rFonts w:ascii="Times" w:hAnsi="Times"/>
                <w:i/>
                <w:iCs/>
                <w:sz w:val="18"/>
                <w:szCs w:val="18"/>
                <w:vertAlign w:val="subscript"/>
              </w:rPr>
              <w:t>max</w:t>
            </w:r>
            <w:r w:rsidRPr="00916995">
              <w:rPr>
                <w:rFonts w:ascii="Times" w:hAnsi="Times"/>
                <w:sz w:val="18"/>
                <w:szCs w:val="18"/>
              </w:rPr>
              <w:t xml:space="preserve"> &lt; 0.30</w:t>
            </w:r>
          </w:p>
        </w:tc>
        <w:tc>
          <w:tcPr>
            <w:tcW w:w="1239" w:type="dxa"/>
            <w:tcBorders>
              <w:top w:val="nil"/>
              <w:bottom w:val="nil"/>
            </w:tcBorders>
            <w:vAlign w:val="center"/>
          </w:tcPr>
          <w:p w14:paraId="1F1D503A"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3</w:t>
            </w:r>
          </w:p>
        </w:tc>
        <w:tc>
          <w:tcPr>
            <w:tcW w:w="1559" w:type="dxa"/>
            <w:tcBorders>
              <w:top w:val="nil"/>
              <w:bottom w:val="nil"/>
            </w:tcBorders>
            <w:vAlign w:val="center"/>
          </w:tcPr>
          <w:p w14:paraId="429B845B" w14:textId="77777777" w:rsidR="00916995" w:rsidRPr="00916995" w:rsidRDefault="00916995" w:rsidP="00786C75">
            <w:pPr>
              <w:jc w:val="center"/>
              <w:rPr>
                <w:sz w:val="18"/>
                <w:szCs w:val="18"/>
              </w:rPr>
            </w:pPr>
            <w:r w:rsidRPr="00916995">
              <w:rPr>
                <w:sz w:val="18"/>
                <w:szCs w:val="18"/>
              </w:rPr>
              <w:t>Medium</w:t>
            </w:r>
          </w:p>
        </w:tc>
      </w:tr>
      <w:tr w:rsidR="00916995" w:rsidRPr="00916995" w14:paraId="78D2D457" w14:textId="77777777" w:rsidTr="00916995">
        <w:trPr>
          <w:trHeight w:val="227"/>
          <w:jc w:val="center"/>
        </w:trPr>
        <w:tc>
          <w:tcPr>
            <w:tcW w:w="851" w:type="dxa"/>
            <w:tcBorders>
              <w:top w:val="nil"/>
              <w:bottom w:val="nil"/>
            </w:tcBorders>
            <w:vAlign w:val="center"/>
          </w:tcPr>
          <w:p w14:paraId="7B6BB1B9"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4</w:t>
            </w:r>
          </w:p>
        </w:tc>
        <w:tc>
          <w:tcPr>
            <w:tcW w:w="2447" w:type="dxa"/>
            <w:tcBorders>
              <w:top w:val="nil"/>
              <w:bottom w:val="nil"/>
            </w:tcBorders>
            <w:vAlign w:val="center"/>
          </w:tcPr>
          <w:p w14:paraId="6D8DFD1E"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 xml:space="preserve">0.30 </w:t>
            </w:r>
            <w:r w:rsidRPr="00916995">
              <w:rPr>
                <w:rFonts w:ascii="Times" w:hAnsi="Times"/>
                <w:sz w:val="18"/>
                <w:szCs w:val="18"/>
                <w:u w:val="single"/>
              </w:rPr>
              <w:t>&lt;</w:t>
            </w:r>
            <w:r w:rsidRPr="00916995">
              <w:rPr>
                <w:rFonts w:ascii="Times" w:hAnsi="Times"/>
                <w:sz w:val="18"/>
                <w:szCs w:val="18"/>
              </w:rPr>
              <w:t xml:space="preserve"> </w:t>
            </w:r>
            <w:r w:rsidRPr="00916995">
              <w:rPr>
                <w:rFonts w:ascii="Times" w:hAnsi="Times" w:cs="Times New Roman"/>
                <w:i/>
                <w:iCs/>
                <w:sz w:val="18"/>
                <w:szCs w:val="18"/>
              </w:rPr>
              <w:t>a</w:t>
            </w:r>
            <w:r w:rsidRPr="00916995">
              <w:rPr>
                <w:rFonts w:ascii="Times" w:hAnsi="Times"/>
                <w:i/>
                <w:iCs/>
                <w:sz w:val="18"/>
                <w:szCs w:val="18"/>
                <w:vertAlign w:val="subscript"/>
              </w:rPr>
              <w:t>max</w:t>
            </w:r>
            <w:r w:rsidRPr="00916995">
              <w:rPr>
                <w:rFonts w:ascii="Times" w:hAnsi="Times"/>
                <w:sz w:val="18"/>
                <w:szCs w:val="18"/>
              </w:rPr>
              <w:t xml:space="preserve"> &lt; 0.40</w:t>
            </w:r>
          </w:p>
        </w:tc>
        <w:tc>
          <w:tcPr>
            <w:tcW w:w="1239" w:type="dxa"/>
            <w:tcBorders>
              <w:top w:val="nil"/>
              <w:bottom w:val="nil"/>
            </w:tcBorders>
            <w:vAlign w:val="center"/>
          </w:tcPr>
          <w:p w14:paraId="7B344BED"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4</w:t>
            </w:r>
          </w:p>
        </w:tc>
        <w:tc>
          <w:tcPr>
            <w:tcW w:w="1559" w:type="dxa"/>
            <w:tcBorders>
              <w:top w:val="nil"/>
              <w:bottom w:val="nil"/>
            </w:tcBorders>
            <w:vAlign w:val="center"/>
          </w:tcPr>
          <w:p w14:paraId="2051AFD2" w14:textId="77777777" w:rsidR="00916995" w:rsidRPr="00916995" w:rsidRDefault="00916995" w:rsidP="00786C75">
            <w:pPr>
              <w:jc w:val="center"/>
              <w:rPr>
                <w:sz w:val="18"/>
                <w:szCs w:val="18"/>
              </w:rPr>
            </w:pPr>
            <w:r w:rsidRPr="00916995">
              <w:rPr>
                <w:sz w:val="18"/>
                <w:szCs w:val="18"/>
              </w:rPr>
              <w:t>High</w:t>
            </w:r>
          </w:p>
        </w:tc>
      </w:tr>
      <w:tr w:rsidR="00916995" w:rsidRPr="00916995" w14:paraId="636A7188" w14:textId="77777777" w:rsidTr="00916995">
        <w:trPr>
          <w:trHeight w:val="227"/>
          <w:jc w:val="center"/>
        </w:trPr>
        <w:tc>
          <w:tcPr>
            <w:tcW w:w="851" w:type="dxa"/>
            <w:tcBorders>
              <w:top w:val="nil"/>
            </w:tcBorders>
            <w:vAlign w:val="center"/>
          </w:tcPr>
          <w:p w14:paraId="4B2911A1"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5</w:t>
            </w:r>
          </w:p>
        </w:tc>
        <w:tc>
          <w:tcPr>
            <w:tcW w:w="2447" w:type="dxa"/>
            <w:tcBorders>
              <w:top w:val="nil"/>
            </w:tcBorders>
            <w:vAlign w:val="center"/>
          </w:tcPr>
          <w:p w14:paraId="0196296E" w14:textId="77777777" w:rsidR="00916995" w:rsidRPr="00916995" w:rsidRDefault="00916995" w:rsidP="00786C75">
            <w:pPr>
              <w:pStyle w:val="NoSpacing"/>
              <w:jc w:val="center"/>
              <w:rPr>
                <w:rFonts w:ascii="Times" w:hAnsi="Times"/>
                <w:sz w:val="18"/>
                <w:szCs w:val="18"/>
              </w:rPr>
            </w:pPr>
            <w:r w:rsidRPr="00916995">
              <w:rPr>
                <w:rFonts w:ascii="Times" w:hAnsi="Times" w:cs="Times New Roman"/>
                <w:i/>
                <w:iCs/>
                <w:sz w:val="18"/>
                <w:szCs w:val="18"/>
              </w:rPr>
              <w:t>a</w:t>
            </w:r>
            <w:r w:rsidRPr="00916995">
              <w:rPr>
                <w:rFonts w:ascii="Times" w:hAnsi="Times"/>
                <w:i/>
                <w:iCs/>
                <w:sz w:val="18"/>
                <w:szCs w:val="18"/>
                <w:vertAlign w:val="subscript"/>
              </w:rPr>
              <w:t>max</w:t>
            </w:r>
            <w:r w:rsidRPr="00916995">
              <w:rPr>
                <w:rFonts w:ascii="Times" w:hAnsi="Times"/>
                <w:sz w:val="18"/>
                <w:szCs w:val="18"/>
              </w:rPr>
              <w:t xml:space="preserve"> </w:t>
            </w:r>
            <w:r w:rsidRPr="00916995">
              <w:rPr>
                <w:rFonts w:ascii="Times" w:hAnsi="Times"/>
                <w:sz w:val="18"/>
                <w:szCs w:val="18"/>
                <w:u w:val="single"/>
              </w:rPr>
              <w:t>&gt;</w:t>
            </w:r>
            <w:r w:rsidRPr="00916995">
              <w:rPr>
                <w:rFonts w:ascii="Times" w:hAnsi="Times"/>
                <w:sz w:val="18"/>
                <w:szCs w:val="18"/>
              </w:rPr>
              <w:t xml:space="preserve"> 0.40</w:t>
            </w:r>
          </w:p>
        </w:tc>
        <w:tc>
          <w:tcPr>
            <w:tcW w:w="1239" w:type="dxa"/>
            <w:tcBorders>
              <w:top w:val="nil"/>
            </w:tcBorders>
            <w:vAlign w:val="center"/>
          </w:tcPr>
          <w:p w14:paraId="78C00F90" w14:textId="77777777" w:rsidR="00916995" w:rsidRPr="00916995" w:rsidRDefault="00916995" w:rsidP="00786C75">
            <w:pPr>
              <w:pStyle w:val="NoSpacing"/>
              <w:jc w:val="center"/>
              <w:rPr>
                <w:rFonts w:ascii="Times" w:hAnsi="Times"/>
                <w:sz w:val="18"/>
                <w:szCs w:val="18"/>
              </w:rPr>
            </w:pPr>
            <w:r w:rsidRPr="00916995">
              <w:rPr>
                <w:rFonts w:ascii="Times" w:hAnsi="Times"/>
                <w:sz w:val="18"/>
                <w:szCs w:val="18"/>
              </w:rPr>
              <w:t>5</w:t>
            </w:r>
          </w:p>
        </w:tc>
        <w:tc>
          <w:tcPr>
            <w:tcW w:w="1559" w:type="dxa"/>
            <w:tcBorders>
              <w:top w:val="nil"/>
            </w:tcBorders>
            <w:vAlign w:val="center"/>
          </w:tcPr>
          <w:p w14:paraId="7B2206C3" w14:textId="77777777" w:rsidR="00916995" w:rsidRPr="00916995" w:rsidRDefault="00916995" w:rsidP="00786C75">
            <w:pPr>
              <w:jc w:val="center"/>
              <w:rPr>
                <w:sz w:val="18"/>
                <w:szCs w:val="18"/>
              </w:rPr>
            </w:pPr>
            <w:r w:rsidRPr="00916995">
              <w:rPr>
                <w:sz w:val="18"/>
                <w:szCs w:val="18"/>
              </w:rPr>
              <w:t>Very high</w:t>
            </w:r>
          </w:p>
        </w:tc>
      </w:tr>
    </w:tbl>
    <w:p w14:paraId="592C5C13" w14:textId="77777777" w:rsidR="00916995" w:rsidRPr="00D81278" w:rsidRDefault="00916995" w:rsidP="00916995">
      <w:pPr>
        <w:pStyle w:val="NoSpacing"/>
        <w:jc w:val="both"/>
        <w:rPr>
          <w:rFonts w:ascii="Times" w:hAnsi="Times"/>
          <w:i/>
          <w:iCs/>
          <w:sz w:val="20"/>
          <w:szCs w:val="20"/>
        </w:rPr>
      </w:pPr>
    </w:p>
    <w:p w14:paraId="71DC36E9" w14:textId="08402B99" w:rsidR="00916995" w:rsidRDefault="00916995" w:rsidP="00916995">
      <w:pPr>
        <w:pStyle w:val="Paragraph"/>
        <w:rPr>
          <w:rFonts w:ascii="Times" w:hAnsi="Times"/>
        </w:rPr>
      </w:pPr>
      <w:r w:rsidRPr="00D81278">
        <w:rPr>
          <w:rFonts w:ascii="Times" w:hAnsi="Times"/>
        </w:rPr>
        <w:t xml:space="preserve">The peak ground surface acceleration value of the bedrock needs to be corrected. This is because the lower the strength of the soil, the higher the acceleration of the peak of the soil at the base of the building. Furthermore, the determination of the </w:t>
      </w:r>
      <w:r w:rsidRPr="00D81278">
        <w:rPr>
          <w:rFonts w:ascii="Times" w:hAnsi="Times"/>
          <w:i/>
          <w:iCs/>
        </w:rPr>
        <w:t>a</w:t>
      </w:r>
      <w:r w:rsidRPr="00D81278">
        <w:rPr>
          <w:rFonts w:ascii="Times" w:hAnsi="Times"/>
          <w:i/>
          <w:iCs/>
          <w:vertAlign w:val="subscript"/>
        </w:rPr>
        <w:t>max</w:t>
      </w:r>
      <w:r w:rsidRPr="00D81278">
        <w:rPr>
          <w:rFonts w:ascii="Times" w:hAnsi="Times"/>
        </w:rPr>
        <w:t xml:space="preserve"> peak ground surface acceleration is formulated in Equation (1).</w:t>
      </w:r>
    </w:p>
    <w:tbl>
      <w:tblPr>
        <w:tblStyle w:val="TableGrid"/>
        <w:tblW w:w="51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8"/>
        <w:gridCol w:w="1190"/>
      </w:tblGrid>
      <w:tr w:rsidR="00916995" w:rsidRPr="00BB491C" w14:paraId="3630552B" w14:textId="77777777" w:rsidTr="00786C75">
        <w:trPr>
          <w:trHeight w:val="397"/>
        </w:trPr>
        <w:tc>
          <w:tcPr>
            <w:tcW w:w="4384" w:type="pct"/>
            <w:vAlign w:val="center"/>
          </w:tcPr>
          <w:p w14:paraId="32C1D1B2" w14:textId="77777777" w:rsidR="00916995" w:rsidRPr="00BB491C" w:rsidRDefault="00916995" w:rsidP="00786C75">
            <w:pPr>
              <w:pStyle w:val="NoSpacing"/>
              <w:ind w:left="-109"/>
              <w:jc w:val="center"/>
              <w:rPr>
                <w:rFonts w:ascii="Times" w:hAnsi="Times"/>
                <w:sz w:val="20"/>
                <w:szCs w:val="20"/>
              </w:rPr>
            </w:pPr>
            <w:r w:rsidRPr="00BB491C">
              <w:rPr>
                <w:rFonts w:ascii="Times" w:hAnsi="Times" w:cs="Times New Roman"/>
                <w:i/>
                <w:iCs/>
                <w:sz w:val="20"/>
                <w:szCs w:val="20"/>
              </w:rPr>
              <w:t>a</w:t>
            </w:r>
            <w:r w:rsidRPr="00BB491C">
              <w:rPr>
                <w:rFonts w:ascii="Times" w:hAnsi="Times"/>
                <w:i/>
                <w:iCs/>
                <w:sz w:val="20"/>
                <w:szCs w:val="20"/>
                <w:vertAlign w:val="subscript"/>
              </w:rPr>
              <w:t>max</w:t>
            </w:r>
            <w:r w:rsidRPr="00BB491C">
              <w:rPr>
                <w:rFonts w:ascii="Times" w:hAnsi="Times"/>
                <w:i/>
                <w:sz w:val="20"/>
                <w:szCs w:val="20"/>
              </w:rPr>
              <w:t xml:space="preserve"> </w:t>
            </w:r>
            <w:r w:rsidRPr="00BB491C">
              <w:rPr>
                <w:rFonts w:ascii="Times" w:hAnsi="Times"/>
                <w:color w:val="000000"/>
                <w:sz w:val="20"/>
                <w:szCs w:val="20"/>
              </w:rPr>
              <w:t xml:space="preserve">= </w:t>
            </w:r>
            <w:r w:rsidRPr="00BB491C">
              <w:rPr>
                <w:rFonts w:ascii="Times" w:hAnsi="Times"/>
                <w:i/>
                <w:iCs/>
                <w:color w:val="000000"/>
                <w:sz w:val="20"/>
                <w:szCs w:val="20"/>
              </w:rPr>
              <w:t>PGA . F</w:t>
            </w:r>
            <w:r w:rsidRPr="00BB491C">
              <w:rPr>
                <w:rFonts w:ascii="Times" w:hAnsi="Times"/>
                <w:i/>
                <w:iCs/>
                <w:color w:val="000000"/>
                <w:sz w:val="20"/>
                <w:szCs w:val="20"/>
                <w:vertAlign w:val="subscript"/>
              </w:rPr>
              <w:t>PGA</w:t>
            </w:r>
          </w:p>
        </w:tc>
        <w:tc>
          <w:tcPr>
            <w:tcW w:w="616" w:type="pct"/>
            <w:vAlign w:val="center"/>
          </w:tcPr>
          <w:p w14:paraId="50966F15" w14:textId="77777777" w:rsidR="00916995" w:rsidRPr="00BB491C" w:rsidRDefault="00916995" w:rsidP="00786C75">
            <w:pPr>
              <w:pStyle w:val="Caption"/>
              <w:rPr>
                <w:sz w:val="20"/>
                <w:szCs w:val="20"/>
                <w:lang w:val="en-US"/>
              </w:rPr>
            </w:pPr>
            <w:r w:rsidRPr="00BB491C">
              <w:rPr>
                <w:sz w:val="20"/>
                <w:szCs w:val="20"/>
                <w:lang w:val="en-US"/>
              </w:rPr>
              <w:t>(1)</w:t>
            </w:r>
          </w:p>
        </w:tc>
      </w:tr>
    </w:tbl>
    <w:p w14:paraId="469F0238" w14:textId="77777777" w:rsidR="00013880" w:rsidRDefault="00013880" w:rsidP="00BB491C">
      <w:pPr>
        <w:pStyle w:val="NoSpacing"/>
        <w:tabs>
          <w:tab w:val="left" w:pos="1134"/>
          <w:tab w:val="left" w:pos="1843"/>
        </w:tabs>
        <w:spacing w:before="120"/>
        <w:rPr>
          <w:rFonts w:ascii="Times" w:hAnsi="Times"/>
          <w:sz w:val="20"/>
          <w:szCs w:val="20"/>
        </w:rPr>
      </w:pPr>
    </w:p>
    <w:p w14:paraId="5402508B" w14:textId="787BF626" w:rsidR="00BB491C" w:rsidRPr="00D81278" w:rsidRDefault="00BB491C" w:rsidP="00BB491C">
      <w:pPr>
        <w:pStyle w:val="NoSpacing"/>
        <w:tabs>
          <w:tab w:val="left" w:pos="1134"/>
          <w:tab w:val="left" w:pos="1843"/>
        </w:tabs>
        <w:spacing w:before="120"/>
        <w:rPr>
          <w:rFonts w:ascii="Times" w:hAnsi="Times"/>
          <w:sz w:val="20"/>
          <w:szCs w:val="20"/>
        </w:rPr>
      </w:pPr>
      <w:r w:rsidRPr="00D81278">
        <w:rPr>
          <w:rFonts w:ascii="Times" w:hAnsi="Times"/>
          <w:sz w:val="20"/>
          <w:szCs w:val="20"/>
        </w:rPr>
        <w:lastRenderedPageBreak/>
        <w:t>where,</w:t>
      </w:r>
    </w:p>
    <w:p w14:paraId="77D8CBAB" w14:textId="77777777" w:rsidR="00BB491C" w:rsidRPr="00D81278" w:rsidRDefault="00BB491C" w:rsidP="00BB491C">
      <w:pPr>
        <w:pStyle w:val="NoSpacing"/>
        <w:tabs>
          <w:tab w:val="left" w:pos="426"/>
          <w:tab w:val="left" w:pos="1843"/>
        </w:tabs>
        <w:rPr>
          <w:rFonts w:ascii="Times" w:hAnsi="Times"/>
          <w:sz w:val="20"/>
          <w:szCs w:val="20"/>
        </w:rPr>
      </w:pPr>
      <w:r w:rsidRPr="00D81278">
        <w:rPr>
          <w:rFonts w:ascii="Times" w:hAnsi="Times" w:cs="Times New Roman"/>
          <w:i/>
          <w:iCs/>
          <w:sz w:val="20"/>
          <w:szCs w:val="20"/>
        </w:rPr>
        <w:t>a</w:t>
      </w:r>
      <w:r w:rsidRPr="00D81278">
        <w:rPr>
          <w:rFonts w:ascii="Times" w:hAnsi="Times"/>
          <w:i/>
          <w:iCs/>
          <w:sz w:val="20"/>
          <w:szCs w:val="20"/>
          <w:vertAlign w:val="subscript"/>
        </w:rPr>
        <w:t>max</w:t>
      </w:r>
      <w:r w:rsidRPr="00D81278">
        <w:rPr>
          <w:rFonts w:ascii="Times" w:hAnsi="Times"/>
          <w:sz w:val="20"/>
          <w:szCs w:val="20"/>
        </w:rPr>
        <w:tab/>
        <w:t>= Peak ground acceleration at the surface (g)</w:t>
      </w:r>
    </w:p>
    <w:p w14:paraId="530A63E5" w14:textId="77777777" w:rsidR="00BB491C" w:rsidRPr="00D81278" w:rsidRDefault="00BB491C" w:rsidP="00BB491C">
      <w:pPr>
        <w:pStyle w:val="NoSpacing"/>
        <w:tabs>
          <w:tab w:val="left" w:pos="426"/>
          <w:tab w:val="left" w:pos="1843"/>
        </w:tabs>
        <w:rPr>
          <w:rFonts w:ascii="Times" w:hAnsi="Times"/>
          <w:sz w:val="20"/>
          <w:szCs w:val="20"/>
        </w:rPr>
      </w:pPr>
      <w:r w:rsidRPr="00D81278">
        <w:rPr>
          <w:rFonts w:ascii="Times" w:hAnsi="Times"/>
          <w:i/>
          <w:sz w:val="20"/>
          <w:szCs w:val="20"/>
        </w:rPr>
        <w:t>PGA</w:t>
      </w:r>
      <w:r w:rsidRPr="00D81278">
        <w:rPr>
          <w:rFonts w:ascii="Times" w:hAnsi="Times"/>
          <w:sz w:val="20"/>
          <w:szCs w:val="20"/>
        </w:rPr>
        <w:tab/>
        <w:t>=  Peak ground acceleration (g)</w:t>
      </w:r>
    </w:p>
    <w:p w14:paraId="50A71CEF" w14:textId="1BA33ADB" w:rsidR="00BB491C" w:rsidRPr="00D81278" w:rsidRDefault="00BB491C" w:rsidP="00BB491C">
      <w:pPr>
        <w:pStyle w:val="NoSpacing"/>
        <w:tabs>
          <w:tab w:val="left" w:pos="426"/>
          <w:tab w:val="left" w:pos="1843"/>
        </w:tabs>
        <w:rPr>
          <w:rFonts w:ascii="Times" w:hAnsi="Times"/>
          <w:sz w:val="20"/>
          <w:szCs w:val="20"/>
        </w:rPr>
      </w:pPr>
      <w:r w:rsidRPr="00D81278">
        <w:rPr>
          <w:rFonts w:ascii="Times" w:hAnsi="Times"/>
          <w:i/>
          <w:sz w:val="20"/>
          <w:szCs w:val="20"/>
        </w:rPr>
        <w:t>F</w:t>
      </w:r>
      <w:r w:rsidRPr="00D81278">
        <w:rPr>
          <w:rFonts w:ascii="Times" w:hAnsi="Times"/>
          <w:i/>
          <w:sz w:val="20"/>
          <w:szCs w:val="20"/>
          <w:vertAlign w:val="subscript"/>
        </w:rPr>
        <w:t>PGA</w:t>
      </w:r>
      <w:r w:rsidRPr="00D81278">
        <w:rPr>
          <w:rFonts w:ascii="Times" w:hAnsi="Times"/>
          <w:sz w:val="20"/>
          <w:szCs w:val="20"/>
        </w:rPr>
        <w:tab/>
        <w:t xml:space="preserve">= The coefficients determined by Table </w:t>
      </w:r>
      <w:r>
        <w:rPr>
          <w:rFonts w:ascii="Times" w:hAnsi="Times"/>
          <w:sz w:val="20"/>
          <w:szCs w:val="20"/>
        </w:rPr>
        <w:t>3</w:t>
      </w:r>
    </w:p>
    <w:p w14:paraId="360DE760" w14:textId="571A97E5" w:rsidR="00BB491C" w:rsidRPr="00F1377D" w:rsidRDefault="00BB491C" w:rsidP="00BB491C">
      <w:pPr>
        <w:pStyle w:val="TableCaption"/>
        <w:rPr>
          <w:iCs/>
        </w:rPr>
      </w:pPr>
      <w:bookmarkStart w:id="2" w:name="_Toc74466592"/>
      <w:r w:rsidRPr="00D81278">
        <w:rPr>
          <w:b/>
          <w:bCs/>
        </w:rPr>
        <w:t>T</w:t>
      </w:r>
      <w:r w:rsidR="008E09F6">
        <w:rPr>
          <w:b/>
          <w:bCs/>
        </w:rPr>
        <w:t>ABLE</w:t>
      </w:r>
      <w:r w:rsidRPr="00D81278">
        <w:rPr>
          <w:b/>
          <w:bCs/>
        </w:rPr>
        <w:t xml:space="preserve"> </w:t>
      </w:r>
      <w:r>
        <w:rPr>
          <w:b/>
          <w:bCs/>
        </w:rPr>
        <w:t>3</w:t>
      </w:r>
      <w:r w:rsidRPr="00D81278">
        <w:t xml:space="preserve">. Coefficient of </w:t>
      </w:r>
      <w:r w:rsidRPr="00D81278">
        <w:rPr>
          <w:i/>
        </w:rPr>
        <w:t>F</w:t>
      </w:r>
      <w:r w:rsidRPr="00D81278">
        <w:rPr>
          <w:i/>
          <w:vertAlign w:val="subscript"/>
        </w:rPr>
        <w:t>PGA</w:t>
      </w:r>
      <w:bookmarkEnd w:id="2"/>
      <w:r w:rsidR="00F1377D">
        <w:rPr>
          <w:i/>
          <w:vertAlign w:val="subscript"/>
        </w:rPr>
        <w:t xml:space="preserve"> </w:t>
      </w:r>
      <w:r w:rsidR="00F1377D">
        <w:rPr>
          <w:iCs/>
        </w:rPr>
        <w:t>[12]</w:t>
      </w:r>
    </w:p>
    <w:tbl>
      <w:tblPr>
        <w:tblW w:w="3181" w:type="pct"/>
        <w:jc w:val="center"/>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994"/>
        <w:gridCol w:w="996"/>
        <w:gridCol w:w="706"/>
        <w:gridCol w:w="850"/>
        <w:gridCol w:w="709"/>
        <w:gridCol w:w="848"/>
        <w:gridCol w:w="852"/>
      </w:tblGrid>
      <w:tr w:rsidR="00BB491C" w:rsidRPr="00BB491C" w14:paraId="79BF1A22" w14:textId="77777777" w:rsidTr="00BB491C">
        <w:trPr>
          <w:trHeight w:val="283"/>
          <w:jc w:val="center"/>
        </w:trPr>
        <w:tc>
          <w:tcPr>
            <w:tcW w:w="835" w:type="pct"/>
            <w:vMerge w:val="restart"/>
            <w:tcBorders>
              <w:top w:val="single" w:sz="4" w:space="0" w:color="000000"/>
              <w:bottom w:val="single" w:sz="4" w:space="0" w:color="000000"/>
            </w:tcBorders>
            <w:vAlign w:val="center"/>
          </w:tcPr>
          <w:p w14:paraId="4E720C97" w14:textId="77777777" w:rsidR="00BB491C" w:rsidRPr="00BB491C" w:rsidRDefault="00BB491C" w:rsidP="00786C75">
            <w:pPr>
              <w:pStyle w:val="NoSpacing"/>
              <w:jc w:val="center"/>
              <w:rPr>
                <w:rFonts w:ascii="Times" w:hAnsi="Times"/>
                <w:b/>
                <w:bCs/>
                <w:sz w:val="18"/>
                <w:szCs w:val="18"/>
              </w:rPr>
            </w:pPr>
            <w:r w:rsidRPr="00BB491C">
              <w:rPr>
                <w:rFonts w:ascii="Times" w:hAnsi="Times"/>
                <w:b/>
                <w:bCs/>
                <w:sz w:val="18"/>
                <w:szCs w:val="18"/>
              </w:rPr>
              <w:t>Site Class</w:t>
            </w:r>
          </w:p>
        </w:tc>
        <w:tc>
          <w:tcPr>
            <w:tcW w:w="4165" w:type="pct"/>
            <w:gridSpan w:val="6"/>
            <w:tcBorders>
              <w:top w:val="single" w:sz="4" w:space="0" w:color="000000"/>
              <w:bottom w:val="single" w:sz="4" w:space="0" w:color="000000"/>
            </w:tcBorders>
            <w:vAlign w:val="center"/>
          </w:tcPr>
          <w:p w14:paraId="0859D7F9" w14:textId="77777777" w:rsidR="00BB491C" w:rsidRPr="00BB491C" w:rsidRDefault="00BB491C" w:rsidP="00786C75">
            <w:pPr>
              <w:pStyle w:val="NoSpacing"/>
              <w:jc w:val="center"/>
              <w:rPr>
                <w:rFonts w:ascii="Times" w:hAnsi="Times"/>
                <w:b/>
                <w:bCs/>
                <w:i/>
                <w:iCs/>
                <w:sz w:val="18"/>
                <w:szCs w:val="18"/>
              </w:rPr>
            </w:pPr>
            <w:r w:rsidRPr="00BB491C">
              <w:rPr>
                <w:rFonts w:ascii="Times" w:hAnsi="Times"/>
                <w:b/>
                <w:bCs/>
                <w:i/>
                <w:iCs/>
                <w:sz w:val="18"/>
                <w:szCs w:val="18"/>
              </w:rPr>
              <w:t>PGA</w:t>
            </w:r>
          </w:p>
        </w:tc>
      </w:tr>
      <w:tr w:rsidR="00BB491C" w:rsidRPr="00BB491C" w14:paraId="525DEDFB" w14:textId="77777777" w:rsidTr="00BB491C">
        <w:trPr>
          <w:trHeight w:val="283"/>
          <w:jc w:val="center"/>
        </w:trPr>
        <w:tc>
          <w:tcPr>
            <w:tcW w:w="835" w:type="pct"/>
            <w:vMerge/>
            <w:tcBorders>
              <w:top w:val="single" w:sz="4" w:space="0" w:color="000000"/>
              <w:bottom w:val="single" w:sz="4" w:space="0" w:color="000000"/>
            </w:tcBorders>
            <w:vAlign w:val="center"/>
          </w:tcPr>
          <w:p w14:paraId="335A90C6" w14:textId="77777777" w:rsidR="00BB491C" w:rsidRPr="00BB491C" w:rsidRDefault="00BB491C" w:rsidP="00786C75">
            <w:pPr>
              <w:pStyle w:val="NoSpacing"/>
              <w:jc w:val="center"/>
              <w:rPr>
                <w:rFonts w:ascii="Times" w:hAnsi="Times"/>
                <w:b/>
                <w:bCs/>
                <w:sz w:val="18"/>
                <w:szCs w:val="18"/>
              </w:rPr>
            </w:pPr>
          </w:p>
        </w:tc>
        <w:tc>
          <w:tcPr>
            <w:tcW w:w="836" w:type="pct"/>
            <w:tcBorders>
              <w:top w:val="single" w:sz="4" w:space="0" w:color="000000"/>
              <w:bottom w:val="single" w:sz="4" w:space="0" w:color="000000"/>
            </w:tcBorders>
            <w:vAlign w:val="center"/>
          </w:tcPr>
          <w:p w14:paraId="3470D0AD" w14:textId="77777777" w:rsidR="00BB491C" w:rsidRPr="00BB491C" w:rsidRDefault="00BB491C" w:rsidP="00786C75">
            <w:pPr>
              <w:pStyle w:val="NoSpacing"/>
              <w:jc w:val="center"/>
              <w:rPr>
                <w:rFonts w:ascii="Times" w:hAnsi="Times"/>
                <w:b/>
                <w:bCs/>
                <w:sz w:val="18"/>
                <w:szCs w:val="18"/>
              </w:rPr>
            </w:pPr>
            <w:r w:rsidRPr="00BB491C">
              <w:rPr>
                <w:rFonts w:ascii="Times" w:hAnsi="Times"/>
                <w:b/>
                <w:bCs/>
                <w:sz w:val="18"/>
                <w:szCs w:val="18"/>
              </w:rPr>
              <w:t>0.1</w:t>
            </w:r>
          </w:p>
        </w:tc>
        <w:tc>
          <w:tcPr>
            <w:tcW w:w="593" w:type="pct"/>
            <w:tcBorders>
              <w:top w:val="single" w:sz="4" w:space="0" w:color="000000"/>
              <w:bottom w:val="single" w:sz="4" w:space="0" w:color="000000"/>
            </w:tcBorders>
            <w:vAlign w:val="center"/>
          </w:tcPr>
          <w:p w14:paraId="67024108" w14:textId="77777777" w:rsidR="00BB491C" w:rsidRPr="00BB491C" w:rsidRDefault="00BB491C" w:rsidP="00BB491C">
            <w:pPr>
              <w:pStyle w:val="NoSpacing"/>
              <w:ind w:firstLine="50"/>
              <w:jc w:val="center"/>
              <w:rPr>
                <w:rFonts w:ascii="Times" w:hAnsi="Times"/>
                <w:b/>
                <w:bCs/>
                <w:sz w:val="18"/>
                <w:szCs w:val="18"/>
              </w:rPr>
            </w:pPr>
            <w:r w:rsidRPr="00BB491C">
              <w:rPr>
                <w:rFonts w:ascii="Times" w:hAnsi="Times"/>
                <w:b/>
                <w:bCs/>
                <w:sz w:val="18"/>
                <w:szCs w:val="18"/>
              </w:rPr>
              <w:t>0.2</w:t>
            </w:r>
          </w:p>
        </w:tc>
        <w:tc>
          <w:tcPr>
            <w:tcW w:w="714" w:type="pct"/>
            <w:tcBorders>
              <w:top w:val="single" w:sz="4" w:space="0" w:color="000000"/>
              <w:bottom w:val="single" w:sz="4" w:space="0" w:color="000000"/>
            </w:tcBorders>
            <w:vAlign w:val="center"/>
          </w:tcPr>
          <w:p w14:paraId="5C85B4FC" w14:textId="77777777" w:rsidR="00BB491C" w:rsidRPr="00BB491C" w:rsidRDefault="00BB491C" w:rsidP="00786C75">
            <w:pPr>
              <w:pStyle w:val="NoSpacing"/>
              <w:jc w:val="center"/>
              <w:rPr>
                <w:rFonts w:ascii="Times" w:hAnsi="Times"/>
                <w:b/>
                <w:bCs/>
                <w:sz w:val="18"/>
                <w:szCs w:val="18"/>
              </w:rPr>
            </w:pPr>
            <w:r w:rsidRPr="00BB491C">
              <w:rPr>
                <w:rFonts w:ascii="Times" w:hAnsi="Times"/>
                <w:b/>
                <w:bCs/>
                <w:sz w:val="18"/>
                <w:szCs w:val="18"/>
              </w:rPr>
              <w:t>0.3</w:t>
            </w:r>
          </w:p>
        </w:tc>
        <w:tc>
          <w:tcPr>
            <w:tcW w:w="595" w:type="pct"/>
            <w:tcBorders>
              <w:top w:val="single" w:sz="4" w:space="0" w:color="000000"/>
              <w:bottom w:val="single" w:sz="4" w:space="0" w:color="000000"/>
            </w:tcBorders>
            <w:vAlign w:val="center"/>
          </w:tcPr>
          <w:p w14:paraId="107D02AA" w14:textId="77777777" w:rsidR="00BB491C" w:rsidRPr="00BB491C" w:rsidRDefault="00BB491C" w:rsidP="00786C75">
            <w:pPr>
              <w:pStyle w:val="NoSpacing"/>
              <w:jc w:val="center"/>
              <w:rPr>
                <w:rFonts w:ascii="Times" w:hAnsi="Times"/>
                <w:b/>
                <w:bCs/>
                <w:sz w:val="18"/>
                <w:szCs w:val="18"/>
              </w:rPr>
            </w:pPr>
            <w:r w:rsidRPr="00BB491C">
              <w:rPr>
                <w:rFonts w:ascii="Times" w:hAnsi="Times"/>
                <w:b/>
                <w:bCs/>
                <w:sz w:val="18"/>
                <w:szCs w:val="18"/>
              </w:rPr>
              <w:t>0.4</w:t>
            </w:r>
          </w:p>
        </w:tc>
        <w:tc>
          <w:tcPr>
            <w:tcW w:w="712" w:type="pct"/>
            <w:tcBorders>
              <w:top w:val="single" w:sz="4" w:space="0" w:color="000000"/>
              <w:bottom w:val="single" w:sz="4" w:space="0" w:color="000000"/>
            </w:tcBorders>
            <w:vAlign w:val="center"/>
          </w:tcPr>
          <w:p w14:paraId="26DBE271" w14:textId="77777777" w:rsidR="00BB491C" w:rsidRPr="00BB491C" w:rsidRDefault="00BB491C" w:rsidP="00786C75">
            <w:pPr>
              <w:pStyle w:val="NoSpacing"/>
              <w:jc w:val="center"/>
              <w:rPr>
                <w:rFonts w:ascii="Times" w:hAnsi="Times"/>
                <w:b/>
                <w:bCs/>
                <w:sz w:val="18"/>
                <w:szCs w:val="18"/>
              </w:rPr>
            </w:pPr>
            <w:r w:rsidRPr="00BB491C">
              <w:rPr>
                <w:rFonts w:ascii="Times" w:hAnsi="Times"/>
                <w:b/>
                <w:bCs/>
                <w:sz w:val="18"/>
                <w:szCs w:val="18"/>
              </w:rPr>
              <w:t>0.5</w:t>
            </w:r>
          </w:p>
        </w:tc>
        <w:tc>
          <w:tcPr>
            <w:tcW w:w="715" w:type="pct"/>
            <w:tcBorders>
              <w:top w:val="single" w:sz="4" w:space="0" w:color="000000"/>
              <w:bottom w:val="single" w:sz="4" w:space="0" w:color="000000"/>
            </w:tcBorders>
            <w:vAlign w:val="center"/>
          </w:tcPr>
          <w:p w14:paraId="5C8AC2BF" w14:textId="337B115D" w:rsidR="00BB491C" w:rsidRPr="00BB491C" w:rsidRDefault="00BB491C" w:rsidP="00BB491C">
            <w:pPr>
              <w:jc w:val="center"/>
              <w:rPr>
                <w:rFonts w:ascii="Times" w:hAnsi="Times"/>
                <w:sz w:val="18"/>
                <w:szCs w:val="18"/>
              </w:rPr>
            </w:pPr>
            <w:r w:rsidRPr="00BB491C">
              <w:rPr>
                <w:rFonts w:ascii="Times" w:hAnsi="Times"/>
                <w:b/>
                <w:bCs/>
                <w:i/>
                <w:iCs/>
                <w:sz w:val="18"/>
                <w:szCs w:val="18"/>
                <w:u w:val="single"/>
              </w:rPr>
              <w:t>&gt;</w:t>
            </w:r>
            <w:r w:rsidRPr="00BB491C">
              <w:rPr>
                <w:rFonts w:ascii="Times" w:hAnsi="Times"/>
                <w:b/>
                <w:bCs/>
                <w:sz w:val="18"/>
                <w:szCs w:val="18"/>
              </w:rPr>
              <w:t xml:space="preserve"> 0.6</w:t>
            </w:r>
          </w:p>
        </w:tc>
      </w:tr>
      <w:tr w:rsidR="00BB491C" w:rsidRPr="00BB491C" w14:paraId="34831909" w14:textId="77777777" w:rsidTr="00BB491C">
        <w:trPr>
          <w:trHeight w:val="283"/>
          <w:jc w:val="center"/>
        </w:trPr>
        <w:tc>
          <w:tcPr>
            <w:tcW w:w="835" w:type="pct"/>
            <w:tcBorders>
              <w:top w:val="single" w:sz="4" w:space="0" w:color="000000"/>
            </w:tcBorders>
            <w:vAlign w:val="center"/>
          </w:tcPr>
          <w:p w14:paraId="787F92CB"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SA</w:t>
            </w:r>
          </w:p>
        </w:tc>
        <w:tc>
          <w:tcPr>
            <w:tcW w:w="836" w:type="pct"/>
            <w:tcBorders>
              <w:top w:val="single" w:sz="4" w:space="0" w:color="000000"/>
            </w:tcBorders>
            <w:vAlign w:val="center"/>
          </w:tcPr>
          <w:p w14:paraId="512F6311"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0.8</w:t>
            </w:r>
          </w:p>
        </w:tc>
        <w:tc>
          <w:tcPr>
            <w:tcW w:w="593" w:type="pct"/>
            <w:tcBorders>
              <w:top w:val="single" w:sz="4" w:space="0" w:color="000000"/>
            </w:tcBorders>
            <w:vAlign w:val="center"/>
          </w:tcPr>
          <w:p w14:paraId="21F85D9E"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0.8</w:t>
            </w:r>
          </w:p>
        </w:tc>
        <w:tc>
          <w:tcPr>
            <w:tcW w:w="714" w:type="pct"/>
            <w:tcBorders>
              <w:top w:val="single" w:sz="4" w:space="0" w:color="000000"/>
            </w:tcBorders>
            <w:vAlign w:val="center"/>
          </w:tcPr>
          <w:p w14:paraId="502C3317"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0.8</w:t>
            </w:r>
          </w:p>
        </w:tc>
        <w:tc>
          <w:tcPr>
            <w:tcW w:w="595" w:type="pct"/>
            <w:tcBorders>
              <w:top w:val="single" w:sz="4" w:space="0" w:color="000000"/>
            </w:tcBorders>
            <w:vAlign w:val="center"/>
          </w:tcPr>
          <w:p w14:paraId="4AB0D824"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0.8</w:t>
            </w:r>
          </w:p>
        </w:tc>
        <w:tc>
          <w:tcPr>
            <w:tcW w:w="712" w:type="pct"/>
            <w:tcBorders>
              <w:top w:val="single" w:sz="4" w:space="0" w:color="000000"/>
            </w:tcBorders>
            <w:vAlign w:val="center"/>
          </w:tcPr>
          <w:p w14:paraId="7D60AE4C"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0.8</w:t>
            </w:r>
          </w:p>
        </w:tc>
        <w:tc>
          <w:tcPr>
            <w:tcW w:w="715" w:type="pct"/>
            <w:tcBorders>
              <w:top w:val="single" w:sz="4" w:space="0" w:color="000000"/>
            </w:tcBorders>
            <w:vAlign w:val="center"/>
          </w:tcPr>
          <w:p w14:paraId="010B95EB" w14:textId="77777777" w:rsidR="00BB491C" w:rsidRPr="00BB491C" w:rsidRDefault="00BB491C" w:rsidP="00786C75">
            <w:pPr>
              <w:jc w:val="center"/>
              <w:rPr>
                <w:rFonts w:ascii="Times" w:hAnsi="Times"/>
                <w:sz w:val="18"/>
                <w:szCs w:val="18"/>
              </w:rPr>
            </w:pPr>
            <w:r w:rsidRPr="00BB491C">
              <w:rPr>
                <w:rFonts w:ascii="Times" w:hAnsi="Times"/>
                <w:sz w:val="18"/>
                <w:szCs w:val="18"/>
              </w:rPr>
              <w:t>0.8</w:t>
            </w:r>
          </w:p>
        </w:tc>
      </w:tr>
      <w:tr w:rsidR="00BB491C" w:rsidRPr="00BB491C" w14:paraId="3DA6FC67" w14:textId="77777777" w:rsidTr="00BB491C">
        <w:trPr>
          <w:trHeight w:val="283"/>
          <w:jc w:val="center"/>
        </w:trPr>
        <w:tc>
          <w:tcPr>
            <w:tcW w:w="835" w:type="pct"/>
            <w:vAlign w:val="center"/>
          </w:tcPr>
          <w:p w14:paraId="24643EBF"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SB</w:t>
            </w:r>
          </w:p>
        </w:tc>
        <w:tc>
          <w:tcPr>
            <w:tcW w:w="836" w:type="pct"/>
            <w:vAlign w:val="center"/>
          </w:tcPr>
          <w:p w14:paraId="34C7E783"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0.9</w:t>
            </w:r>
          </w:p>
        </w:tc>
        <w:tc>
          <w:tcPr>
            <w:tcW w:w="593" w:type="pct"/>
            <w:vAlign w:val="center"/>
          </w:tcPr>
          <w:p w14:paraId="74095EAC"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0.9</w:t>
            </w:r>
          </w:p>
        </w:tc>
        <w:tc>
          <w:tcPr>
            <w:tcW w:w="714" w:type="pct"/>
            <w:vAlign w:val="center"/>
          </w:tcPr>
          <w:p w14:paraId="2681D905"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0.9</w:t>
            </w:r>
          </w:p>
        </w:tc>
        <w:tc>
          <w:tcPr>
            <w:tcW w:w="595" w:type="pct"/>
            <w:vAlign w:val="center"/>
          </w:tcPr>
          <w:p w14:paraId="5E6F5FAB"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0.9</w:t>
            </w:r>
          </w:p>
        </w:tc>
        <w:tc>
          <w:tcPr>
            <w:tcW w:w="712" w:type="pct"/>
            <w:vAlign w:val="center"/>
          </w:tcPr>
          <w:p w14:paraId="71B60E91"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0.9</w:t>
            </w:r>
          </w:p>
        </w:tc>
        <w:tc>
          <w:tcPr>
            <w:tcW w:w="715" w:type="pct"/>
            <w:vAlign w:val="center"/>
          </w:tcPr>
          <w:p w14:paraId="7059BCA5" w14:textId="77777777" w:rsidR="00BB491C" w:rsidRPr="00BB491C" w:rsidRDefault="00BB491C" w:rsidP="00786C75">
            <w:pPr>
              <w:jc w:val="center"/>
              <w:rPr>
                <w:rFonts w:ascii="Times" w:hAnsi="Times"/>
                <w:sz w:val="18"/>
                <w:szCs w:val="18"/>
              </w:rPr>
            </w:pPr>
            <w:r w:rsidRPr="00BB491C">
              <w:rPr>
                <w:rFonts w:ascii="Times" w:hAnsi="Times"/>
                <w:sz w:val="18"/>
                <w:szCs w:val="18"/>
              </w:rPr>
              <w:t>0.9</w:t>
            </w:r>
          </w:p>
        </w:tc>
      </w:tr>
      <w:tr w:rsidR="00BB491C" w:rsidRPr="00BB491C" w14:paraId="2B04D4E7" w14:textId="77777777" w:rsidTr="00BB491C">
        <w:trPr>
          <w:trHeight w:val="283"/>
          <w:jc w:val="center"/>
        </w:trPr>
        <w:tc>
          <w:tcPr>
            <w:tcW w:w="835" w:type="pct"/>
            <w:vAlign w:val="center"/>
          </w:tcPr>
          <w:p w14:paraId="4A2DDC00"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SC</w:t>
            </w:r>
          </w:p>
        </w:tc>
        <w:tc>
          <w:tcPr>
            <w:tcW w:w="836" w:type="pct"/>
            <w:vAlign w:val="center"/>
          </w:tcPr>
          <w:p w14:paraId="5C5DCB02"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1.3</w:t>
            </w:r>
          </w:p>
        </w:tc>
        <w:tc>
          <w:tcPr>
            <w:tcW w:w="593" w:type="pct"/>
            <w:vAlign w:val="center"/>
          </w:tcPr>
          <w:p w14:paraId="1541F1DB"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1.2</w:t>
            </w:r>
          </w:p>
        </w:tc>
        <w:tc>
          <w:tcPr>
            <w:tcW w:w="714" w:type="pct"/>
            <w:vAlign w:val="center"/>
          </w:tcPr>
          <w:p w14:paraId="1DE82824"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1.2</w:t>
            </w:r>
          </w:p>
        </w:tc>
        <w:tc>
          <w:tcPr>
            <w:tcW w:w="595" w:type="pct"/>
            <w:vAlign w:val="center"/>
          </w:tcPr>
          <w:p w14:paraId="6E58AECA"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1.2</w:t>
            </w:r>
          </w:p>
        </w:tc>
        <w:tc>
          <w:tcPr>
            <w:tcW w:w="712" w:type="pct"/>
            <w:vAlign w:val="center"/>
          </w:tcPr>
          <w:p w14:paraId="5B3660AF"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1.2</w:t>
            </w:r>
          </w:p>
        </w:tc>
        <w:tc>
          <w:tcPr>
            <w:tcW w:w="715" w:type="pct"/>
            <w:vAlign w:val="center"/>
          </w:tcPr>
          <w:p w14:paraId="50280997" w14:textId="77777777" w:rsidR="00BB491C" w:rsidRPr="00BB491C" w:rsidRDefault="00BB491C" w:rsidP="00786C75">
            <w:pPr>
              <w:jc w:val="center"/>
              <w:rPr>
                <w:rFonts w:ascii="Times" w:hAnsi="Times"/>
                <w:sz w:val="18"/>
                <w:szCs w:val="18"/>
              </w:rPr>
            </w:pPr>
            <w:r w:rsidRPr="00BB491C">
              <w:rPr>
                <w:rFonts w:ascii="Times" w:hAnsi="Times"/>
                <w:sz w:val="18"/>
                <w:szCs w:val="18"/>
              </w:rPr>
              <w:t>1.2</w:t>
            </w:r>
          </w:p>
        </w:tc>
      </w:tr>
      <w:tr w:rsidR="00BB491C" w:rsidRPr="00BB491C" w14:paraId="0D9FF60D" w14:textId="77777777" w:rsidTr="00BB491C">
        <w:trPr>
          <w:trHeight w:val="283"/>
          <w:jc w:val="center"/>
        </w:trPr>
        <w:tc>
          <w:tcPr>
            <w:tcW w:w="835" w:type="pct"/>
            <w:vAlign w:val="center"/>
          </w:tcPr>
          <w:p w14:paraId="73685CBC"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SD</w:t>
            </w:r>
          </w:p>
        </w:tc>
        <w:tc>
          <w:tcPr>
            <w:tcW w:w="836" w:type="pct"/>
            <w:vAlign w:val="center"/>
          </w:tcPr>
          <w:p w14:paraId="05BA88B1"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1.6</w:t>
            </w:r>
          </w:p>
        </w:tc>
        <w:tc>
          <w:tcPr>
            <w:tcW w:w="593" w:type="pct"/>
            <w:vAlign w:val="center"/>
          </w:tcPr>
          <w:p w14:paraId="601AB375"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1.4</w:t>
            </w:r>
          </w:p>
        </w:tc>
        <w:tc>
          <w:tcPr>
            <w:tcW w:w="714" w:type="pct"/>
            <w:vAlign w:val="center"/>
          </w:tcPr>
          <w:p w14:paraId="7B638271"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1.3</w:t>
            </w:r>
          </w:p>
        </w:tc>
        <w:tc>
          <w:tcPr>
            <w:tcW w:w="595" w:type="pct"/>
            <w:vAlign w:val="center"/>
          </w:tcPr>
          <w:p w14:paraId="33901B51"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1.2</w:t>
            </w:r>
          </w:p>
        </w:tc>
        <w:tc>
          <w:tcPr>
            <w:tcW w:w="712" w:type="pct"/>
            <w:vAlign w:val="center"/>
          </w:tcPr>
          <w:p w14:paraId="3A74CC6A"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1.1</w:t>
            </w:r>
          </w:p>
        </w:tc>
        <w:tc>
          <w:tcPr>
            <w:tcW w:w="715" w:type="pct"/>
            <w:vAlign w:val="center"/>
          </w:tcPr>
          <w:p w14:paraId="2DD2DE1E" w14:textId="77777777" w:rsidR="00BB491C" w:rsidRPr="00BB491C" w:rsidRDefault="00BB491C" w:rsidP="00786C75">
            <w:pPr>
              <w:jc w:val="center"/>
              <w:rPr>
                <w:rFonts w:ascii="Times" w:hAnsi="Times"/>
                <w:sz w:val="18"/>
                <w:szCs w:val="18"/>
              </w:rPr>
            </w:pPr>
            <w:r w:rsidRPr="00BB491C">
              <w:rPr>
                <w:rFonts w:ascii="Times" w:hAnsi="Times"/>
                <w:sz w:val="18"/>
                <w:szCs w:val="18"/>
              </w:rPr>
              <w:t>1.1</w:t>
            </w:r>
          </w:p>
        </w:tc>
      </w:tr>
      <w:tr w:rsidR="00BB491C" w:rsidRPr="00BB491C" w14:paraId="6A82A0F1" w14:textId="77777777" w:rsidTr="00BB491C">
        <w:trPr>
          <w:trHeight w:val="283"/>
          <w:jc w:val="center"/>
        </w:trPr>
        <w:tc>
          <w:tcPr>
            <w:tcW w:w="835" w:type="pct"/>
            <w:vAlign w:val="center"/>
          </w:tcPr>
          <w:p w14:paraId="4CAEF955"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SE</w:t>
            </w:r>
          </w:p>
        </w:tc>
        <w:tc>
          <w:tcPr>
            <w:tcW w:w="836" w:type="pct"/>
            <w:vAlign w:val="center"/>
          </w:tcPr>
          <w:p w14:paraId="6FA01CF3"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2.4</w:t>
            </w:r>
          </w:p>
        </w:tc>
        <w:tc>
          <w:tcPr>
            <w:tcW w:w="593" w:type="pct"/>
            <w:vAlign w:val="center"/>
          </w:tcPr>
          <w:p w14:paraId="6C8385C5"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1.9</w:t>
            </w:r>
          </w:p>
        </w:tc>
        <w:tc>
          <w:tcPr>
            <w:tcW w:w="714" w:type="pct"/>
            <w:vAlign w:val="center"/>
          </w:tcPr>
          <w:p w14:paraId="0CAFBB33"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1.6</w:t>
            </w:r>
          </w:p>
        </w:tc>
        <w:tc>
          <w:tcPr>
            <w:tcW w:w="595" w:type="pct"/>
            <w:vAlign w:val="center"/>
          </w:tcPr>
          <w:p w14:paraId="4CAD44E8"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1.4</w:t>
            </w:r>
          </w:p>
        </w:tc>
        <w:tc>
          <w:tcPr>
            <w:tcW w:w="712" w:type="pct"/>
            <w:vAlign w:val="center"/>
          </w:tcPr>
          <w:p w14:paraId="2E3946A8"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1.2</w:t>
            </w:r>
          </w:p>
        </w:tc>
        <w:tc>
          <w:tcPr>
            <w:tcW w:w="715" w:type="pct"/>
            <w:vAlign w:val="center"/>
          </w:tcPr>
          <w:p w14:paraId="665874B8" w14:textId="77777777" w:rsidR="00BB491C" w:rsidRPr="00BB491C" w:rsidRDefault="00BB491C" w:rsidP="00786C75">
            <w:pPr>
              <w:jc w:val="center"/>
              <w:rPr>
                <w:rFonts w:ascii="Times" w:hAnsi="Times"/>
                <w:sz w:val="18"/>
                <w:szCs w:val="18"/>
              </w:rPr>
            </w:pPr>
            <w:r w:rsidRPr="00BB491C">
              <w:rPr>
                <w:rFonts w:ascii="Times" w:hAnsi="Times"/>
                <w:sz w:val="18"/>
                <w:szCs w:val="18"/>
              </w:rPr>
              <w:t>1.1</w:t>
            </w:r>
          </w:p>
        </w:tc>
      </w:tr>
      <w:tr w:rsidR="00BB491C" w:rsidRPr="00BB491C" w14:paraId="2BAFC305" w14:textId="77777777" w:rsidTr="00BB491C">
        <w:trPr>
          <w:trHeight w:val="283"/>
          <w:jc w:val="center"/>
        </w:trPr>
        <w:tc>
          <w:tcPr>
            <w:tcW w:w="835" w:type="pct"/>
            <w:vAlign w:val="center"/>
          </w:tcPr>
          <w:p w14:paraId="30651F2F" w14:textId="77777777" w:rsidR="00BB491C" w:rsidRPr="00BB491C" w:rsidRDefault="00BB491C" w:rsidP="00786C75">
            <w:pPr>
              <w:pStyle w:val="NoSpacing"/>
              <w:jc w:val="center"/>
              <w:rPr>
                <w:rFonts w:ascii="Times" w:hAnsi="Times"/>
                <w:sz w:val="18"/>
                <w:szCs w:val="18"/>
              </w:rPr>
            </w:pPr>
            <w:r w:rsidRPr="00BB491C">
              <w:rPr>
                <w:rFonts w:ascii="Times" w:hAnsi="Times"/>
                <w:sz w:val="18"/>
                <w:szCs w:val="18"/>
              </w:rPr>
              <w:t>SF</w:t>
            </w:r>
          </w:p>
        </w:tc>
        <w:tc>
          <w:tcPr>
            <w:tcW w:w="4165" w:type="pct"/>
            <w:gridSpan w:val="6"/>
            <w:vAlign w:val="center"/>
          </w:tcPr>
          <w:p w14:paraId="326A1B8D" w14:textId="77777777" w:rsidR="00BB491C" w:rsidRPr="00BB491C" w:rsidRDefault="00BB491C" w:rsidP="00786C75">
            <w:pPr>
              <w:jc w:val="center"/>
              <w:rPr>
                <w:rFonts w:ascii="Times" w:hAnsi="Times"/>
                <w:sz w:val="18"/>
                <w:szCs w:val="18"/>
              </w:rPr>
            </w:pPr>
            <w:r w:rsidRPr="00BB491C">
              <w:rPr>
                <w:rFonts w:ascii="Times" w:hAnsi="Times"/>
                <w:sz w:val="18"/>
                <w:szCs w:val="18"/>
              </w:rPr>
              <w:t>A special evaluation is required at each location</w:t>
            </w:r>
          </w:p>
        </w:tc>
      </w:tr>
    </w:tbl>
    <w:p w14:paraId="2C1CE8F1" w14:textId="40F07EFF" w:rsidR="00000814" w:rsidRPr="00BB491C" w:rsidRDefault="00000814" w:rsidP="00BB491C">
      <w:pPr>
        <w:pStyle w:val="Paragraph"/>
        <w:jc w:val="center"/>
        <w:rPr>
          <w:sz w:val="18"/>
          <w:szCs w:val="18"/>
        </w:rPr>
      </w:pPr>
    </w:p>
    <w:p w14:paraId="41115441" w14:textId="4D53EF27" w:rsidR="00BF02A4" w:rsidRDefault="00BF02A4" w:rsidP="00BF02A4">
      <w:pPr>
        <w:pStyle w:val="Heading2"/>
      </w:pPr>
      <w:r>
        <w:t>Analysis of Liquefaction Potential Using Settle3 Software</w:t>
      </w:r>
    </w:p>
    <w:p w14:paraId="5A3B65EB" w14:textId="5304A00B" w:rsidR="00BB491C" w:rsidRDefault="00BB491C" w:rsidP="00BB491C">
      <w:pPr>
        <w:pStyle w:val="Paragraph"/>
      </w:pPr>
      <w:r w:rsidRPr="00BB491C">
        <w:t>The Settle3 software is a 3-dimensional program for the analysis of consolidation settlement under foundations, embankments, excavations on the surface. Furthermore, it also has an analysis program for liquefaction using several methods, which include Standard Penetration Test (SPT), Cone Penetration Test (CPT), and Shear Wave Velocity (VST) with analysis results related to safety factors with liquefaction resistance. The Settle3 analysis program is generally used to analyze soil consolidation and subsidence. However, in determining project settings, the liquefaction model can be activated with a choice of several methods implemented to determine the liquefaction potential.</w:t>
      </w:r>
    </w:p>
    <w:p w14:paraId="4FE86BE9" w14:textId="495FA5E8" w:rsidR="00BF02A4" w:rsidRDefault="00BF02A4" w:rsidP="00BF02A4">
      <w:pPr>
        <w:pStyle w:val="Heading2"/>
      </w:pPr>
      <w:r>
        <w:t>Software Settle3 Modelling</w:t>
      </w:r>
    </w:p>
    <w:p w14:paraId="6539080D" w14:textId="6B0AAEF8" w:rsidR="00BB491C" w:rsidRPr="00D81278" w:rsidRDefault="00BB491C" w:rsidP="00BB491C">
      <w:pPr>
        <w:pStyle w:val="Paragraph"/>
      </w:pPr>
      <w:r w:rsidRPr="00D81278">
        <w:t xml:space="preserve">Based </w:t>
      </w:r>
      <w:r w:rsidR="00CF6C90">
        <w:t xml:space="preserve">on the </w:t>
      </w:r>
      <w:r w:rsidR="00CF6C90" w:rsidRPr="00D81278">
        <w:t>SPT</w:t>
      </w:r>
      <w:r w:rsidRPr="00D81278">
        <w:t>, the Liquefaction analysis has several options in determin</w:t>
      </w:r>
      <w:r w:rsidR="00CF6C90">
        <w:t>ing</w:t>
      </w:r>
      <w:r w:rsidRPr="00D81278">
        <w:t xml:space="preserve"> soil parameters.</w:t>
      </w:r>
      <w:r w:rsidR="00CF6C90">
        <w:t xml:space="preserve"> T</w:t>
      </w:r>
      <w:r w:rsidRPr="00D81278">
        <w:t>he output can be selected automatically from the software or determined based on the desired method. Several factors were determined manually in the Settle3 liquefaction analysis as follows.</w:t>
      </w:r>
    </w:p>
    <w:p w14:paraId="57F6C977" w14:textId="34333B7A" w:rsidR="00BB491C" w:rsidRPr="00D81278" w:rsidRDefault="00BB491C" w:rsidP="00151388">
      <w:pPr>
        <w:pStyle w:val="Paragraph"/>
        <w:numPr>
          <w:ilvl w:val="0"/>
          <w:numId w:val="4"/>
        </w:numPr>
        <w:ind w:left="284" w:hanging="284"/>
      </w:pPr>
      <w:r w:rsidRPr="00D81278">
        <w:t>N-SPT Correction Factor</w:t>
      </w:r>
    </w:p>
    <w:p w14:paraId="319BC5E7" w14:textId="77777777" w:rsidR="00BB491C" w:rsidRPr="00D81278" w:rsidRDefault="00BB491C" w:rsidP="00BB491C">
      <w:pPr>
        <w:pStyle w:val="Paragraph"/>
      </w:pPr>
      <w:r w:rsidRPr="00D81278">
        <w:t xml:space="preserve">Before calculating the CRR, the N value from the field needs to be corrected based on the following factors. </w:t>
      </w:r>
    </w:p>
    <w:p w14:paraId="7FC550EB" w14:textId="14527DD1" w:rsidR="00BB491C" w:rsidRDefault="00BB491C" w:rsidP="00151388">
      <w:pPr>
        <w:pStyle w:val="Paragraph"/>
        <w:numPr>
          <w:ilvl w:val="0"/>
          <w:numId w:val="5"/>
        </w:numPr>
        <w:ind w:left="426" w:hanging="142"/>
      </w:pPr>
      <w:r w:rsidRPr="00D81278">
        <w:t>Overburden pressure (</w:t>
      </w:r>
      <w:r w:rsidRPr="00D81278">
        <w:rPr>
          <w:i/>
          <w:iCs/>
        </w:rPr>
        <w:t>C</w:t>
      </w:r>
      <w:r w:rsidRPr="00D81278">
        <w:rPr>
          <w:i/>
          <w:iCs/>
          <w:vertAlign w:val="subscript"/>
        </w:rPr>
        <w:t>N</w:t>
      </w:r>
      <w:r w:rsidRPr="00D81278">
        <w:t xml:space="preserve">) correction factor </w:t>
      </w:r>
      <w:r w:rsidR="00CF6C90">
        <w:t xml:space="preserve">is </w:t>
      </w:r>
      <w:r w:rsidRPr="00D81278">
        <w:t>based on the</w:t>
      </w:r>
      <w:r>
        <w:t xml:space="preserve"> </w:t>
      </w:r>
      <w:r w:rsidRPr="00AE1859">
        <w:fldChar w:fldCharType="begin"/>
      </w:r>
      <w:r w:rsidRPr="00AE1859">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AE1859">
        <w:fldChar w:fldCharType="separate"/>
      </w:r>
      <w:r w:rsidRPr="00AE1859">
        <w:t>Liao and Whitman (1986a)</w:t>
      </w:r>
      <w:r w:rsidRPr="00AE1859">
        <w:fldChar w:fldCharType="end"/>
      </w:r>
      <w:r w:rsidRPr="00D81278">
        <w:t xml:space="preserve"> method.</w:t>
      </w:r>
    </w:p>
    <w:p w14:paraId="3ACB18E4" w14:textId="77777777" w:rsidR="00BB491C" w:rsidRDefault="00BB491C" w:rsidP="00151388">
      <w:pPr>
        <w:pStyle w:val="Paragraph"/>
        <w:numPr>
          <w:ilvl w:val="0"/>
          <w:numId w:val="5"/>
        </w:numPr>
        <w:ind w:left="426" w:hanging="142"/>
      </w:pPr>
      <w:r w:rsidRPr="00D81278">
        <w:t>The hammer energy (</w:t>
      </w:r>
      <w:r w:rsidRPr="00BB491C">
        <w:rPr>
          <w:i/>
          <w:iCs/>
        </w:rPr>
        <w:t>C</w:t>
      </w:r>
      <w:r w:rsidRPr="00BB491C">
        <w:rPr>
          <w:i/>
          <w:iCs/>
          <w:vertAlign w:val="subscript"/>
        </w:rPr>
        <w:t>E</w:t>
      </w:r>
      <w:r w:rsidRPr="00D81278">
        <w:t>) correction factor is based on the</w:t>
      </w:r>
      <w:r>
        <w:t xml:space="preserve"> </w:t>
      </w:r>
      <w:r w:rsidRPr="00AE1859">
        <w:fldChar w:fldCharType="begin"/>
      </w:r>
      <w:r w:rsidRPr="00AE1859">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AE1859">
        <w:fldChar w:fldCharType="separate"/>
      </w:r>
      <w:r w:rsidRPr="00AE1859">
        <w:t>Skempton (1986)</w:t>
      </w:r>
      <w:r w:rsidRPr="00AE1859">
        <w:fldChar w:fldCharType="end"/>
      </w:r>
      <w:r w:rsidRPr="00D81278">
        <w:t xml:space="preserve"> method.</w:t>
      </w:r>
    </w:p>
    <w:p w14:paraId="0E438BC8" w14:textId="77777777" w:rsidR="00BB491C" w:rsidRDefault="00BB491C" w:rsidP="00151388">
      <w:pPr>
        <w:pStyle w:val="Paragraph"/>
        <w:numPr>
          <w:ilvl w:val="0"/>
          <w:numId w:val="5"/>
        </w:numPr>
        <w:ind w:left="426" w:hanging="142"/>
      </w:pPr>
      <w:r w:rsidRPr="00D81278">
        <w:t>The borehole diameter (</w:t>
      </w:r>
      <w:r w:rsidRPr="00BB491C">
        <w:rPr>
          <w:i/>
          <w:iCs/>
        </w:rPr>
        <w:t>C</w:t>
      </w:r>
      <w:r w:rsidRPr="00BB491C">
        <w:rPr>
          <w:i/>
          <w:iCs/>
          <w:vertAlign w:val="subscript"/>
        </w:rPr>
        <w:t>B</w:t>
      </w:r>
      <w:r w:rsidRPr="00D81278">
        <w:t xml:space="preserve">) correction factor is based on the </w:t>
      </w:r>
      <w:r w:rsidRPr="00E21102">
        <w:fldChar w:fldCharType="begin"/>
      </w:r>
      <w:r w:rsidRPr="00E21102">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E21102">
        <w:fldChar w:fldCharType="separate"/>
      </w:r>
      <w:r w:rsidRPr="00E21102">
        <w:t>Skempton (1986)</w:t>
      </w:r>
      <w:r w:rsidRPr="00E21102">
        <w:fldChar w:fldCharType="end"/>
      </w:r>
      <w:r w:rsidRPr="00D81278">
        <w:t xml:space="preserve"> method</w:t>
      </w:r>
      <w:r>
        <w:t>.</w:t>
      </w:r>
    </w:p>
    <w:p w14:paraId="5C8614E2" w14:textId="7E2FABD9" w:rsidR="00BB491C" w:rsidRDefault="00BB491C" w:rsidP="00151388">
      <w:pPr>
        <w:pStyle w:val="Paragraph"/>
        <w:numPr>
          <w:ilvl w:val="0"/>
          <w:numId w:val="5"/>
        </w:numPr>
        <w:ind w:left="426" w:hanging="142"/>
      </w:pPr>
      <w:r w:rsidRPr="00D81278">
        <w:t>Rod Length (</w:t>
      </w:r>
      <w:r w:rsidRPr="00BB491C">
        <w:rPr>
          <w:i/>
          <w:iCs/>
        </w:rPr>
        <w:t>C</w:t>
      </w:r>
      <w:r w:rsidRPr="00BB491C">
        <w:rPr>
          <w:i/>
          <w:iCs/>
          <w:vertAlign w:val="subscript"/>
        </w:rPr>
        <w:t>R</w:t>
      </w:r>
      <w:r w:rsidRPr="00D81278">
        <w:t>) correction factor</w:t>
      </w:r>
      <w:r w:rsidR="00CF6C90">
        <w:t xml:space="preserve"> is </w:t>
      </w:r>
      <w:r w:rsidRPr="00D81278">
        <w:t xml:space="preserve"> based on </w:t>
      </w:r>
      <w:r w:rsidRPr="00E21102">
        <w:fldChar w:fldCharType="begin"/>
      </w:r>
      <w:r w:rsidRPr="00E21102">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E21102">
        <w:fldChar w:fldCharType="separate"/>
      </w:r>
      <w:r>
        <w:t>Cetin et al.,</w:t>
      </w:r>
      <w:r w:rsidRPr="00E21102">
        <w:t xml:space="preserve"> (</w:t>
      </w:r>
      <w:r>
        <w:t>2004</w:t>
      </w:r>
      <w:r w:rsidRPr="00E21102">
        <w:t>)</w:t>
      </w:r>
      <w:r w:rsidRPr="00E21102">
        <w:fldChar w:fldCharType="end"/>
      </w:r>
      <w:r>
        <w:t xml:space="preserve"> method.</w:t>
      </w:r>
    </w:p>
    <w:p w14:paraId="78CB423C" w14:textId="0B46989C" w:rsidR="00BB491C" w:rsidRPr="00BB491C" w:rsidRDefault="00BB491C" w:rsidP="00151388">
      <w:pPr>
        <w:pStyle w:val="Paragraph"/>
        <w:numPr>
          <w:ilvl w:val="0"/>
          <w:numId w:val="5"/>
        </w:numPr>
        <w:ind w:left="426" w:hanging="142"/>
      </w:pPr>
      <w:r w:rsidRPr="00BB491C">
        <w:t>Sample (</w:t>
      </w:r>
      <w:r w:rsidRPr="00BB491C">
        <w:rPr>
          <w:i/>
          <w:iCs/>
        </w:rPr>
        <w:t>C</w:t>
      </w:r>
      <w:r w:rsidRPr="00BB491C">
        <w:rPr>
          <w:i/>
          <w:iCs/>
          <w:vertAlign w:val="subscript"/>
        </w:rPr>
        <w:t>S</w:t>
      </w:r>
      <w:r w:rsidRPr="00BB491C">
        <w:t xml:space="preserve">) correction factor </w:t>
      </w:r>
      <w:r w:rsidR="00CF6C90">
        <w:t xml:space="preserve">is </w:t>
      </w:r>
      <w:r w:rsidRPr="00BB491C">
        <w:t xml:space="preserve">based on the </w:t>
      </w:r>
      <w:r w:rsidRPr="00BB491C">
        <w:fldChar w:fldCharType="begin"/>
      </w:r>
      <w:r w:rsidRPr="00BB491C">
        <w:instrText>ADDIN CSL_CITATION {"citationItems":[{"id":"ITEM-1","itemData":{"author":[{"dropping-particle":"","family":"Widyaningrum","given":"Risna","non-dropping-particle":"","parse-names":false,"suffix":""}],"id":"ITEM-1","issue":"57","issued":{"date-parts":[["2012"]]},"publisher-place":"Bandung","title":"Penyelidikan Geologi Teknik Potensi Liquifaksi Daerah Palu, Provinsi Sulawesi Tengah","type":"report"},"uris":["http://www.mendeley.com/documents/?uuid=bd5e4fa8-88af-4ca8-9f7b-336fc897614a"]}],"mendeley":{"formattedCitation":"(Widyaningrum, 2012)","manualFormatting":"Widyaningrum (2012)","plainTextFormattedCitation":"(Widyaningrum, 2012)","previouslyFormattedCitation":"(Widyaningrum, 2012)"},"properties":{"noteIndex":0},"schema":"https://github.com/citation-style-language/schema/raw/master/csl-citation.json"}</w:instrText>
      </w:r>
      <w:r w:rsidRPr="00BB491C">
        <w:fldChar w:fldCharType="separate"/>
      </w:r>
      <w:r w:rsidRPr="00BB491C">
        <w:t>NCEER (1997)</w:t>
      </w:r>
      <w:r w:rsidRPr="00BB491C">
        <w:fldChar w:fldCharType="end"/>
      </w:r>
      <w:r w:rsidRPr="00BB491C">
        <w:t xml:space="preserve"> method.</w:t>
      </w:r>
    </w:p>
    <w:p w14:paraId="7717652E" w14:textId="6065E77E" w:rsidR="00BB491C" w:rsidRPr="00D81278" w:rsidRDefault="00BB491C" w:rsidP="00151388">
      <w:pPr>
        <w:pStyle w:val="Paragraph"/>
        <w:numPr>
          <w:ilvl w:val="0"/>
          <w:numId w:val="4"/>
        </w:numPr>
        <w:spacing w:before="120"/>
        <w:ind w:left="284" w:hanging="284"/>
      </w:pPr>
      <w:r w:rsidRPr="00D81278">
        <w:t>Cyclic Stress Ratio (CSR)</w:t>
      </w:r>
    </w:p>
    <w:p w14:paraId="579186DA" w14:textId="18CE6FD4" w:rsidR="00BB491C" w:rsidRPr="00D81278" w:rsidRDefault="00BB491C" w:rsidP="00BB491C">
      <w:pPr>
        <w:pStyle w:val="Paragraph"/>
      </w:pPr>
      <w:r w:rsidRPr="00D81278">
        <w:t>The Liquefaction analysis with Settle3 used the ratio of cyclic shear stress according to the method</w:t>
      </w:r>
      <w:r>
        <w:t xml:space="preserve"> </w:t>
      </w:r>
      <w:r w:rsidR="00F1377D">
        <w:t>[18]</w:t>
      </w:r>
      <w:r>
        <w:t xml:space="preserve">, </w:t>
      </w:r>
      <w:r w:rsidRPr="00D81278">
        <w:t xml:space="preserve">and </w:t>
      </w:r>
      <w:r w:rsidR="00CF6C90">
        <w:t xml:space="preserve">the </w:t>
      </w:r>
      <w:r w:rsidRPr="00D81278">
        <w:t>CSR in Settle3 was the same as that used in the manual method. The calculation of the CSR value can be seen in Equation (2).</w:t>
      </w:r>
    </w:p>
    <w:tbl>
      <w:tblPr>
        <w:tblStyle w:val="TableGrid"/>
        <w:tblW w:w="51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8"/>
        <w:gridCol w:w="1520"/>
      </w:tblGrid>
      <w:tr w:rsidR="00BB491C" w:rsidRPr="00BB491C" w14:paraId="16A3D433" w14:textId="77777777" w:rsidTr="00BB491C">
        <w:trPr>
          <w:trHeight w:val="499"/>
        </w:trPr>
        <w:tc>
          <w:tcPr>
            <w:tcW w:w="4213" w:type="pct"/>
            <w:vAlign w:val="center"/>
          </w:tcPr>
          <w:p w14:paraId="04EF3DD4" w14:textId="6CBC84AF" w:rsidR="00BB491C" w:rsidRPr="00BB491C" w:rsidRDefault="00BB491C" w:rsidP="00BB491C">
            <w:pPr>
              <w:pStyle w:val="Paragraph"/>
              <w:rPr>
                <w:b/>
                <w:bCs/>
              </w:rPr>
            </w:pPr>
            <m:oMathPara>
              <m:oMathParaPr>
                <m:jc m:val="center"/>
              </m:oMathParaPr>
              <m:oMath>
                <m:r>
                  <m:rPr>
                    <m:nor/>
                  </m:rPr>
                  <m:t>CSR=</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nor/>
                              </m:rPr>
                              <w:rPr>
                                <w:i/>
                              </w:rPr>
                              <m:t>τ</m:t>
                            </m:r>
                          </m:e>
                          <m:sub>
                            <m:r>
                              <m:rPr>
                                <m:nor/>
                              </m:rPr>
                              <w:rPr>
                                <w:i/>
                              </w:rPr>
                              <m:t>cyc</m:t>
                            </m:r>
                          </m:sub>
                        </m:sSub>
                      </m:num>
                      <m:den>
                        <m:sSub>
                          <m:sSubPr>
                            <m:ctrlPr>
                              <w:rPr>
                                <w:rFonts w:ascii="Cambria Math" w:eastAsia="SimSun" w:hAnsi="Cambria Math"/>
                                <w:i/>
                              </w:rPr>
                            </m:ctrlPr>
                          </m:sSubPr>
                          <m:e>
                            <m:r>
                              <m:rPr>
                                <m:nor/>
                              </m:rPr>
                              <w:rPr>
                                <w:rFonts w:eastAsia="SimSun"/>
                                <w:i/>
                              </w:rPr>
                              <m:t>σ</m:t>
                            </m:r>
                            <m:r>
                              <m:rPr>
                                <m:nor/>
                              </m:rPr>
                              <w:rPr>
                                <w:i/>
                                <w:position w:val="3"/>
                              </w:rPr>
                              <m:t>'</m:t>
                            </m:r>
                          </m:e>
                          <m:sub>
                            <m:r>
                              <m:rPr>
                                <m:nor/>
                              </m:rPr>
                              <w:rPr>
                                <w:rFonts w:eastAsia="SimSun"/>
                                <w:i/>
                              </w:rPr>
                              <m:t>vo</m:t>
                            </m:r>
                          </m:sub>
                        </m:sSub>
                      </m:den>
                    </m:f>
                  </m:e>
                </m:d>
                <m:r>
                  <m:rPr>
                    <m:nor/>
                  </m:rPr>
                  <w:rPr>
                    <w:rFonts w:eastAsia="SimSun"/>
                  </w:rPr>
                  <m:t xml:space="preserve"> = 0.65 </m:t>
                </m:r>
                <m:r>
                  <m:rPr>
                    <m:nor/>
                  </m:rPr>
                  <w:rPr>
                    <w:i/>
                  </w:rPr>
                  <m:t>r</m:t>
                </m:r>
                <m:r>
                  <m:rPr>
                    <m:nor/>
                  </m:rPr>
                  <w:rPr>
                    <w:i/>
                    <w:vertAlign w:val="subscript"/>
                  </w:rPr>
                  <m:t>d</m:t>
                </m:r>
                <m:r>
                  <m:rPr>
                    <m:nor/>
                  </m:rPr>
                  <w:rPr>
                    <w:iCs/>
                    <w:vertAlign w:val="subscript"/>
                  </w:rPr>
                  <m:t xml:space="preserve"> </m:t>
                </m:r>
                <m:d>
                  <m:dPr>
                    <m:ctrlPr>
                      <w:rPr>
                        <w:rFonts w:ascii="Cambria Math" w:hAnsi="Cambria Math"/>
                        <w:i/>
                      </w:rPr>
                    </m:ctrlPr>
                  </m:dPr>
                  <m:e>
                    <m:f>
                      <m:fPr>
                        <m:ctrlPr>
                          <w:rPr>
                            <w:rFonts w:ascii="Cambria Math" w:hAnsi="Cambria Math"/>
                            <w:i/>
                          </w:rPr>
                        </m:ctrlPr>
                      </m:fPr>
                      <m:num>
                        <m:sSub>
                          <m:sSubPr>
                            <m:ctrlPr>
                              <w:rPr>
                                <w:rFonts w:ascii="Cambria Math" w:eastAsia="SimSun" w:hAnsi="Cambria Math"/>
                                <w:i/>
                              </w:rPr>
                            </m:ctrlPr>
                          </m:sSubPr>
                          <m:e>
                            <m:r>
                              <m:rPr>
                                <m:nor/>
                              </m:rPr>
                              <w:rPr>
                                <w:rFonts w:eastAsia="SimSun"/>
                                <w:i/>
                              </w:rPr>
                              <m:t>σ</m:t>
                            </m:r>
                          </m:e>
                          <m:sub>
                            <m:r>
                              <m:rPr>
                                <m:nor/>
                              </m:rPr>
                              <w:rPr>
                                <w:rFonts w:eastAsia="SimSun"/>
                                <w:i/>
                              </w:rPr>
                              <m:t>vo</m:t>
                            </m:r>
                          </m:sub>
                        </m:sSub>
                      </m:num>
                      <m:den>
                        <m:sSub>
                          <m:sSubPr>
                            <m:ctrlPr>
                              <w:rPr>
                                <w:rFonts w:ascii="Cambria Math" w:eastAsia="SimSun" w:hAnsi="Cambria Math"/>
                                <w:i/>
                              </w:rPr>
                            </m:ctrlPr>
                          </m:sSubPr>
                          <m:e>
                            <m:r>
                              <m:rPr>
                                <m:nor/>
                              </m:rPr>
                              <w:rPr>
                                <w:rFonts w:eastAsia="SimSun"/>
                                <w:i/>
                              </w:rPr>
                              <m:t>σ</m:t>
                            </m:r>
                            <m:r>
                              <m:rPr>
                                <m:nor/>
                              </m:rPr>
                              <w:rPr>
                                <w:i/>
                                <w:position w:val="3"/>
                              </w:rPr>
                              <m:t>'</m:t>
                            </m:r>
                          </m:e>
                          <m:sub>
                            <m:r>
                              <m:rPr>
                                <m:nor/>
                              </m:rPr>
                              <w:rPr>
                                <w:rFonts w:eastAsia="SimSun"/>
                                <w:i/>
                              </w:rPr>
                              <m:t>vo</m:t>
                            </m:r>
                          </m:sub>
                        </m:sSub>
                      </m:den>
                    </m:f>
                  </m:e>
                </m:d>
                <m:d>
                  <m:dPr>
                    <m:ctrlPr>
                      <w:rPr>
                        <w:rFonts w:ascii="Cambria Math" w:hAnsi="Cambria Math"/>
                        <w:iCs/>
                      </w:rPr>
                    </m:ctrlPr>
                  </m:dPr>
                  <m:e>
                    <m:f>
                      <m:fPr>
                        <m:ctrlPr>
                          <w:rPr>
                            <w:rFonts w:ascii="Cambria Math" w:hAnsi="Cambria Math"/>
                            <w:i/>
                          </w:rPr>
                        </m:ctrlPr>
                      </m:fPr>
                      <m:num>
                        <m:sSub>
                          <m:sSubPr>
                            <m:ctrlPr>
                              <w:rPr>
                                <w:rFonts w:ascii="Cambria Math" w:hAnsi="Cambria Math"/>
                                <w:i/>
                              </w:rPr>
                            </m:ctrlPr>
                          </m:sSubPr>
                          <m:e>
                            <m:r>
                              <m:rPr>
                                <m:nor/>
                              </m:rPr>
                              <w:rPr>
                                <w:i/>
                              </w:rPr>
                              <m:t>a</m:t>
                            </m:r>
                          </m:e>
                          <m:sub>
                            <m:r>
                              <m:rPr>
                                <m:nor/>
                              </m:rPr>
                              <w:rPr>
                                <w:i/>
                              </w:rPr>
                              <m:t>max</m:t>
                            </m:r>
                          </m:sub>
                        </m:sSub>
                      </m:num>
                      <m:den>
                        <m:r>
                          <m:rPr>
                            <m:nor/>
                          </m:rPr>
                          <w:rPr>
                            <w:i/>
                            <w:iCs/>
                          </w:rPr>
                          <m:t>g</m:t>
                        </m:r>
                      </m:den>
                    </m:f>
                  </m:e>
                </m:d>
              </m:oMath>
            </m:oMathPara>
          </w:p>
        </w:tc>
        <w:tc>
          <w:tcPr>
            <w:tcW w:w="787" w:type="pct"/>
            <w:vAlign w:val="center"/>
          </w:tcPr>
          <w:p w14:paraId="69239F51" w14:textId="77777777" w:rsidR="00BB491C" w:rsidRPr="00BB491C" w:rsidRDefault="00BB491C" w:rsidP="00BB491C">
            <w:pPr>
              <w:pStyle w:val="Paragraph"/>
            </w:pPr>
            <w:r w:rsidRPr="00BB491C">
              <w:t>(2)</w:t>
            </w:r>
          </w:p>
        </w:tc>
      </w:tr>
    </w:tbl>
    <w:p w14:paraId="26105FFA" w14:textId="7CBF1BF6" w:rsidR="00BB491C" w:rsidRPr="00D81278" w:rsidRDefault="00BB491C" w:rsidP="007E76B4">
      <w:pPr>
        <w:pStyle w:val="Paragraph"/>
        <w:ind w:firstLine="0"/>
      </w:pPr>
      <w:r>
        <w:t>w</w:t>
      </w:r>
      <w:r w:rsidRPr="00D81278">
        <w:t>here,</w:t>
      </w:r>
    </w:p>
    <w:p w14:paraId="5D3EBD2E" w14:textId="77777777" w:rsidR="00BB491C" w:rsidRPr="00D81278" w:rsidRDefault="00BB491C" w:rsidP="007E76B4">
      <w:pPr>
        <w:pStyle w:val="Paragraph"/>
        <w:ind w:firstLine="0"/>
      </w:pPr>
      <w:r w:rsidRPr="00D81278">
        <w:rPr>
          <w:color w:val="000000"/>
        </w:rPr>
        <w:t>CSR</w:t>
      </w:r>
      <w:r w:rsidRPr="00D81278">
        <w:tab/>
        <w:t>= Cyclic Stress Ratio</w:t>
      </w:r>
      <w:r w:rsidRPr="00D81278">
        <w:rPr>
          <w:i/>
          <w:iCs/>
        </w:rPr>
        <w:t xml:space="preserve"> </w:t>
      </w:r>
      <w:r w:rsidRPr="00D81278">
        <w:t>(dimensionless)</w:t>
      </w:r>
    </w:p>
    <w:p w14:paraId="4AEC72DD" w14:textId="77777777" w:rsidR="00BB491C" w:rsidRPr="00D81278" w:rsidRDefault="00BB491C" w:rsidP="007E76B4">
      <w:pPr>
        <w:pStyle w:val="Paragraph"/>
        <w:ind w:firstLine="0"/>
      </w:pPr>
      <w:r w:rsidRPr="00D81278">
        <w:rPr>
          <w:rFonts w:ascii="Symbol" w:hAnsi="Symbol"/>
          <w:i/>
          <w:iCs/>
        </w:rPr>
        <w:sym w:font="Symbol" w:char="F073"/>
      </w:r>
      <w:r w:rsidRPr="00D81278">
        <w:rPr>
          <w:i/>
          <w:iCs/>
          <w:vertAlign w:val="subscript"/>
        </w:rPr>
        <w:t>vo</w:t>
      </w:r>
      <w:r w:rsidRPr="00D81278">
        <w:tab/>
        <w:t>= Total vertical stress of the ground (kN/m</w:t>
      </w:r>
      <w:r w:rsidRPr="00D81278">
        <w:rPr>
          <w:vertAlign w:val="superscript"/>
        </w:rPr>
        <w:t>2</w:t>
      </w:r>
      <w:r w:rsidRPr="00D81278">
        <w:t>)</w:t>
      </w:r>
    </w:p>
    <w:p w14:paraId="6BFF6A5D" w14:textId="77777777" w:rsidR="00BB491C" w:rsidRPr="00D81278" w:rsidRDefault="00C7038A" w:rsidP="007E76B4">
      <w:pPr>
        <w:pStyle w:val="Paragraph"/>
        <w:ind w:firstLine="0"/>
      </w:pPr>
      <m:oMath>
        <m:sSubSup>
          <m:sSubSupPr>
            <m:ctrlPr>
              <w:rPr>
                <w:rFonts w:ascii="Cambria Math" w:hAnsi="Cambria Math"/>
                <w:i/>
                <w:iCs/>
                <w:position w:val="3"/>
              </w:rPr>
            </m:ctrlPr>
          </m:sSubSupPr>
          <m:e>
            <m:r>
              <w:rPr>
                <w:rFonts w:ascii="Cambria Math" w:hAnsi="Cambria Math"/>
                <w:position w:val="3"/>
              </w:rPr>
              <m:t>σ</m:t>
            </m:r>
          </m:e>
          <m:sub>
            <m:r>
              <m:rPr>
                <m:nor/>
              </m:rPr>
              <w:rPr>
                <w:i/>
                <w:iCs/>
                <w:position w:val="3"/>
              </w:rPr>
              <m:t>vo</m:t>
            </m:r>
          </m:sub>
          <m:sup>
            <m:r>
              <w:rPr>
                <w:rFonts w:ascii="Cambria Math" w:hAnsi="Cambria Math"/>
                <w:position w:val="3"/>
              </w:rPr>
              <m:t>'</m:t>
            </m:r>
          </m:sup>
        </m:sSubSup>
      </m:oMath>
      <w:r w:rsidR="00BB491C" w:rsidRPr="00D81278">
        <w:tab/>
        <w:t>= Effective vertical stress of soil (kN/m</w:t>
      </w:r>
      <w:r w:rsidR="00BB491C" w:rsidRPr="00D81278">
        <w:rPr>
          <w:vertAlign w:val="superscript"/>
        </w:rPr>
        <w:t>2</w:t>
      </w:r>
      <w:r w:rsidR="00BB491C" w:rsidRPr="00D81278">
        <w:t>)</w:t>
      </w:r>
    </w:p>
    <w:p w14:paraId="40A06912" w14:textId="77777777" w:rsidR="00BB491C" w:rsidRPr="00D81278" w:rsidRDefault="00BB491C" w:rsidP="007E76B4">
      <w:pPr>
        <w:pStyle w:val="Paragraph"/>
        <w:ind w:firstLine="0"/>
      </w:pPr>
      <w:r w:rsidRPr="00D81278">
        <w:rPr>
          <w:i/>
          <w:iCs/>
        </w:rPr>
        <w:t>a</w:t>
      </w:r>
      <w:r w:rsidRPr="00D81278">
        <w:rPr>
          <w:i/>
          <w:iCs/>
          <w:vertAlign w:val="subscript"/>
        </w:rPr>
        <w:t>max</w:t>
      </w:r>
      <w:r w:rsidRPr="00D81278">
        <w:tab/>
        <w:t>= Maximum ground surface acceleration during an earthquake (m/s</w:t>
      </w:r>
      <w:r w:rsidRPr="00D81278">
        <w:rPr>
          <w:vertAlign w:val="superscript"/>
        </w:rPr>
        <w:t>2</w:t>
      </w:r>
      <w:r w:rsidRPr="00D81278">
        <w:t>)</w:t>
      </w:r>
    </w:p>
    <w:p w14:paraId="41AF3910" w14:textId="5D250645" w:rsidR="007E76B4" w:rsidRDefault="00BB491C" w:rsidP="007E76B4">
      <w:pPr>
        <w:pStyle w:val="Paragraph"/>
        <w:ind w:firstLine="0"/>
      </w:pPr>
      <w:r w:rsidRPr="00D81278">
        <w:rPr>
          <w:i/>
          <w:iCs/>
        </w:rPr>
        <w:t>g</w:t>
      </w:r>
      <w:r w:rsidRPr="00D81278">
        <w:tab/>
        <w:t>= Gravitational acceleration (9</w:t>
      </w:r>
      <w:r w:rsidR="00B56F67">
        <w:t>.</w:t>
      </w:r>
      <w:r w:rsidRPr="00D81278">
        <w:t>81 m/s</w:t>
      </w:r>
      <w:r w:rsidRPr="00D81278">
        <w:rPr>
          <w:vertAlign w:val="superscript"/>
        </w:rPr>
        <w:t>2</w:t>
      </w:r>
      <w:r w:rsidRPr="00D81278">
        <w:t>)</w:t>
      </w:r>
    </w:p>
    <w:p w14:paraId="706E5C6E" w14:textId="54DCE038" w:rsidR="00013880" w:rsidRDefault="00013880" w:rsidP="007E76B4">
      <w:pPr>
        <w:pStyle w:val="Paragraph"/>
        <w:ind w:firstLine="0"/>
      </w:pPr>
    </w:p>
    <w:p w14:paraId="3892B2B7" w14:textId="77777777" w:rsidR="00013880" w:rsidRDefault="00013880" w:rsidP="007E76B4">
      <w:pPr>
        <w:pStyle w:val="Paragraph"/>
        <w:ind w:firstLine="0"/>
      </w:pPr>
    </w:p>
    <w:p w14:paraId="41FD9C88" w14:textId="31AC447B" w:rsidR="00BB491C" w:rsidRPr="00D81278" w:rsidRDefault="00BB491C" w:rsidP="00151388">
      <w:pPr>
        <w:pStyle w:val="Paragraph"/>
        <w:numPr>
          <w:ilvl w:val="0"/>
          <w:numId w:val="4"/>
        </w:numPr>
        <w:spacing w:before="120"/>
        <w:ind w:left="284" w:hanging="284"/>
      </w:pPr>
      <w:r w:rsidRPr="00D81278">
        <w:lastRenderedPageBreak/>
        <w:t>Stress Reduction Factor (</w:t>
      </w:r>
      <w:r w:rsidRPr="007E76B4">
        <w:rPr>
          <w:i/>
          <w:iCs/>
        </w:rPr>
        <w:t>r</w:t>
      </w:r>
      <w:r w:rsidRPr="007E76B4">
        <w:rPr>
          <w:i/>
          <w:iCs/>
          <w:vertAlign w:val="subscript"/>
        </w:rPr>
        <w:t>d</w:t>
      </w:r>
      <w:r w:rsidRPr="00D81278">
        <w:t>)</w:t>
      </w:r>
    </w:p>
    <w:p w14:paraId="396AD56A" w14:textId="1E1125EE" w:rsidR="00BB491C" w:rsidRPr="00D81278" w:rsidRDefault="00BB491C" w:rsidP="00BB491C">
      <w:pPr>
        <w:pStyle w:val="Paragraph"/>
      </w:pPr>
      <w:r w:rsidRPr="00D81278">
        <w:t>The stress reduction factor was used to determine the maximum shear stress at different depths in the soil. Values generally range from 1 to lower values at ground level to greater depths, respectively. The value (r</w:t>
      </w:r>
      <w:r w:rsidRPr="00D81278">
        <w:rPr>
          <w:vertAlign w:val="subscript"/>
        </w:rPr>
        <w:t>d</w:t>
      </w:r>
      <w:r w:rsidRPr="00D81278">
        <w:t>) in the analysis us</w:t>
      </w:r>
      <w:r w:rsidR="00CF6C90">
        <w:t>ed</w:t>
      </w:r>
      <w:r w:rsidRPr="00D81278">
        <w:t xml:space="preserve"> the formula from </w:t>
      </w:r>
      <w:r w:rsidR="00F1377D">
        <w:t>[6]</w:t>
      </w:r>
      <w:r w:rsidRPr="005220B6">
        <w:t>,</w:t>
      </w:r>
      <w:r w:rsidRPr="00D81278">
        <w:t xml:space="preserve"> as seen in Equation (3).</w:t>
      </w:r>
    </w:p>
    <w:tbl>
      <w:tblPr>
        <w:tblStyle w:val="TableGrid"/>
        <w:tblW w:w="5083"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3"/>
        <w:gridCol w:w="1812"/>
      </w:tblGrid>
      <w:tr w:rsidR="00BB491C" w:rsidRPr="00BB491C" w14:paraId="75E76792" w14:textId="77777777" w:rsidTr="00786C75">
        <w:trPr>
          <w:trHeight w:val="397"/>
        </w:trPr>
        <w:tc>
          <w:tcPr>
            <w:tcW w:w="4048" w:type="pct"/>
            <w:vAlign w:val="center"/>
          </w:tcPr>
          <w:p w14:paraId="528A0C56" w14:textId="77777777" w:rsidR="00BB491C" w:rsidRPr="00BB491C" w:rsidRDefault="00BB491C" w:rsidP="007E76B4">
            <w:pPr>
              <w:pStyle w:val="Paragraph"/>
              <w:ind w:firstLine="0"/>
              <w:jc w:val="center"/>
            </w:pPr>
            <w:r w:rsidRPr="00BB491C">
              <w:rPr>
                <w:i/>
                <w:iCs/>
              </w:rPr>
              <w:t>r</w:t>
            </w:r>
            <w:r w:rsidRPr="00BB491C">
              <w:rPr>
                <w:i/>
                <w:iCs/>
                <w:vertAlign w:val="subscript"/>
              </w:rPr>
              <w:t>d</w:t>
            </w:r>
            <w:r w:rsidRPr="00BB491C">
              <w:t xml:space="preserve"> = 1 – 0.012 </w:t>
            </w:r>
            <w:r w:rsidRPr="00BB491C">
              <w:rPr>
                <w:i/>
                <w:iCs/>
              </w:rPr>
              <w:t>z</w:t>
            </w:r>
          </w:p>
        </w:tc>
        <w:tc>
          <w:tcPr>
            <w:tcW w:w="952" w:type="pct"/>
            <w:vAlign w:val="center"/>
          </w:tcPr>
          <w:p w14:paraId="15082E5D" w14:textId="77777777" w:rsidR="00BB491C" w:rsidRPr="00BB491C" w:rsidRDefault="00BB491C" w:rsidP="007E76B4">
            <w:pPr>
              <w:pStyle w:val="Paragraph"/>
              <w:ind w:firstLine="18"/>
              <w:jc w:val="center"/>
            </w:pPr>
            <w:r w:rsidRPr="00BB491C">
              <w:t>(3)</w:t>
            </w:r>
          </w:p>
        </w:tc>
      </w:tr>
    </w:tbl>
    <w:p w14:paraId="497D384F" w14:textId="77777777" w:rsidR="00BB491C" w:rsidRPr="00D81278" w:rsidRDefault="00BB491C" w:rsidP="007E76B4">
      <w:pPr>
        <w:pStyle w:val="Paragraph"/>
        <w:ind w:firstLine="0"/>
      </w:pPr>
      <w:r w:rsidRPr="00D81278">
        <w:t>where,</w:t>
      </w:r>
    </w:p>
    <w:p w14:paraId="63E61AAB" w14:textId="77777777" w:rsidR="00BB491C" w:rsidRPr="00D81278" w:rsidRDefault="00BB491C" w:rsidP="007E76B4">
      <w:pPr>
        <w:pStyle w:val="Paragraph"/>
        <w:ind w:firstLine="0"/>
      </w:pPr>
      <w:r w:rsidRPr="00D81278">
        <w:rPr>
          <w:i/>
          <w:iCs/>
        </w:rPr>
        <w:t>r</w:t>
      </w:r>
      <w:r w:rsidRPr="00D81278">
        <w:rPr>
          <w:i/>
          <w:iCs/>
          <w:vertAlign w:val="subscript"/>
        </w:rPr>
        <w:t>d</w:t>
      </w:r>
      <w:r w:rsidRPr="00D81278">
        <w:tab/>
        <w:t>= Depth reduction factor</w:t>
      </w:r>
    </w:p>
    <w:p w14:paraId="02EE8603" w14:textId="18A8764A" w:rsidR="007E76B4" w:rsidRDefault="00BB491C" w:rsidP="007E76B4">
      <w:pPr>
        <w:pStyle w:val="Paragraph"/>
        <w:ind w:firstLine="0"/>
      </w:pPr>
      <w:r w:rsidRPr="00D81278">
        <w:rPr>
          <w:i/>
        </w:rPr>
        <w:t>z</w:t>
      </w:r>
      <w:r w:rsidRPr="00D81278">
        <w:tab/>
        <w:t>= Depth of a soil layer (m)</w:t>
      </w:r>
    </w:p>
    <w:p w14:paraId="7B7358BB" w14:textId="6F75E393" w:rsidR="00BB491C" w:rsidRDefault="00BB491C" w:rsidP="00151388">
      <w:pPr>
        <w:pStyle w:val="Paragraph"/>
        <w:numPr>
          <w:ilvl w:val="0"/>
          <w:numId w:val="4"/>
        </w:numPr>
        <w:spacing w:before="120"/>
        <w:ind w:left="284" w:hanging="284"/>
      </w:pPr>
      <w:r w:rsidRPr="00D81278">
        <w:t>Magnitude Scaling Factor (MSF)</w:t>
      </w:r>
    </w:p>
    <w:p w14:paraId="2039075E" w14:textId="5A443B50" w:rsidR="00BB491C" w:rsidRPr="00BB491C" w:rsidRDefault="00BB491C" w:rsidP="00BB491C">
      <w:pPr>
        <w:pStyle w:val="Paragraph"/>
      </w:pPr>
      <w:r w:rsidRPr="00BB491C">
        <w:t xml:space="preserve">The magnitude scaling factor value was obtained using the formula from </w:t>
      </w:r>
      <w:r w:rsidR="00F1377D">
        <w:t>[21]</w:t>
      </w:r>
      <w:r w:rsidRPr="00BB491C">
        <w:t>, as seen in Equation (4).</w:t>
      </w:r>
    </w:p>
    <w:tbl>
      <w:tblPr>
        <w:tblStyle w:val="TableGrid"/>
        <w:tblW w:w="50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1485"/>
      </w:tblGrid>
      <w:tr w:rsidR="007E76B4" w:rsidRPr="007E76B4" w14:paraId="1589A31B" w14:textId="77777777" w:rsidTr="007E76B4">
        <w:trPr>
          <w:trHeight w:val="397"/>
        </w:trPr>
        <w:tc>
          <w:tcPr>
            <w:tcW w:w="4212" w:type="pct"/>
            <w:vAlign w:val="center"/>
          </w:tcPr>
          <w:p w14:paraId="46DC64A9" w14:textId="3FDA25CD" w:rsidR="00BB491C" w:rsidRPr="007E76B4" w:rsidRDefault="00BB491C" w:rsidP="007E76B4">
            <w:pPr>
              <w:pStyle w:val="Paragraph"/>
              <w:jc w:val="center"/>
            </w:pPr>
            <w:r w:rsidRPr="007E76B4">
              <w:t>MSF = 2</w:t>
            </w:r>
            <w:r w:rsidR="00B56F67">
              <w:t>.</w:t>
            </w:r>
            <w:r w:rsidRPr="007E76B4">
              <w:t>5 – 0</w:t>
            </w:r>
            <w:r w:rsidR="00B56F67">
              <w:t>.</w:t>
            </w:r>
            <w:r w:rsidRPr="007E76B4">
              <w:t xml:space="preserve">2 </w:t>
            </w:r>
            <w:r w:rsidRPr="007E76B4">
              <w:rPr>
                <w:i/>
                <w:iCs/>
              </w:rPr>
              <w:t>M</w:t>
            </w:r>
          </w:p>
        </w:tc>
        <w:tc>
          <w:tcPr>
            <w:tcW w:w="788" w:type="pct"/>
            <w:vAlign w:val="center"/>
          </w:tcPr>
          <w:p w14:paraId="100E7420" w14:textId="77777777" w:rsidR="00BB491C" w:rsidRPr="007E76B4" w:rsidRDefault="00BB491C" w:rsidP="007E76B4">
            <w:pPr>
              <w:pStyle w:val="Paragraph"/>
              <w:ind w:firstLine="0"/>
              <w:jc w:val="center"/>
            </w:pPr>
            <w:r w:rsidRPr="007E76B4">
              <w:t>(4)</w:t>
            </w:r>
          </w:p>
        </w:tc>
      </w:tr>
    </w:tbl>
    <w:p w14:paraId="5C42EE1E" w14:textId="3315EA8A" w:rsidR="00BB491C" w:rsidRPr="007E76B4" w:rsidRDefault="00BB491C" w:rsidP="00151388">
      <w:pPr>
        <w:pStyle w:val="Paragraph"/>
        <w:numPr>
          <w:ilvl w:val="0"/>
          <w:numId w:val="4"/>
        </w:numPr>
        <w:spacing w:before="120"/>
        <w:ind w:left="284" w:hanging="284"/>
      </w:pPr>
      <w:r w:rsidRPr="007E76B4">
        <w:t>Cyclic Resistance Ratio (CRR)</w:t>
      </w:r>
    </w:p>
    <w:p w14:paraId="0EB5CE4B" w14:textId="560DDBE0" w:rsidR="00BB491C" w:rsidRPr="00D81278" w:rsidRDefault="00BB491C" w:rsidP="00BB491C">
      <w:pPr>
        <w:pStyle w:val="Paragraph"/>
      </w:pPr>
      <w:r w:rsidRPr="00D81278">
        <w:t xml:space="preserve">The calculation for the </w:t>
      </w:r>
      <w:r>
        <w:t>cyclic resistance ratio</w:t>
      </w:r>
      <w:r w:rsidRPr="00D81278">
        <w:t xml:space="preserve"> according to the method</w:t>
      </w:r>
      <w:r>
        <w:t xml:space="preserve"> </w:t>
      </w:r>
      <w:r w:rsidR="00F1377D">
        <w:t>[17]</w:t>
      </w:r>
      <w:r w:rsidRPr="00D81278">
        <w:t>. The implementation of</w:t>
      </w:r>
      <w:r>
        <w:t xml:space="preserve"> </w:t>
      </w:r>
      <w:r w:rsidRPr="00D81278">
        <w:t xml:space="preserve">CRR calculation in Settle3 </w:t>
      </w:r>
      <w:r w:rsidR="00CF6C90">
        <w:t>is shown</w:t>
      </w:r>
      <w:r w:rsidR="00CF6C90" w:rsidRPr="00D81278">
        <w:t xml:space="preserve"> </w:t>
      </w:r>
      <w:r w:rsidRPr="00D81278">
        <w:t>in Equation (5).</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2"/>
        <w:gridCol w:w="1228"/>
      </w:tblGrid>
      <w:tr w:rsidR="00BB491C" w:rsidRPr="007E76B4" w14:paraId="573B0C26" w14:textId="77777777" w:rsidTr="00786C75">
        <w:trPr>
          <w:trHeight w:val="397"/>
        </w:trPr>
        <w:tc>
          <w:tcPr>
            <w:tcW w:w="4344" w:type="pct"/>
            <w:vAlign w:val="center"/>
          </w:tcPr>
          <w:p w14:paraId="6FB7BB1B" w14:textId="77777777" w:rsidR="00BB491C" w:rsidRPr="007E76B4" w:rsidRDefault="00C7038A" w:rsidP="00BB491C">
            <w:pPr>
              <w:pStyle w:val="Paragraph"/>
              <w:rPr>
                <w:b/>
                <w:bCs/>
              </w:rPr>
            </w:pPr>
            <m:oMathPara>
              <m:oMathParaPr>
                <m:jc m:val="center"/>
              </m:oMathParaPr>
              <m:oMath>
                <m:sSub>
                  <m:sSubPr>
                    <m:ctrlPr>
                      <w:rPr>
                        <w:rFonts w:ascii="Cambria Math" w:hAnsi="Cambria Math"/>
                        <w:i/>
                      </w:rPr>
                    </m:ctrlPr>
                  </m:sSubPr>
                  <m:e>
                    <m:r>
                      <m:rPr>
                        <m:nor/>
                      </m:rPr>
                      <w:rPr>
                        <w:i/>
                        <w:iCs/>
                      </w:rPr>
                      <m:t>CRR</m:t>
                    </m:r>
                  </m:e>
                  <m:sub>
                    <m:r>
                      <m:rPr>
                        <m:nor/>
                      </m:rPr>
                      <m:t>7,5</m:t>
                    </m:r>
                  </m:sub>
                </m:sSub>
                <m:r>
                  <m:rPr>
                    <m:nor/>
                  </m:rPr>
                  <m:t xml:space="preserve"> =</m:t>
                </m:r>
                <m:f>
                  <m:fPr>
                    <m:ctrlPr>
                      <w:rPr>
                        <w:rFonts w:ascii="Cambria Math" w:hAnsi="Cambria Math"/>
                        <w:i/>
                      </w:rPr>
                    </m:ctrlPr>
                  </m:fPr>
                  <m:num>
                    <m:r>
                      <m:rPr>
                        <m:nor/>
                      </m:rPr>
                      <w:rPr>
                        <w:iCs/>
                      </w:rPr>
                      <m:t>1</m:t>
                    </m:r>
                  </m:num>
                  <m:den>
                    <m:r>
                      <m:rPr>
                        <m:nor/>
                      </m:rPr>
                      <w:rPr>
                        <w:iCs/>
                      </w:rPr>
                      <m:t>34 - (</m:t>
                    </m:r>
                    <m:sSub>
                      <m:sSubPr>
                        <m:ctrlPr>
                          <w:rPr>
                            <w:rFonts w:ascii="Cambria Math" w:hAnsi="Cambria Math"/>
                            <w:i/>
                          </w:rPr>
                        </m:ctrlPr>
                      </m:sSubPr>
                      <m:e>
                        <m:r>
                          <m:rPr>
                            <m:nor/>
                          </m:rPr>
                          <w:rPr>
                            <w:i/>
                            <w:iCs/>
                          </w:rPr>
                          <m:t>N</m:t>
                        </m:r>
                      </m:e>
                      <m:sub>
                        <m:r>
                          <m:rPr>
                            <m:nor/>
                          </m:rPr>
                          <m:t>1</m:t>
                        </m:r>
                      </m:sub>
                    </m:sSub>
                    <m:sSub>
                      <m:sSubPr>
                        <m:ctrlPr>
                          <w:rPr>
                            <w:rFonts w:ascii="Cambria Math" w:hAnsi="Cambria Math"/>
                            <w:i/>
                          </w:rPr>
                        </m:ctrlPr>
                      </m:sSubPr>
                      <m:e>
                        <m:r>
                          <m:rPr>
                            <m:nor/>
                          </m:rPr>
                          <m:t>)</m:t>
                        </m:r>
                      </m:e>
                      <m:sub>
                        <m:r>
                          <m:rPr>
                            <m:nor/>
                          </m:rPr>
                          <m:t>60cs</m:t>
                        </m:r>
                      </m:sub>
                    </m:sSub>
                  </m:den>
                </m:f>
                <m:r>
                  <m:rPr>
                    <m:nor/>
                  </m:rPr>
                  <w:rPr>
                    <w:rFonts w:eastAsia="SimSun"/>
                  </w:rPr>
                  <m:t>+</m:t>
                </m:r>
                <m:f>
                  <m:fPr>
                    <m:ctrlPr>
                      <w:rPr>
                        <w:rFonts w:ascii="Cambria Math" w:hAnsi="Cambria Math"/>
                        <w:i/>
                      </w:rPr>
                    </m:ctrlPr>
                  </m:fPr>
                  <m:num>
                    <m:r>
                      <m:rPr>
                        <m:nor/>
                      </m:rPr>
                      <w:rPr>
                        <w:iCs/>
                      </w:rPr>
                      <m:t>(</m:t>
                    </m:r>
                    <m:sSub>
                      <m:sSubPr>
                        <m:ctrlPr>
                          <w:rPr>
                            <w:rFonts w:ascii="Cambria Math" w:hAnsi="Cambria Math"/>
                            <w:i/>
                          </w:rPr>
                        </m:ctrlPr>
                      </m:sSubPr>
                      <m:e>
                        <m:r>
                          <m:rPr>
                            <m:nor/>
                          </m:rPr>
                          <w:rPr>
                            <w:i/>
                            <w:iCs/>
                          </w:rPr>
                          <m:t>N</m:t>
                        </m:r>
                      </m:e>
                      <m:sub>
                        <m:r>
                          <m:rPr>
                            <m:nor/>
                          </m:rPr>
                          <m:t>1</m:t>
                        </m:r>
                      </m:sub>
                    </m:sSub>
                    <m:sSub>
                      <m:sSubPr>
                        <m:ctrlPr>
                          <w:rPr>
                            <w:rFonts w:ascii="Cambria Math" w:hAnsi="Cambria Math"/>
                            <w:i/>
                          </w:rPr>
                        </m:ctrlPr>
                      </m:sSubPr>
                      <m:e>
                        <m:r>
                          <m:rPr>
                            <m:nor/>
                          </m:rPr>
                          <m:t>)</m:t>
                        </m:r>
                      </m:e>
                      <m:sub>
                        <m:r>
                          <m:rPr>
                            <m:nor/>
                          </m:rPr>
                          <m:t>60cs</m:t>
                        </m:r>
                      </m:sub>
                    </m:sSub>
                  </m:num>
                  <m:den>
                    <m:r>
                      <m:rPr>
                        <m:nor/>
                      </m:rPr>
                      <w:rPr>
                        <w:iCs/>
                      </w:rPr>
                      <m:t>135</m:t>
                    </m:r>
                  </m:den>
                </m:f>
                <m:r>
                  <m:rPr>
                    <m:nor/>
                  </m:rPr>
                  <w:rPr>
                    <w:rFonts w:eastAsia="SimSun"/>
                  </w:rPr>
                  <m:t>+</m:t>
                </m:r>
                <m:f>
                  <m:fPr>
                    <m:ctrlPr>
                      <w:rPr>
                        <w:rFonts w:ascii="Cambria Math" w:hAnsi="Cambria Math"/>
                        <w:i/>
                      </w:rPr>
                    </m:ctrlPr>
                  </m:fPr>
                  <m:num>
                    <m:r>
                      <m:rPr>
                        <m:nor/>
                      </m:rPr>
                      <w:rPr>
                        <w:iCs/>
                      </w:rPr>
                      <m:t>50</m:t>
                    </m:r>
                  </m:num>
                  <m:den>
                    <m:r>
                      <m:rPr>
                        <m:nor/>
                      </m:rPr>
                      <w:rPr>
                        <w:iCs/>
                      </w:rPr>
                      <m:t>[10 (</m:t>
                    </m:r>
                    <m:sSub>
                      <m:sSubPr>
                        <m:ctrlPr>
                          <w:rPr>
                            <w:rFonts w:ascii="Cambria Math" w:hAnsi="Cambria Math"/>
                            <w:i/>
                          </w:rPr>
                        </m:ctrlPr>
                      </m:sSubPr>
                      <m:e>
                        <m:r>
                          <m:rPr>
                            <m:nor/>
                          </m:rPr>
                          <w:rPr>
                            <w:i/>
                          </w:rPr>
                          <m:t>N</m:t>
                        </m:r>
                      </m:e>
                      <m:sub>
                        <m:r>
                          <m:rPr>
                            <m:nor/>
                          </m:rPr>
                          <m:t>1</m:t>
                        </m:r>
                      </m:sub>
                    </m:sSub>
                    <m:sSub>
                      <m:sSubPr>
                        <m:ctrlPr>
                          <w:rPr>
                            <w:rFonts w:ascii="Cambria Math" w:hAnsi="Cambria Math"/>
                            <w:i/>
                          </w:rPr>
                        </m:ctrlPr>
                      </m:sSubPr>
                      <m:e>
                        <m:r>
                          <m:rPr>
                            <m:nor/>
                          </m:rPr>
                          <m:t>)</m:t>
                        </m:r>
                      </m:e>
                      <m:sub>
                        <m:r>
                          <m:rPr>
                            <m:nor/>
                          </m:rPr>
                          <m:t>60cs</m:t>
                        </m:r>
                      </m:sub>
                    </m:sSub>
                    <m:r>
                      <m:rPr>
                        <m:nor/>
                      </m:rPr>
                      <w:rPr>
                        <w:rFonts w:eastAsia="SimSun"/>
                      </w:rPr>
                      <m:t xml:space="preserve">+ </m:t>
                    </m:r>
                    <m:r>
                      <m:rPr>
                        <m:nor/>
                      </m:rPr>
                      <w:rPr>
                        <w:iCs/>
                      </w:rPr>
                      <m:t>45</m:t>
                    </m:r>
                    <m:sSup>
                      <m:sSupPr>
                        <m:ctrlPr>
                          <w:rPr>
                            <w:rFonts w:ascii="Cambria Math" w:hAnsi="Cambria Math"/>
                            <w:i/>
                            <w:iCs/>
                          </w:rPr>
                        </m:ctrlPr>
                      </m:sSupPr>
                      <m:e>
                        <m:r>
                          <m:rPr>
                            <m:nor/>
                          </m:rPr>
                          <w:rPr>
                            <w:iCs/>
                          </w:rPr>
                          <m:t>]</m:t>
                        </m:r>
                      </m:e>
                      <m:sup>
                        <m:r>
                          <m:rPr>
                            <m:nor/>
                          </m:rPr>
                          <w:rPr>
                            <w:iCs/>
                          </w:rPr>
                          <m:t>2</m:t>
                        </m:r>
                      </m:sup>
                    </m:sSup>
                    <m:r>
                      <m:rPr>
                        <m:nor/>
                      </m:rPr>
                      <w:rPr>
                        <w:rFonts w:eastAsia="SimSun"/>
                      </w:rPr>
                      <m:t xml:space="preserve"> </m:t>
                    </m:r>
                  </m:den>
                </m:f>
                <m:r>
                  <w:rPr>
                    <w:rFonts w:ascii="Cambria Math" w:hAnsi="Cambria Math"/>
                  </w:rPr>
                  <m:t>-</m:t>
                </m:r>
                <m:f>
                  <m:fPr>
                    <m:ctrlPr>
                      <w:rPr>
                        <w:rFonts w:ascii="Cambria Math" w:hAnsi="Cambria Math"/>
                        <w:i/>
                      </w:rPr>
                    </m:ctrlPr>
                  </m:fPr>
                  <m:num>
                    <m:r>
                      <m:rPr>
                        <m:nor/>
                      </m:rPr>
                      <w:rPr>
                        <w:iCs/>
                      </w:rPr>
                      <m:t>1</m:t>
                    </m:r>
                  </m:num>
                  <m:den>
                    <m:r>
                      <m:rPr>
                        <m:nor/>
                      </m:rPr>
                      <w:rPr>
                        <w:iCs/>
                      </w:rPr>
                      <m:t>200</m:t>
                    </m:r>
                  </m:den>
                </m:f>
              </m:oMath>
            </m:oMathPara>
          </w:p>
        </w:tc>
        <w:tc>
          <w:tcPr>
            <w:tcW w:w="656" w:type="pct"/>
            <w:vAlign w:val="center"/>
          </w:tcPr>
          <w:p w14:paraId="7691ECEC" w14:textId="77777777" w:rsidR="00BB491C" w:rsidRPr="007E76B4" w:rsidRDefault="00BB491C" w:rsidP="00BB491C">
            <w:pPr>
              <w:pStyle w:val="Paragraph"/>
            </w:pPr>
            <w:r w:rsidRPr="007E76B4">
              <w:t>(5)</w:t>
            </w:r>
          </w:p>
        </w:tc>
      </w:tr>
    </w:tbl>
    <w:p w14:paraId="0F4DF5BC" w14:textId="339D084D" w:rsidR="00BB491C" w:rsidRPr="00D81278" w:rsidRDefault="00BB491C" w:rsidP="00151388">
      <w:pPr>
        <w:pStyle w:val="Paragraph"/>
        <w:numPr>
          <w:ilvl w:val="0"/>
          <w:numId w:val="4"/>
        </w:numPr>
        <w:spacing w:before="120"/>
        <w:ind w:left="284" w:hanging="284"/>
      </w:pPr>
      <w:r w:rsidRPr="00D81278">
        <w:t>Relative Density (</w:t>
      </w:r>
      <w:r w:rsidRPr="00D81278">
        <w:rPr>
          <w:i/>
          <w:iCs/>
        </w:rPr>
        <w:t>D</w:t>
      </w:r>
      <w:r w:rsidRPr="00D81278">
        <w:rPr>
          <w:i/>
          <w:iCs/>
          <w:vertAlign w:val="subscript"/>
        </w:rPr>
        <w:t>R</w:t>
      </w:r>
      <w:r w:rsidRPr="00D81278">
        <w:t>)</w:t>
      </w:r>
    </w:p>
    <w:p w14:paraId="3728D72B" w14:textId="7480CAE0" w:rsidR="00BB491C" w:rsidRDefault="00BB491C" w:rsidP="007E76B4">
      <w:pPr>
        <w:pStyle w:val="Paragraph"/>
      </w:pPr>
      <w:r w:rsidRPr="00D81278">
        <w:t xml:space="preserve">The </w:t>
      </w:r>
      <w:r>
        <w:t xml:space="preserve">calculation of the relative density </w:t>
      </w:r>
      <w:r w:rsidRPr="00D81278">
        <w:t xml:space="preserve">was implemented </w:t>
      </w:r>
      <w:r>
        <w:t xml:space="preserve">by </w:t>
      </w:r>
      <w:r w:rsidR="00F1377D">
        <w:t>[19]</w:t>
      </w:r>
      <w:r w:rsidRPr="00D81278">
        <w:t xml:space="preserve"> metho</w:t>
      </w:r>
      <w:r>
        <w:t>d.</w:t>
      </w:r>
    </w:p>
    <w:p w14:paraId="5AAE36F9" w14:textId="2C33EDA7" w:rsidR="007E76B4" w:rsidRDefault="00BF02A4" w:rsidP="00BF02A4">
      <w:pPr>
        <w:pStyle w:val="Heading2"/>
      </w:pPr>
      <w:r>
        <w:t>Evaluation of Liquefaction Potential Index</w:t>
      </w:r>
      <w:r w:rsidR="007E76B4">
        <w:t xml:space="preserve"> (LPI)</w:t>
      </w:r>
    </w:p>
    <w:p w14:paraId="3A87533E" w14:textId="2F0A5C49" w:rsidR="007E76B4" w:rsidRDefault="007E76B4" w:rsidP="007E76B4">
      <w:pPr>
        <w:pStyle w:val="Paragraph"/>
      </w:pPr>
      <w:r w:rsidRPr="00D81278">
        <w:t>The liquefaction</w:t>
      </w:r>
      <w:r>
        <w:t xml:space="preserve"> p</w:t>
      </w:r>
      <w:r w:rsidRPr="00D81278">
        <w:t xml:space="preserve">otential </w:t>
      </w:r>
      <w:r>
        <w:t>i</w:t>
      </w:r>
      <w:r w:rsidRPr="00D81278">
        <w:t>ndex is a method developed by</w:t>
      </w:r>
      <w:r>
        <w:t xml:space="preserve"> </w:t>
      </w:r>
      <w:r w:rsidR="00F1377D">
        <w:t>[4]</w:t>
      </w:r>
      <w:r w:rsidRPr="00D81278">
        <w:t xml:space="preserve"> to determine the level of potential damage due to liquefaction. This is on the assumption that the depth of the soil which in case of liquefaction has the potential to cause observable manifestations from the soil surface that is up to a depth of 20 m. Furthermore, the analysis with this method can be carried out in conjunction with a simplified liquefaction analysis procedure. </w:t>
      </w:r>
      <w:bookmarkStart w:id="3" w:name="_Toc63727610"/>
      <w:r>
        <w:t>T</w:t>
      </w:r>
      <w:r w:rsidRPr="00D81278">
        <w:t xml:space="preserve">he classification of </w:t>
      </w:r>
      <w:r w:rsidRPr="00D26E85">
        <w:t xml:space="preserve">LPI </w:t>
      </w:r>
      <w:r w:rsidRPr="00D81278">
        <w:t xml:space="preserve">values </w:t>
      </w:r>
      <w:r w:rsidR="00CF6C90">
        <w:t xml:space="preserve">is </w:t>
      </w:r>
      <w:r w:rsidRPr="00D81278">
        <w:t xml:space="preserve">shown in Table </w:t>
      </w:r>
      <w:r>
        <w:t>4</w:t>
      </w:r>
      <w:r w:rsidRPr="00D81278">
        <w:t>.</w:t>
      </w:r>
    </w:p>
    <w:p w14:paraId="14CE62A8" w14:textId="0C7F2DA3" w:rsidR="007E76B4" w:rsidRPr="00D81278" w:rsidRDefault="007E76B4" w:rsidP="007E76B4">
      <w:pPr>
        <w:pStyle w:val="Paragraph"/>
      </w:pPr>
      <w:r w:rsidRPr="00D81278">
        <w:t xml:space="preserve">The LPI formula was proposed by </w:t>
      </w:r>
      <w:r w:rsidR="00F1377D">
        <w:t>[4]</w:t>
      </w:r>
      <w:r w:rsidRPr="00D81278">
        <w:t xml:space="preserve"> in Equation (6)</w:t>
      </w:r>
      <w:r>
        <w:t>.</w:t>
      </w:r>
    </w:p>
    <w:tbl>
      <w:tblPr>
        <w:tblStyle w:val="TableGrid"/>
        <w:tblW w:w="49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254"/>
      </w:tblGrid>
      <w:tr w:rsidR="007E76B4" w:rsidRPr="007E76B4" w14:paraId="67B9DD5C" w14:textId="77777777" w:rsidTr="00786C75">
        <w:trPr>
          <w:trHeight w:val="685"/>
        </w:trPr>
        <w:tc>
          <w:tcPr>
            <w:tcW w:w="4325" w:type="pct"/>
            <w:vAlign w:val="center"/>
          </w:tcPr>
          <w:p w14:paraId="4CAB74BD" w14:textId="77777777" w:rsidR="007E76B4" w:rsidRPr="007E76B4" w:rsidRDefault="007E76B4" w:rsidP="007E76B4">
            <w:pPr>
              <w:pStyle w:val="Paragraph"/>
            </w:pPr>
            <m:oMathPara>
              <m:oMathParaPr>
                <m:jc m:val="center"/>
              </m:oMathParaPr>
              <m:oMath>
                <m:r>
                  <m:rPr>
                    <m:nor/>
                  </m:rPr>
                  <w:rPr>
                    <w:iCs/>
                  </w:rPr>
                  <m:t>LPI</m:t>
                </m:r>
                <m:r>
                  <m:rPr>
                    <m:nor/>
                  </m:rPr>
                  <m:t xml:space="preserve"> =</m:t>
                </m:r>
                <m:nary>
                  <m:naryPr>
                    <m:limLoc m:val="subSup"/>
                    <m:ctrlPr>
                      <w:rPr>
                        <w:rFonts w:ascii="Cambria Math" w:hAnsi="Cambria Math"/>
                        <w:i/>
                        <w:iCs/>
                      </w:rPr>
                    </m:ctrlPr>
                  </m:naryPr>
                  <m:sub>
                    <m:r>
                      <m:rPr>
                        <m:nor/>
                      </m:rPr>
                      <w:rPr>
                        <w:i/>
                        <w:iCs/>
                      </w:rPr>
                      <m:t>0</m:t>
                    </m:r>
                  </m:sub>
                  <m:sup>
                    <m:r>
                      <m:rPr>
                        <m:nor/>
                      </m:rPr>
                      <w:rPr>
                        <w:i/>
                        <w:iCs/>
                      </w:rPr>
                      <m:t>20</m:t>
                    </m:r>
                  </m:sup>
                  <m:e>
                    <m:r>
                      <m:rPr>
                        <m:nor/>
                      </m:rPr>
                      <w:rPr>
                        <w:i/>
                        <w:iCs/>
                      </w:rPr>
                      <m:t xml:space="preserve">F . w(z) . dz </m:t>
                    </m:r>
                  </m:e>
                </m:nary>
              </m:oMath>
            </m:oMathPara>
          </w:p>
        </w:tc>
        <w:tc>
          <w:tcPr>
            <w:tcW w:w="675" w:type="pct"/>
            <w:vAlign w:val="center"/>
          </w:tcPr>
          <w:p w14:paraId="68AA48DB" w14:textId="77777777" w:rsidR="007E76B4" w:rsidRPr="007E76B4" w:rsidRDefault="007E76B4" w:rsidP="007E76B4">
            <w:pPr>
              <w:pStyle w:val="Paragraph"/>
              <w:ind w:firstLine="0"/>
              <w:jc w:val="center"/>
            </w:pPr>
            <w:r w:rsidRPr="007E76B4">
              <w:t>(6)</w:t>
            </w:r>
          </w:p>
        </w:tc>
      </w:tr>
    </w:tbl>
    <w:p w14:paraId="606E1086" w14:textId="6AD89B9D" w:rsidR="007E76B4" w:rsidRPr="00D81278" w:rsidRDefault="007E76B4" w:rsidP="007E76B4">
      <w:pPr>
        <w:pStyle w:val="Paragraph"/>
        <w:ind w:firstLine="0"/>
      </w:pPr>
      <w:r w:rsidRPr="00D81278">
        <w:t>where,</w:t>
      </w:r>
    </w:p>
    <w:p w14:paraId="797CD96A" w14:textId="77777777" w:rsidR="007E76B4" w:rsidRPr="00D81278" w:rsidRDefault="007E76B4" w:rsidP="007E76B4">
      <w:pPr>
        <w:pStyle w:val="Paragraph"/>
        <w:ind w:firstLine="0"/>
        <w:rPr>
          <w:i/>
          <w:iCs/>
        </w:rPr>
      </w:pPr>
      <w:r w:rsidRPr="007E76B4">
        <w:rPr>
          <w:color w:val="000000"/>
        </w:rPr>
        <w:t>LPI</w:t>
      </w:r>
      <w:r w:rsidRPr="00D81278">
        <w:tab/>
        <w:t xml:space="preserve">= </w:t>
      </w:r>
      <w:r w:rsidRPr="00D81278">
        <w:rPr>
          <w:i/>
          <w:iCs/>
        </w:rPr>
        <w:t>Liquefaction Potential Index</w:t>
      </w:r>
    </w:p>
    <w:p w14:paraId="45ADB78F" w14:textId="77777777" w:rsidR="007E76B4" w:rsidRPr="00D81278" w:rsidRDefault="007E76B4" w:rsidP="007E76B4">
      <w:pPr>
        <w:pStyle w:val="Paragraph"/>
        <w:ind w:left="709" w:hanging="709"/>
      </w:pPr>
      <w:r w:rsidRPr="00D81278">
        <w:rPr>
          <w:i/>
        </w:rPr>
        <w:t>F</w:t>
      </w:r>
      <w:r w:rsidRPr="00D81278">
        <w:rPr>
          <w:i/>
        </w:rPr>
        <w:tab/>
      </w:r>
      <w:r w:rsidRPr="00D81278">
        <w:t xml:space="preserve">= The damage level of a layer in the liquefaction analysis is determined by </w:t>
      </w:r>
      <w:r>
        <w:t>equations</w:t>
      </w:r>
      <w:r w:rsidRPr="00D81278">
        <w:t xml:space="preserve">: </w:t>
      </w:r>
      <w:r w:rsidRPr="00D81278">
        <w:rPr>
          <w:i/>
          <w:iCs/>
        </w:rPr>
        <w:t xml:space="preserve">F </w:t>
      </w:r>
      <w:r w:rsidRPr="00D81278">
        <w:t xml:space="preserve">= (1 – </w:t>
      </w:r>
      <w:r w:rsidRPr="00D81278">
        <w:rPr>
          <w:i/>
          <w:iCs/>
        </w:rPr>
        <w:t>SF</w:t>
      </w:r>
      <w:r w:rsidRPr="00D81278">
        <w:t xml:space="preserve">) to </w:t>
      </w:r>
      <w:r w:rsidRPr="00D81278">
        <w:rPr>
          <w:i/>
          <w:iCs/>
        </w:rPr>
        <w:t xml:space="preserve">SF </w:t>
      </w:r>
      <w:r w:rsidRPr="00D81278">
        <w:t xml:space="preserve">&lt; 1, </w:t>
      </w:r>
      <w:r w:rsidRPr="00D81278">
        <w:rPr>
          <w:i/>
          <w:iCs/>
        </w:rPr>
        <w:t xml:space="preserve">F </w:t>
      </w:r>
      <w:r w:rsidRPr="00D81278">
        <w:t xml:space="preserve">= 0 to </w:t>
      </w:r>
      <w:r w:rsidRPr="00D81278">
        <w:rPr>
          <w:i/>
          <w:iCs/>
        </w:rPr>
        <w:t xml:space="preserve">SF </w:t>
      </w:r>
      <w:r w:rsidRPr="00D81278">
        <w:t>&gt; 1</w:t>
      </w:r>
    </w:p>
    <w:p w14:paraId="3467D320" w14:textId="77777777" w:rsidR="007E76B4" w:rsidRPr="00D81278" w:rsidRDefault="007E76B4" w:rsidP="007E76B4">
      <w:pPr>
        <w:pStyle w:val="Paragraph"/>
        <w:ind w:firstLine="0"/>
      </w:pPr>
      <w:r w:rsidRPr="00D81278">
        <w:rPr>
          <w:i/>
        </w:rPr>
        <w:t>w</w:t>
      </w:r>
      <w:r w:rsidRPr="00D81278">
        <w:tab/>
        <w:t xml:space="preserve">= </w:t>
      </w:r>
      <w:r>
        <w:t>D</w:t>
      </w:r>
      <w:r w:rsidRPr="00D81278">
        <w:t xml:space="preserve">epth weight factor, </w:t>
      </w:r>
      <w:r w:rsidRPr="00D81278">
        <w:rPr>
          <w:i/>
          <w:iCs/>
        </w:rPr>
        <w:t xml:space="preserve">w </w:t>
      </w:r>
      <w:r w:rsidRPr="00D81278">
        <w:t>= 10 – 0.5</w:t>
      </w:r>
      <w:r w:rsidRPr="00D81278">
        <w:rPr>
          <w:i/>
          <w:iCs/>
        </w:rPr>
        <w:t>z</w:t>
      </w:r>
    </w:p>
    <w:p w14:paraId="3FB1932D" w14:textId="4810EAD7" w:rsidR="007E76B4" w:rsidRPr="00D81278" w:rsidRDefault="007E76B4" w:rsidP="007E76B4">
      <w:pPr>
        <w:pStyle w:val="Paragraph"/>
        <w:ind w:firstLine="0"/>
      </w:pPr>
      <w:r w:rsidRPr="00D81278">
        <w:rPr>
          <w:i/>
        </w:rPr>
        <w:t>z</w:t>
      </w:r>
      <w:r w:rsidRPr="00D81278">
        <w:tab/>
        <w:t>= Depth analysis, maximum up to 20 meters</w:t>
      </w:r>
    </w:p>
    <w:p w14:paraId="7843FD99" w14:textId="03FDD411" w:rsidR="007E76B4" w:rsidRPr="00D81278" w:rsidRDefault="007E76B4" w:rsidP="007E76B4">
      <w:pPr>
        <w:pStyle w:val="TableCaption"/>
      </w:pPr>
      <w:r w:rsidRPr="00D81278">
        <w:rPr>
          <w:b/>
          <w:bCs/>
        </w:rPr>
        <w:t>T</w:t>
      </w:r>
      <w:r w:rsidR="008E09F6">
        <w:rPr>
          <w:b/>
          <w:bCs/>
        </w:rPr>
        <w:t>ABLE</w:t>
      </w:r>
      <w:r w:rsidRPr="00D81278">
        <w:rPr>
          <w:b/>
          <w:bCs/>
        </w:rPr>
        <w:t xml:space="preserve"> </w:t>
      </w:r>
      <w:r>
        <w:rPr>
          <w:b/>
          <w:bCs/>
        </w:rPr>
        <w:t>4</w:t>
      </w:r>
      <w:r w:rsidRPr="00D81278">
        <w:t xml:space="preserve">. </w:t>
      </w:r>
      <w:bookmarkEnd w:id="3"/>
      <w:r w:rsidRPr="00D81278">
        <w:t>Category of liquefaction potential based on LPI value</w:t>
      </w:r>
    </w:p>
    <w:tbl>
      <w:tblPr>
        <w:tblStyle w:val="TableGrid"/>
        <w:tblW w:w="3105"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557"/>
        <w:gridCol w:w="1558"/>
        <w:gridCol w:w="1280"/>
      </w:tblGrid>
      <w:tr w:rsidR="007E76B4" w:rsidRPr="007E76B4" w14:paraId="14FE91A6" w14:textId="77777777" w:rsidTr="007E76B4">
        <w:trPr>
          <w:trHeight w:val="346"/>
          <w:jc w:val="center"/>
        </w:trPr>
        <w:tc>
          <w:tcPr>
            <w:tcW w:w="1220" w:type="pct"/>
            <w:tcBorders>
              <w:top w:val="single" w:sz="4" w:space="0" w:color="auto"/>
              <w:bottom w:val="single" w:sz="4" w:space="0" w:color="auto"/>
            </w:tcBorders>
            <w:vAlign w:val="center"/>
          </w:tcPr>
          <w:p w14:paraId="6364D2D0" w14:textId="77777777" w:rsidR="007E76B4" w:rsidRPr="007E76B4" w:rsidRDefault="007E76B4" w:rsidP="00786C75">
            <w:pPr>
              <w:pStyle w:val="NoSpacing"/>
              <w:jc w:val="center"/>
              <w:rPr>
                <w:rFonts w:ascii="Times New Roman" w:hAnsi="Times New Roman" w:cs="Times New Roman"/>
                <w:b/>
                <w:sz w:val="18"/>
                <w:szCs w:val="18"/>
              </w:rPr>
            </w:pPr>
            <w:r w:rsidRPr="007E76B4">
              <w:rPr>
                <w:rFonts w:ascii="Times New Roman" w:hAnsi="Times New Roman" w:cs="Times New Roman"/>
                <w:b/>
                <w:sz w:val="18"/>
                <w:szCs w:val="18"/>
              </w:rPr>
              <w:t xml:space="preserve"> </w:t>
            </w:r>
            <w:r w:rsidRPr="007E76B4">
              <w:rPr>
                <w:rFonts w:ascii="Times New Roman" w:hAnsi="Times New Roman" w:cs="Times New Roman"/>
                <w:b/>
                <w:i/>
                <w:sz w:val="18"/>
                <w:szCs w:val="18"/>
              </w:rPr>
              <w:t xml:space="preserve">LPI </w:t>
            </w:r>
            <w:r w:rsidRPr="007E76B4">
              <w:rPr>
                <w:rFonts w:ascii="Times New Roman" w:hAnsi="Times New Roman" w:cs="Times New Roman"/>
                <w:b/>
                <w:iCs/>
                <w:sz w:val="18"/>
                <w:szCs w:val="18"/>
              </w:rPr>
              <w:t>Value</w:t>
            </w:r>
          </w:p>
        </w:tc>
        <w:tc>
          <w:tcPr>
            <w:tcW w:w="1339" w:type="pct"/>
            <w:tcBorders>
              <w:top w:val="single" w:sz="4" w:space="0" w:color="auto"/>
              <w:bottom w:val="single" w:sz="4" w:space="0" w:color="auto"/>
            </w:tcBorders>
            <w:vAlign w:val="center"/>
          </w:tcPr>
          <w:p w14:paraId="2DF855B2" w14:textId="77777777" w:rsidR="007E76B4" w:rsidRPr="007E76B4" w:rsidRDefault="007E76B4" w:rsidP="00786C75">
            <w:pPr>
              <w:pStyle w:val="NoSpacing"/>
              <w:jc w:val="center"/>
              <w:rPr>
                <w:rFonts w:ascii="Times New Roman" w:hAnsi="Times New Roman" w:cs="Times New Roman"/>
                <w:b/>
                <w:bCs/>
                <w:sz w:val="18"/>
                <w:szCs w:val="18"/>
              </w:rPr>
            </w:pPr>
            <w:r w:rsidRPr="007E76B4">
              <w:rPr>
                <w:rFonts w:ascii="Times New Roman" w:hAnsi="Times New Roman" w:cs="Times New Roman"/>
                <w:b/>
                <w:bCs/>
                <w:sz w:val="18"/>
                <w:szCs w:val="18"/>
              </w:rPr>
              <w:fldChar w:fldCharType="begin"/>
            </w:r>
            <w:r w:rsidRPr="007E76B4">
              <w:rPr>
                <w:rFonts w:ascii="Times New Roman" w:hAnsi="Times New Roman" w:cs="Times New Roman"/>
                <w:b/>
                <w:bCs/>
                <w:sz w:val="18"/>
                <w:szCs w:val="18"/>
              </w:rPr>
              <w:instrText>ADDIN CSL_CITATION {"citationItems":[{"id":"ITEM-1","itemData":{"author":[{"dropping-particle":"","family":"Iwasaki","given":"Toshio","non-dropping-particle":"","parse-names":false,"suffix":""},{"dropping-particle":"","family":"Arakawa","given":"Tadashi","non-dropping-particle":"","parse-names":false,"suffix":""},{"dropping-particle":"","family":"Tokida","given":"Ken-ichi","non-dropping-particle":"","parse-names":false,"suffix":""}],"id":"ITEM-1","issue":"1","issued":{"date-parts":[["1984"]]},"page":"49-58","title":"Simplified Procedures for Assessing Soil Liquefaction during Earthquakes","type":"article-journal","volume":"3"},"uris":["http://www.mendeley.com/documents/?uuid=03694b59-f7d6-4c89-b463-d0bfd8a77b80"]}],"mendeley":{"formattedCitation":"(Iwasaki et al., 1984)","manualFormatting":"Iwasaki dkk., (1984)","plainTextFormattedCitation":"(Iwasaki et al., 1984)","previouslyFormattedCitation":"(Iwasaki et al., 1984)"},"properties":{"noteIndex":0},"schema":"https://github.com/citation-style-language/schema/raw/master/csl-citation.json"}</w:instrText>
            </w:r>
            <w:r w:rsidRPr="007E76B4">
              <w:rPr>
                <w:rFonts w:ascii="Times New Roman" w:hAnsi="Times New Roman" w:cs="Times New Roman"/>
                <w:b/>
                <w:bCs/>
                <w:sz w:val="18"/>
                <w:szCs w:val="18"/>
              </w:rPr>
              <w:fldChar w:fldCharType="separate"/>
            </w:r>
            <w:r w:rsidRPr="007E76B4">
              <w:rPr>
                <w:rFonts w:ascii="Times New Roman" w:hAnsi="Times New Roman" w:cs="Times New Roman"/>
                <w:b/>
                <w:bCs/>
                <w:sz w:val="18"/>
                <w:szCs w:val="18"/>
              </w:rPr>
              <w:t>Iwasaki et al., (1984)</w:t>
            </w:r>
            <w:r w:rsidRPr="007E76B4">
              <w:rPr>
                <w:rFonts w:ascii="Times New Roman" w:hAnsi="Times New Roman" w:cs="Times New Roman"/>
                <w:b/>
                <w:bCs/>
                <w:sz w:val="18"/>
                <w:szCs w:val="18"/>
              </w:rPr>
              <w:fldChar w:fldCharType="end"/>
            </w:r>
          </w:p>
        </w:tc>
        <w:tc>
          <w:tcPr>
            <w:tcW w:w="1340" w:type="pct"/>
            <w:tcBorders>
              <w:top w:val="single" w:sz="4" w:space="0" w:color="auto"/>
              <w:bottom w:val="single" w:sz="4" w:space="0" w:color="auto"/>
            </w:tcBorders>
            <w:vAlign w:val="center"/>
          </w:tcPr>
          <w:p w14:paraId="2AFC693A" w14:textId="77777777" w:rsidR="007E76B4" w:rsidRPr="007E76B4" w:rsidRDefault="007E76B4" w:rsidP="00786C75">
            <w:pPr>
              <w:pStyle w:val="NoSpacing"/>
              <w:jc w:val="center"/>
              <w:rPr>
                <w:rFonts w:ascii="Times New Roman" w:hAnsi="Times New Roman" w:cs="Times New Roman"/>
                <w:b/>
                <w:sz w:val="18"/>
                <w:szCs w:val="18"/>
              </w:rPr>
            </w:pPr>
            <w:r w:rsidRPr="007E76B4">
              <w:rPr>
                <w:rFonts w:ascii="Times New Roman" w:hAnsi="Times New Roman" w:cs="Times New Roman"/>
                <w:b/>
                <w:sz w:val="18"/>
                <w:szCs w:val="18"/>
              </w:rPr>
              <w:fldChar w:fldCharType="begin"/>
            </w:r>
            <w:r w:rsidRPr="007E76B4">
              <w:rPr>
                <w:rFonts w:ascii="Times New Roman" w:hAnsi="Times New Roman" w:cs="Times New Roman"/>
                <w:b/>
                <w:sz w:val="18"/>
                <w:szCs w:val="18"/>
              </w:rPr>
              <w:instrText>ADDIN CSL_CITATION {"citationItems":[{"id":"ITEM-1","itemData":{"author":[{"dropping-particle":"","family":"Luna","given":"Ronaldo","non-dropping-particle":"","parse-names":false,"suffix":""},{"dropping-particle":"","family":"Frost","given":"J David","non-dropping-particle":"","parse-names":false,"suffix":""}],"container-title":"Journal Comput. Civil Engineering","id":"ITEM-1","issued":{"date-parts":[["1998"]]},"page":"48 - 56","title":"Spatial liquefaction analysis system","type":"article-journal","volume":"12"},"uris":["http://www.mendeley.com/documents/?uuid=e440b71f-c242-4b30-9904-35d3688645a2"]}],"mendeley":{"formattedCitation":"(Luna &amp; Frost, 1998)","plainTextFormattedCitation":"(Luna &amp; Frost, 1998)","previouslyFormattedCitation":"(Luna &amp; Frost, 1998)"},"properties":{"noteIndex":0},"schema":"https://github.com/citation-style-language/schema/raw/master/csl-citation.json"}</w:instrText>
            </w:r>
            <w:r w:rsidRPr="007E76B4">
              <w:rPr>
                <w:rFonts w:ascii="Times New Roman" w:hAnsi="Times New Roman" w:cs="Times New Roman"/>
                <w:b/>
                <w:sz w:val="18"/>
                <w:szCs w:val="18"/>
              </w:rPr>
              <w:fldChar w:fldCharType="separate"/>
            </w:r>
            <w:r w:rsidRPr="007E76B4">
              <w:rPr>
                <w:rFonts w:ascii="Times New Roman" w:hAnsi="Times New Roman" w:cs="Times New Roman"/>
                <w:b/>
                <w:sz w:val="18"/>
                <w:szCs w:val="18"/>
              </w:rPr>
              <w:t>(Luna &amp; Frost, 1998)</w:t>
            </w:r>
            <w:r w:rsidRPr="007E76B4">
              <w:rPr>
                <w:rFonts w:ascii="Times New Roman" w:hAnsi="Times New Roman" w:cs="Times New Roman"/>
                <w:b/>
                <w:sz w:val="18"/>
                <w:szCs w:val="18"/>
              </w:rPr>
              <w:fldChar w:fldCharType="end"/>
            </w:r>
          </w:p>
        </w:tc>
        <w:tc>
          <w:tcPr>
            <w:tcW w:w="1101" w:type="pct"/>
            <w:tcBorders>
              <w:top w:val="single" w:sz="4" w:space="0" w:color="auto"/>
              <w:bottom w:val="single" w:sz="4" w:space="0" w:color="auto"/>
            </w:tcBorders>
            <w:vAlign w:val="center"/>
          </w:tcPr>
          <w:p w14:paraId="305DAE90" w14:textId="77777777" w:rsidR="007E76B4" w:rsidRPr="007E76B4" w:rsidRDefault="007E76B4" w:rsidP="00786C75">
            <w:pPr>
              <w:pStyle w:val="NoSpacing"/>
              <w:jc w:val="center"/>
              <w:rPr>
                <w:rFonts w:ascii="Times New Roman" w:hAnsi="Times New Roman" w:cs="Times New Roman"/>
                <w:b/>
                <w:sz w:val="18"/>
                <w:szCs w:val="18"/>
              </w:rPr>
            </w:pPr>
            <w:r w:rsidRPr="007E76B4">
              <w:rPr>
                <w:rFonts w:ascii="Times New Roman" w:hAnsi="Times New Roman" w:cs="Times New Roman"/>
                <w:b/>
                <w:sz w:val="18"/>
                <w:szCs w:val="18"/>
              </w:rPr>
              <w:t>MERM (2003)</w:t>
            </w:r>
          </w:p>
        </w:tc>
      </w:tr>
      <w:tr w:rsidR="007E76B4" w:rsidRPr="007E76B4" w14:paraId="6C7E0338" w14:textId="77777777" w:rsidTr="007E76B4">
        <w:trPr>
          <w:trHeight w:val="346"/>
          <w:jc w:val="center"/>
        </w:trPr>
        <w:tc>
          <w:tcPr>
            <w:tcW w:w="1220" w:type="pct"/>
            <w:tcBorders>
              <w:top w:val="single" w:sz="4" w:space="0" w:color="auto"/>
            </w:tcBorders>
            <w:vAlign w:val="center"/>
          </w:tcPr>
          <w:p w14:paraId="05263DCA"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i/>
                <w:sz w:val="18"/>
                <w:szCs w:val="18"/>
              </w:rPr>
              <w:t>LPI</w:t>
            </w:r>
            <w:r w:rsidRPr="007E76B4">
              <w:rPr>
                <w:rFonts w:ascii="Times New Roman" w:hAnsi="Times New Roman" w:cs="Times New Roman"/>
                <w:sz w:val="18"/>
                <w:szCs w:val="18"/>
              </w:rPr>
              <w:t xml:space="preserve"> = 0</w:t>
            </w:r>
          </w:p>
        </w:tc>
        <w:tc>
          <w:tcPr>
            <w:tcW w:w="1339" w:type="pct"/>
            <w:tcBorders>
              <w:top w:val="single" w:sz="4" w:space="0" w:color="auto"/>
            </w:tcBorders>
            <w:vAlign w:val="center"/>
          </w:tcPr>
          <w:p w14:paraId="271D0F81"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Very low</w:t>
            </w:r>
          </w:p>
        </w:tc>
        <w:tc>
          <w:tcPr>
            <w:tcW w:w="1340" w:type="pct"/>
            <w:tcBorders>
              <w:top w:val="single" w:sz="4" w:space="0" w:color="auto"/>
            </w:tcBorders>
            <w:vAlign w:val="center"/>
          </w:tcPr>
          <w:p w14:paraId="20E88648"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Little to none</w:t>
            </w:r>
          </w:p>
        </w:tc>
        <w:tc>
          <w:tcPr>
            <w:tcW w:w="1101" w:type="pct"/>
            <w:tcBorders>
              <w:top w:val="single" w:sz="4" w:space="0" w:color="auto"/>
            </w:tcBorders>
            <w:vAlign w:val="center"/>
          </w:tcPr>
          <w:p w14:paraId="13743766"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None</w:t>
            </w:r>
          </w:p>
        </w:tc>
      </w:tr>
      <w:tr w:rsidR="007E76B4" w:rsidRPr="007E76B4" w14:paraId="3B1B63B9" w14:textId="77777777" w:rsidTr="007E76B4">
        <w:trPr>
          <w:trHeight w:val="346"/>
          <w:jc w:val="center"/>
        </w:trPr>
        <w:tc>
          <w:tcPr>
            <w:tcW w:w="1220" w:type="pct"/>
            <w:vAlign w:val="center"/>
          </w:tcPr>
          <w:p w14:paraId="394E59E7"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 xml:space="preserve">0 &lt; </w:t>
            </w:r>
            <w:r w:rsidRPr="007E76B4">
              <w:rPr>
                <w:rFonts w:ascii="Times New Roman" w:hAnsi="Times New Roman" w:cs="Times New Roman"/>
                <w:i/>
                <w:sz w:val="18"/>
                <w:szCs w:val="18"/>
              </w:rPr>
              <w:t>LPI</w:t>
            </w:r>
            <w:r w:rsidRPr="007E76B4">
              <w:rPr>
                <w:rFonts w:ascii="Times New Roman" w:hAnsi="Times New Roman" w:cs="Times New Roman"/>
                <w:sz w:val="18"/>
                <w:szCs w:val="18"/>
              </w:rPr>
              <w:t xml:space="preserve"> </w:t>
            </w:r>
            <w:r w:rsidRPr="007E76B4">
              <w:rPr>
                <w:rFonts w:ascii="Times New Roman" w:hAnsi="Times New Roman" w:cs="Times New Roman"/>
                <w:sz w:val="18"/>
                <w:szCs w:val="18"/>
                <w:u w:val="single"/>
              </w:rPr>
              <w:t>&lt;</w:t>
            </w:r>
            <w:r w:rsidRPr="007E76B4">
              <w:rPr>
                <w:rFonts w:ascii="Times New Roman" w:hAnsi="Times New Roman" w:cs="Times New Roman"/>
                <w:sz w:val="18"/>
                <w:szCs w:val="18"/>
              </w:rPr>
              <w:t xml:space="preserve"> 5</w:t>
            </w:r>
          </w:p>
        </w:tc>
        <w:tc>
          <w:tcPr>
            <w:tcW w:w="1339" w:type="pct"/>
            <w:vAlign w:val="center"/>
          </w:tcPr>
          <w:p w14:paraId="0DDBD5C0"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Low</w:t>
            </w:r>
          </w:p>
        </w:tc>
        <w:tc>
          <w:tcPr>
            <w:tcW w:w="1340" w:type="pct"/>
            <w:vAlign w:val="center"/>
          </w:tcPr>
          <w:p w14:paraId="45A3F0A1"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Minor</w:t>
            </w:r>
          </w:p>
        </w:tc>
        <w:tc>
          <w:tcPr>
            <w:tcW w:w="1101" w:type="pct"/>
            <w:vAlign w:val="center"/>
          </w:tcPr>
          <w:p w14:paraId="3D532E13"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Low</w:t>
            </w:r>
          </w:p>
        </w:tc>
      </w:tr>
      <w:tr w:rsidR="007E76B4" w:rsidRPr="007E76B4" w14:paraId="330AD20B" w14:textId="77777777" w:rsidTr="007E76B4">
        <w:trPr>
          <w:trHeight w:val="346"/>
          <w:jc w:val="center"/>
        </w:trPr>
        <w:tc>
          <w:tcPr>
            <w:tcW w:w="1220" w:type="pct"/>
            <w:vAlign w:val="center"/>
          </w:tcPr>
          <w:p w14:paraId="24CD7B5D"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 xml:space="preserve">5 &lt; </w:t>
            </w:r>
            <w:r w:rsidRPr="007E76B4">
              <w:rPr>
                <w:rFonts w:ascii="Times New Roman" w:hAnsi="Times New Roman" w:cs="Times New Roman"/>
                <w:i/>
                <w:sz w:val="18"/>
                <w:szCs w:val="18"/>
              </w:rPr>
              <w:t xml:space="preserve">LPI </w:t>
            </w:r>
            <w:r w:rsidRPr="007E76B4">
              <w:rPr>
                <w:rFonts w:ascii="Times New Roman" w:hAnsi="Times New Roman" w:cs="Times New Roman"/>
                <w:i/>
                <w:sz w:val="18"/>
                <w:szCs w:val="18"/>
                <w:u w:val="single"/>
              </w:rPr>
              <w:t>&lt;</w:t>
            </w:r>
            <w:r w:rsidRPr="007E76B4">
              <w:rPr>
                <w:rFonts w:ascii="Times New Roman" w:hAnsi="Times New Roman" w:cs="Times New Roman"/>
                <w:sz w:val="18"/>
                <w:szCs w:val="18"/>
              </w:rPr>
              <w:t xml:space="preserve"> 15</w:t>
            </w:r>
          </w:p>
        </w:tc>
        <w:tc>
          <w:tcPr>
            <w:tcW w:w="1339" w:type="pct"/>
            <w:vAlign w:val="center"/>
          </w:tcPr>
          <w:p w14:paraId="7A025960"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High</w:t>
            </w:r>
          </w:p>
        </w:tc>
        <w:tc>
          <w:tcPr>
            <w:tcW w:w="1340" w:type="pct"/>
            <w:vAlign w:val="center"/>
          </w:tcPr>
          <w:p w14:paraId="472BB9BA"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Moderate</w:t>
            </w:r>
          </w:p>
        </w:tc>
        <w:tc>
          <w:tcPr>
            <w:tcW w:w="1101" w:type="pct"/>
            <w:vAlign w:val="center"/>
          </w:tcPr>
          <w:p w14:paraId="7380E62A"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Medium</w:t>
            </w:r>
          </w:p>
        </w:tc>
      </w:tr>
      <w:tr w:rsidR="007E76B4" w:rsidRPr="007E76B4" w14:paraId="5AC20F82" w14:textId="77777777" w:rsidTr="007E76B4">
        <w:trPr>
          <w:trHeight w:val="346"/>
          <w:jc w:val="center"/>
        </w:trPr>
        <w:tc>
          <w:tcPr>
            <w:tcW w:w="1220" w:type="pct"/>
            <w:vAlign w:val="center"/>
          </w:tcPr>
          <w:p w14:paraId="4128C258"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i/>
                <w:sz w:val="18"/>
                <w:szCs w:val="18"/>
              </w:rPr>
              <w:t>LPI</w:t>
            </w:r>
            <w:r w:rsidRPr="007E76B4">
              <w:rPr>
                <w:rFonts w:ascii="Times New Roman" w:hAnsi="Times New Roman" w:cs="Times New Roman"/>
                <w:sz w:val="18"/>
                <w:szCs w:val="18"/>
              </w:rPr>
              <w:t xml:space="preserve"> &gt; 15</w:t>
            </w:r>
          </w:p>
        </w:tc>
        <w:tc>
          <w:tcPr>
            <w:tcW w:w="1339" w:type="pct"/>
            <w:vAlign w:val="center"/>
          </w:tcPr>
          <w:p w14:paraId="53B47559"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Very high</w:t>
            </w:r>
          </w:p>
        </w:tc>
        <w:tc>
          <w:tcPr>
            <w:tcW w:w="1340" w:type="pct"/>
            <w:vAlign w:val="center"/>
          </w:tcPr>
          <w:p w14:paraId="4D06A6D5"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Major</w:t>
            </w:r>
          </w:p>
        </w:tc>
        <w:tc>
          <w:tcPr>
            <w:tcW w:w="1101" w:type="pct"/>
            <w:vAlign w:val="center"/>
          </w:tcPr>
          <w:p w14:paraId="133B0882" w14:textId="77777777" w:rsidR="007E76B4" w:rsidRPr="007E76B4" w:rsidRDefault="007E76B4" w:rsidP="00786C75">
            <w:pPr>
              <w:pStyle w:val="NoSpacing"/>
              <w:jc w:val="center"/>
              <w:rPr>
                <w:rFonts w:ascii="Times New Roman" w:hAnsi="Times New Roman" w:cs="Times New Roman"/>
                <w:sz w:val="18"/>
                <w:szCs w:val="18"/>
              </w:rPr>
            </w:pPr>
            <w:r w:rsidRPr="007E76B4">
              <w:rPr>
                <w:rFonts w:ascii="Times New Roman" w:hAnsi="Times New Roman" w:cs="Times New Roman"/>
                <w:sz w:val="18"/>
                <w:szCs w:val="18"/>
              </w:rPr>
              <w:t>High</w:t>
            </w:r>
          </w:p>
        </w:tc>
      </w:tr>
    </w:tbl>
    <w:p w14:paraId="59F5F923" w14:textId="5FAB5838" w:rsidR="003641BB" w:rsidRDefault="00BF02A4" w:rsidP="00BF02A4">
      <w:pPr>
        <w:pStyle w:val="Heading2"/>
      </w:pPr>
      <w:r>
        <w:lastRenderedPageBreak/>
        <w:t>Evaluation of Liquefaction Severity Index (LSI)</w:t>
      </w:r>
    </w:p>
    <w:p w14:paraId="6748E927" w14:textId="50B482FF" w:rsidR="003641BB" w:rsidRPr="00D81278" w:rsidRDefault="003641BB" w:rsidP="003641BB">
      <w:pPr>
        <w:pStyle w:val="Paragraph"/>
      </w:pPr>
      <w:r w:rsidRPr="00D81278">
        <w:t xml:space="preserve">The liquefaction Severity Index is </w:t>
      </w:r>
      <w:r>
        <w:t>a</w:t>
      </w:r>
      <w:r w:rsidRPr="00D81278">
        <w:t xml:space="preserve"> method to estimate the damage level due to liquefaction. It is a development of the previous method proposed by </w:t>
      </w:r>
      <w:r w:rsidR="00F1377D">
        <w:t>[4]</w:t>
      </w:r>
      <w:r>
        <w:t>.</w:t>
      </w:r>
      <w:r w:rsidR="00CF6C90">
        <w:t xml:space="preserve"> T</w:t>
      </w:r>
      <w:r w:rsidRPr="00D81278">
        <w:t xml:space="preserve">he damage level due to liquefaction using LSI is classified into six categories as listed in Table </w:t>
      </w:r>
      <w:r>
        <w:t>5</w:t>
      </w:r>
      <w:r w:rsidRPr="00D81278">
        <w:t xml:space="preserve"> below.</w:t>
      </w:r>
    </w:p>
    <w:p w14:paraId="73257B1F" w14:textId="2BED2DFC" w:rsidR="003641BB" w:rsidRPr="00D81278" w:rsidRDefault="003641BB" w:rsidP="003641BB">
      <w:pPr>
        <w:pStyle w:val="TableCaption"/>
      </w:pPr>
      <w:r w:rsidRPr="00D81278">
        <w:rPr>
          <w:b/>
          <w:bCs/>
        </w:rPr>
        <w:t>T</w:t>
      </w:r>
      <w:r w:rsidR="008E09F6">
        <w:rPr>
          <w:b/>
          <w:bCs/>
        </w:rPr>
        <w:t xml:space="preserve">ABLE </w:t>
      </w:r>
      <w:r>
        <w:rPr>
          <w:b/>
          <w:bCs/>
        </w:rPr>
        <w:t>5.</w:t>
      </w:r>
      <w:r w:rsidRPr="00D81278">
        <w:rPr>
          <w:b/>
          <w:bCs/>
        </w:rPr>
        <w:t xml:space="preserve"> </w:t>
      </w:r>
      <w:r w:rsidRPr="00D81278">
        <w:t>Categories of liquefaction potential based on LSI values</w:t>
      </w:r>
      <w:r w:rsidR="00F1377D">
        <w:t xml:space="preserve"> [20]</w:t>
      </w:r>
    </w:p>
    <w:tbl>
      <w:tblPr>
        <w:tblStyle w:val="TableGrid"/>
        <w:tblW w:w="3153"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067"/>
      </w:tblGrid>
      <w:tr w:rsidR="003641BB" w:rsidRPr="003641BB" w14:paraId="46368073" w14:textId="77777777" w:rsidTr="003641BB">
        <w:trPr>
          <w:trHeight w:val="283"/>
          <w:jc w:val="center"/>
        </w:trPr>
        <w:tc>
          <w:tcPr>
            <w:tcW w:w="2402" w:type="pct"/>
            <w:tcBorders>
              <w:top w:val="single" w:sz="4" w:space="0" w:color="auto"/>
              <w:bottom w:val="single" w:sz="4" w:space="0" w:color="auto"/>
            </w:tcBorders>
            <w:vAlign w:val="center"/>
          </w:tcPr>
          <w:p w14:paraId="7FF13B0F" w14:textId="77777777" w:rsidR="003641BB" w:rsidRPr="003641BB" w:rsidRDefault="003641BB" w:rsidP="00786C75">
            <w:pPr>
              <w:pStyle w:val="NoSpacing"/>
              <w:jc w:val="center"/>
              <w:rPr>
                <w:rFonts w:ascii="Times New Roman" w:hAnsi="Times New Roman" w:cs="Times New Roman"/>
                <w:b/>
                <w:sz w:val="18"/>
                <w:szCs w:val="18"/>
              </w:rPr>
            </w:pPr>
            <w:r w:rsidRPr="003641BB">
              <w:rPr>
                <w:rFonts w:ascii="Times New Roman" w:hAnsi="Times New Roman"/>
                <w:b/>
                <w:sz w:val="18"/>
                <w:szCs w:val="18"/>
              </w:rPr>
              <w:t>LSI value</w:t>
            </w:r>
          </w:p>
        </w:tc>
        <w:tc>
          <w:tcPr>
            <w:tcW w:w="2598" w:type="pct"/>
            <w:tcBorders>
              <w:top w:val="single" w:sz="4" w:space="0" w:color="auto"/>
              <w:bottom w:val="single" w:sz="4" w:space="0" w:color="auto"/>
            </w:tcBorders>
            <w:vAlign w:val="center"/>
          </w:tcPr>
          <w:p w14:paraId="6473B6BE" w14:textId="77777777" w:rsidR="003641BB" w:rsidRPr="003641BB" w:rsidRDefault="003641BB" w:rsidP="00786C75">
            <w:pPr>
              <w:pStyle w:val="NoSpacing"/>
              <w:jc w:val="center"/>
              <w:rPr>
                <w:rFonts w:ascii="Times New Roman" w:hAnsi="Times New Roman" w:cs="Times New Roman"/>
                <w:b/>
                <w:sz w:val="18"/>
                <w:szCs w:val="18"/>
              </w:rPr>
            </w:pPr>
            <w:r w:rsidRPr="003641BB">
              <w:rPr>
                <w:rFonts w:ascii="Times New Roman" w:hAnsi="Times New Roman" w:cs="Times New Roman"/>
                <w:b/>
                <w:sz w:val="18"/>
                <w:szCs w:val="18"/>
              </w:rPr>
              <w:t>Level</w:t>
            </w:r>
          </w:p>
        </w:tc>
      </w:tr>
      <w:tr w:rsidR="003641BB" w:rsidRPr="003641BB" w14:paraId="4D924217" w14:textId="77777777" w:rsidTr="003641BB">
        <w:trPr>
          <w:trHeight w:val="283"/>
          <w:jc w:val="center"/>
        </w:trPr>
        <w:tc>
          <w:tcPr>
            <w:tcW w:w="2402" w:type="pct"/>
            <w:tcBorders>
              <w:top w:val="single" w:sz="4" w:space="0" w:color="auto"/>
            </w:tcBorders>
            <w:vAlign w:val="center"/>
          </w:tcPr>
          <w:p w14:paraId="33EA850F" w14:textId="77777777" w:rsidR="003641BB" w:rsidRPr="003641BB" w:rsidRDefault="003641BB" w:rsidP="00786C75">
            <w:pPr>
              <w:pStyle w:val="NoSpacing"/>
              <w:jc w:val="center"/>
              <w:rPr>
                <w:rFonts w:ascii="Times New Roman" w:hAnsi="Times New Roman" w:cs="Times New Roman"/>
                <w:sz w:val="18"/>
                <w:szCs w:val="18"/>
              </w:rPr>
            </w:pPr>
            <w:r w:rsidRPr="003641BB">
              <w:rPr>
                <w:rFonts w:ascii="Times New Roman" w:hAnsi="Times New Roman" w:cs="Times New Roman"/>
                <w:sz w:val="18"/>
                <w:szCs w:val="18"/>
              </w:rPr>
              <w:t xml:space="preserve">85 </w:t>
            </w:r>
            <w:r w:rsidRPr="003641BB">
              <w:rPr>
                <w:rFonts w:ascii="Times New Roman" w:hAnsi="Times New Roman" w:cs="Times New Roman"/>
                <w:sz w:val="18"/>
                <w:szCs w:val="18"/>
                <w:u w:val="single"/>
              </w:rPr>
              <w:t>&lt;</w:t>
            </w:r>
            <w:r w:rsidRPr="003641BB">
              <w:rPr>
                <w:rFonts w:ascii="Times New Roman" w:hAnsi="Times New Roman" w:cs="Times New Roman"/>
                <w:sz w:val="18"/>
                <w:szCs w:val="18"/>
              </w:rPr>
              <w:t xml:space="preserve"> </w:t>
            </w:r>
            <w:r w:rsidRPr="003641BB">
              <w:rPr>
                <w:rFonts w:ascii="Times New Roman" w:hAnsi="Times New Roman" w:cs="Times New Roman"/>
                <w:i/>
                <w:sz w:val="18"/>
                <w:szCs w:val="18"/>
              </w:rPr>
              <w:t>LSI</w:t>
            </w:r>
            <w:r w:rsidRPr="003641BB">
              <w:rPr>
                <w:rFonts w:ascii="Times New Roman" w:hAnsi="Times New Roman" w:cs="Times New Roman"/>
                <w:sz w:val="18"/>
                <w:szCs w:val="18"/>
              </w:rPr>
              <w:t xml:space="preserve"> &lt; 100</w:t>
            </w:r>
          </w:p>
        </w:tc>
        <w:tc>
          <w:tcPr>
            <w:tcW w:w="2598" w:type="pct"/>
            <w:tcBorders>
              <w:top w:val="single" w:sz="4" w:space="0" w:color="auto"/>
            </w:tcBorders>
            <w:vAlign w:val="center"/>
          </w:tcPr>
          <w:p w14:paraId="46FF5CA7" w14:textId="77777777" w:rsidR="003641BB" w:rsidRPr="003641BB" w:rsidRDefault="003641BB" w:rsidP="00786C75">
            <w:pPr>
              <w:jc w:val="center"/>
              <w:rPr>
                <w:sz w:val="18"/>
                <w:szCs w:val="18"/>
              </w:rPr>
            </w:pPr>
            <w:r w:rsidRPr="003641BB">
              <w:rPr>
                <w:sz w:val="18"/>
                <w:szCs w:val="18"/>
              </w:rPr>
              <w:t>Very high</w:t>
            </w:r>
          </w:p>
        </w:tc>
      </w:tr>
      <w:tr w:rsidR="003641BB" w:rsidRPr="003641BB" w14:paraId="0284BE1C" w14:textId="77777777" w:rsidTr="003641BB">
        <w:trPr>
          <w:trHeight w:val="283"/>
          <w:jc w:val="center"/>
        </w:trPr>
        <w:tc>
          <w:tcPr>
            <w:tcW w:w="2402" w:type="pct"/>
            <w:vAlign w:val="center"/>
          </w:tcPr>
          <w:p w14:paraId="7EFE5ADF" w14:textId="77777777" w:rsidR="003641BB" w:rsidRPr="003641BB" w:rsidRDefault="003641BB" w:rsidP="00786C75">
            <w:pPr>
              <w:pStyle w:val="NoSpacing"/>
              <w:jc w:val="center"/>
              <w:rPr>
                <w:rFonts w:ascii="Times New Roman" w:hAnsi="Times New Roman" w:cs="Times New Roman"/>
                <w:sz w:val="18"/>
                <w:szCs w:val="18"/>
              </w:rPr>
            </w:pPr>
            <w:r w:rsidRPr="003641BB">
              <w:rPr>
                <w:rFonts w:ascii="Times New Roman" w:hAnsi="Times New Roman" w:cs="Times New Roman"/>
                <w:sz w:val="18"/>
                <w:szCs w:val="18"/>
              </w:rPr>
              <w:t xml:space="preserve">65 </w:t>
            </w:r>
            <w:r w:rsidRPr="003641BB">
              <w:rPr>
                <w:rFonts w:ascii="Times New Roman" w:hAnsi="Times New Roman" w:cs="Times New Roman"/>
                <w:sz w:val="18"/>
                <w:szCs w:val="18"/>
                <w:u w:val="single"/>
              </w:rPr>
              <w:t>&lt;</w:t>
            </w:r>
            <w:r w:rsidRPr="003641BB">
              <w:rPr>
                <w:rFonts w:ascii="Times New Roman" w:hAnsi="Times New Roman" w:cs="Times New Roman"/>
                <w:sz w:val="18"/>
                <w:szCs w:val="18"/>
              </w:rPr>
              <w:t xml:space="preserve"> </w:t>
            </w:r>
            <w:r w:rsidRPr="003641BB">
              <w:rPr>
                <w:rFonts w:ascii="Times New Roman" w:hAnsi="Times New Roman" w:cs="Times New Roman"/>
                <w:i/>
                <w:sz w:val="18"/>
                <w:szCs w:val="18"/>
              </w:rPr>
              <w:t>LSI</w:t>
            </w:r>
            <w:r w:rsidRPr="003641BB">
              <w:rPr>
                <w:rFonts w:ascii="Times New Roman" w:hAnsi="Times New Roman" w:cs="Times New Roman"/>
                <w:sz w:val="18"/>
                <w:szCs w:val="18"/>
              </w:rPr>
              <w:t xml:space="preserve"> &lt; 85</w:t>
            </w:r>
          </w:p>
        </w:tc>
        <w:tc>
          <w:tcPr>
            <w:tcW w:w="2598" w:type="pct"/>
            <w:vAlign w:val="center"/>
          </w:tcPr>
          <w:p w14:paraId="7EF11A23" w14:textId="77777777" w:rsidR="003641BB" w:rsidRPr="003641BB" w:rsidRDefault="003641BB" w:rsidP="00786C75">
            <w:pPr>
              <w:jc w:val="center"/>
              <w:rPr>
                <w:sz w:val="18"/>
                <w:szCs w:val="18"/>
              </w:rPr>
            </w:pPr>
            <w:r w:rsidRPr="003641BB">
              <w:rPr>
                <w:sz w:val="18"/>
                <w:szCs w:val="18"/>
              </w:rPr>
              <w:t>High</w:t>
            </w:r>
          </w:p>
        </w:tc>
      </w:tr>
      <w:tr w:rsidR="003641BB" w:rsidRPr="003641BB" w14:paraId="156AECC6" w14:textId="77777777" w:rsidTr="003641BB">
        <w:trPr>
          <w:trHeight w:val="283"/>
          <w:jc w:val="center"/>
        </w:trPr>
        <w:tc>
          <w:tcPr>
            <w:tcW w:w="2402" w:type="pct"/>
            <w:vAlign w:val="center"/>
          </w:tcPr>
          <w:p w14:paraId="397DE25B" w14:textId="77777777" w:rsidR="003641BB" w:rsidRPr="003641BB" w:rsidRDefault="003641BB" w:rsidP="00786C75">
            <w:pPr>
              <w:pStyle w:val="NoSpacing"/>
              <w:jc w:val="center"/>
              <w:rPr>
                <w:rFonts w:ascii="Times New Roman" w:hAnsi="Times New Roman" w:cs="Times New Roman"/>
                <w:sz w:val="18"/>
                <w:szCs w:val="18"/>
              </w:rPr>
            </w:pPr>
            <w:r w:rsidRPr="003641BB">
              <w:rPr>
                <w:rFonts w:ascii="Times New Roman" w:hAnsi="Times New Roman" w:cs="Times New Roman"/>
                <w:sz w:val="18"/>
                <w:szCs w:val="18"/>
              </w:rPr>
              <w:t xml:space="preserve">35 </w:t>
            </w:r>
            <w:r w:rsidRPr="003641BB">
              <w:rPr>
                <w:rFonts w:ascii="Times New Roman" w:hAnsi="Times New Roman" w:cs="Times New Roman"/>
                <w:sz w:val="18"/>
                <w:szCs w:val="18"/>
                <w:u w:val="single"/>
              </w:rPr>
              <w:t>&lt;</w:t>
            </w:r>
            <w:r w:rsidRPr="003641BB">
              <w:rPr>
                <w:rFonts w:ascii="Times New Roman" w:hAnsi="Times New Roman" w:cs="Times New Roman"/>
                <w:sz w:val="18"/>
                <w:szCs w:val="18"/>
              </w:rPr>
              <w:t xml:space="preserve"> </w:t>
            </w:r>
            <w:r w:rsidRPr="003641BB">
              <w:rPr>
                <w:rFonts w:ascii="Times New Roman" w:hAnsi="Times New Roman" w:cs="Times New Roman"/>
                <w:i/>
                <w:sz w:val="18"/>
                <w:szCs w:val="18"/>
              </w:rPr>
              <w:t>LSI</w:t>
            </w:r>
            <w:r w:rsidRPr="003641BB">
              <w:rPr>
                <w:rFonts w:ascii="Times New Roman" w:hAnsi="Times New Roman" w:cs="Times New Roman"/>
                <w:sz w:val="18"/>
                <w:szCs w:val="18"/>
              </w:rPr>
              <w:t xml:space="preserve"> &lt; 65</w:t>
            </w:r>
          </w:p>
        </w:tc>
        <w:tc>
          <w:tcPr>
            <w:tcW w:w="2598" w:type="pct"/>
            <w:vAlign w:val="center"/>
          </w:tcPr>
          <w:p w14:paraId="2D61A104" w14:textId="77777777" w:rsidR="003641BB" w:rsidRPr="003641BB" w:rsidRDefault="003641BB" w:rsidP="00786C75">
            <w:pPr>
              <w:jc w:val="center"/>
              <w:rPr>
                <w:sz w:val="18"/>
                <w:szCs w:val="18"/>
              </w:rPr>
            </w:pPr>
            <w:r w:rsidRPr="003641BB">
              <w:rPr>
                <w:sz w:val="18"/>
                <w:szCs w:val="18"/>
              </w:rPr>
              <w:t>Medium</w:t>
            </w:r>
          </w:p>
        </w:tc>
      </w:tr>
      <w:tr w:rsidR="003641BB" w:rsidRPr="003641BB" w14:paraId="43CCCB89" w14:textId="77777777" w:rsidTr="003641BB">
        <w:trPr>
          <w:trHeight w:val="283"/>
          <w:jc w:val="center"/>
        </w:trPr>
        <w:tc>
          <w:tcPr>
            <w:tcW w:w="2402" w:type="pct"/>
            <w:vAlign w:val="center"/>
          </w:tcPr>
          <w:p w14:paraId="420A24FF" w14:textId="77777777" w:rsidR="003641BB" w:rsidRPr="003641BB" w:rsidRDefault="003641BB" w:rsidP="00786C75">
            <w:pPr>
              <w:pStyle w:val="NoSpacing"/>
              <w:jc w:val="center"/>
              <w:rPr>
                <w:rFonts w:ascii="Times New Roman" w:hAnsi="Times New Roman" w:cs="Times New Roman"/>
                <w:sz w:val="18"/>
                <w:szCs w:val="18"/>
              </w:rPr>
            </w:pPr>
            <w:r w:rsidRPr="003641BB">
              <w:rPr>
                <w:rFonts w:ascii="Times New Roman" w:hAnsi="Times New Roman" w:cs="Times New Roman"/>
                <w:sz w:val="18"/>
                <w:szCs w:val="18"/>
              </w:rPr>
              <w:t xml:space="preserve">15 </w:t>
            </w:r>
            <w:r w:rsidRPr="003641BB">
              <w:rPr>
                <w:rFonts w:ascii="Times New Roman" w:hAnsi="Times New Roman" w:cs="Times New Roman"/>
                <w:sz w:val="18"/>
                <w:szCs w:val="18"/>
                <w:u w:val="single"/>
              </w:rPr>
              <w:t>&lt;</w:t>
            </w:r>
            <w:r w:rsidRPr="003641BB">
              <w:rPr>
                <w:rFonts w:ascii="Times New Roman" w:hAnsi="Times New Roman" w:cs="Times New Roman"/>
                <w:sz w:val="18"/>
                <w:szCs w:val="18"/>
              </w:rPr>
              <w:t xml:space="preserve"> </w:t>
            </w:r>
            <w:r w:rsidRPr="003641BB">
              <w:rPr>
                <w:rFonts w:ascii="Times New Roman" w:hAnsi="Times New Roman" w:cs="Times New Roman"/>
                <w:i/>
                <w:sz w:val="18"/>
                <w:szCs w:val="18"/>
              </w:rPr>
              <w:t>LSI</w:t>
            </w:r>
            <w:r w:rsidRPr="003641BB">
              <w:rPr>
                <w:rFonts w:ascii="Times New Roman" w:hAnsi="Times New Roman" w:cs="Times New Roman"/>
                <w:sz w:val="18"/>
                <w:szCs w:val="18"/>
              </w:rPr>
              <w:t xml:space="preserve"> &lt; 35</w:t>
            </w:r>
          </w:p>
        </w:tc>
        <w:tc>
          <w:tcPr>
            <w:tcW w:w="2598" w:type="pct"/>
            <w:vAlign w:val="center"/>
          </w:tcPr>
          <w:p w14:paraId="1A3A25E7" w14:textId="77777777" w:rsidR="003641BB" w:rsidRPr="003641BB" w:rsidRDefault="003641BB" w:rsidP="00786C75">
            <w:pPr>
              <w:jc w:val="center"/>
              <w:rPr>
                <w:sz w:val="18"/>
                <w:szCs w:val="18"/>
              </w:rPr>
            </w:pPr>
            <w:r w:rsidRPr="003641BB">
              <w:rPr>
                <w:sz w:val="18"/>
                <w:szCs w:val="18"/>
              </w:rPr>
              <w:t>Low</w:t>
            </w:r>
          </w:p>
        </w:tc>
      </w:tr>
      <w:tr w:rsidR="003641BB" w:rsidRPr="003641BB" w14:paraId="28A92850" w14:textId="77777777" w:rsidTr="003641BB">
        <w:trPr>
          <w:trHeight w:val="283"/>
          <w:jc w:val="center"/>
        </w:trPr>
        <w:tc>
          <w:tcPr>
            <w:tcW w:w="2402" w:type="pct"/>
            <w:vAlign w:val="center"/>
          </w:tcPr>
          <w:p w14:paraId="22A91E96" w14:textId="77777777" w:rsidR="003641BB" w:rsidRPr="003641BB" w:rsidRDefault="003641BB" w:rsidP="00786C75">
            <w:pPr>
              <w:pStyle w:val="NoSpacing"/>
              <w:jc w:val="center"/>
              <w:rPr>
                <w:rFonts w:ascii="Times New Roman" w:hAnsi="Times New Roman" w:cs="Times New Roman"/>
                <w:sz w:val="18"/>
                <w:szCs w:val="18"/>
              </w:rPr>
            </w:pPr>
            <w:r w:rsidRPr="003641BB">
              <w:rPr>
                <w:rFonts w:ascii="Times New Roman" w:hAnsi="Times New Roman" w:cs="Times New Roman"/>
                <w:sz w:val="18"/>
                <w:szCs w:val="18"/>
              </w:rPr>
              <w:t xml:space="preserve">0 &lt; </w:t>
            </w:r>
            <w:r w:rsidRPr="003641BB">
              <w:rPr>
                <w:rFonts w:ascii="Times New Roman" w:hAnsi="Times New Roman" w:cs="Times New Roman"/>
                <w:i/>
                <w:sz w:val="18"/>
                <w:szCs w:val="18"/>
              </w:rPr>
              <w:t>LSI</w:t>
            </w:r>
            <w:r w:rsidRPr="003641BB">
              <w:rPr>
                <w:rFonts w:ascii="Times New Roman" w:hAnsi="Times New Roman" w:cs="Times New Roman"/>
                <w:sz w:val="18"/>
                <w:szCs w:val="18"/>
              </w:rPr>
              <w:t xml:space="preserve"> &lt; 15</w:t>
            </w:r>
          </w:p>
        </w:tc>
        <w:tc>
          <w:tcPr>
            <w:tcW w:w="2598" w:type="pct"/>
            <w:vAlign w:val="center"/>
          </w:tcPr>
          <w:p w14:paraId="4D0735D6" w14:textId="77777777" w:rsidR="003641BB" w:rsidRPr="003641BB" w:rsidRDefault="003641BB" w:rsidP="00786C75">
            <w:pPr>
              <w:jc w:val="center"/>
              <w:rPr>
                <w:sz w:val="18"/>
                <w:szCs w:val="18"/>
              </w:rPr>
            </w:pPr>
            <w:r w:rsidRPr="003641BB">
              <w:rPr>
                <w:sz w:val="18"/>
                <w:szCs w:val="18"/>
              </w:rPr>
              <w:t>Very low</w:t>
            </w:r>
          </w:p>
        </w:tc>
      </w:tr>
      <w:tr w:rsidR="003641BB" w:rsidRPr="003641BB" w14:paraId="4B20A6F4" w14:textId="77777777" w:rsidTr="003641BB">
        <w:trPr>
          <w:trHeight w:val="283"/>
          <w:jc w:val="center"/>
        </w:trPr>
        <w:tc>
          <w:tcPr>
            <w:tcW w:w="2402" w:type="pct"/>
            <w:vAlign w:val="center"/>
          </w:tcPr>
          <w:p w14:paraId="7C7C492B" w14:textId="77777777" w:rsidR="003641BB" w:rsidRPr="003641BB" w:rsidRDefault="003641BB" w:rsidP="00786C75">
            <w:pPr>
              <w:pStyle w:val="NoSpacing"/>
              <w:jc w:val="center"/>
              <w:rPr>
                <w:rFonts w:ascii="Times New Roman" w:hAnsi="Times New Roman" w:cs="Times New Roman"/>
                <w:sz w:val="18"/>
                <w:szCs w:val="18"/>
              </w:rPr>
            </w:pPr>
            <w:r w:rsidRPr="003641BB">
              <w:rPr>
                <w:rFonts w:ascii="Times New Roman" w:hAnsi="Times New Roman" w:cs="Times New Roman"/>
                <w:i/>
                <w:sz w:val="18"/>
                <w:szCs w:val="18"/>
              </w:rPr>
              <w:t>LSI</w:t>
            </w:r>
            <w:r w:rsidRPr="003641BB">
              <w:rPr>
                <w:rFonts w:ascii="Times New Roman" w:hAnsi="Times New Roman" w:cs="Times New Roman"/>
                <w:sz w:val="18"/>
                <w:szCs w:val="18"/>
              </w:rPr>
              <w:t xml:space="preserve"> = 0</w:t>
            </w:r>
          </w:p>
        </w:tc>
        <w:tc>
          <w:tcPr>
            <w:tcW w:w="2598" w:type="pct"/>
            <w:vAlign w:val="center"/>
          </w:tcPr>
          <w:p w14:paraId="470FFB18" w14:textId="77777777" w:rsidR="003641BB" w:rsidRPr="003641BB" w:rsidRDefault="003641BB" w:rsidP="00786C75">
            <w:pPr>
              <w:jc w:val="center"/>
              <w:rPr>
                <w:sz w:val="18"/>
                <w:szCs w:val="18"/>
              </w:rPr>
            </w:pPr>
            <w:r w:rsidRPr="003641BB">
              <w:rPr>
                <w:sz w:val="18"/>
                <w:szCs w:val="18"/>
              </w:rPr>
              <w:t>Not liquefied</w:t>
            </w:r>
          </w:p>
        </w:tc>
      </w:tr>
    </w:tbl>
    <w:p w14:paraId="3EB1B34F" w14:textId="38303D20" w:rsidR="003641BB" w:rsidRPr="003641BB" w:rsidRDefault="003641BB" w:rsidP="003641BB">
      <w:pPr>
        <w:pStyle w:val="NoSpacing"/>
        <w:jc w:val="center"/>
        <w:rPr>
          <w:rFonts w:ascii="Times New Roman" w:hAnsi="Times New Roman" w:cs="Times New Roman"/>
          <w:i/>
          <w:iCs/>
          <w:sz w:val="18"/>
          <w:szCs w:val="18"/>
        </w:rPr>
      </w:pPr>
    </w:p>
    <w:p w14:paraId="4238C147" w14:textId="77777777" w:rsidR="003641BB" w:rsidRPr="00D81278" w:rsidRDefault="003641BB" w:rsidP="003641BB">
      <w:pPr>
        <w:pStyle w:val="NoSpacing"/>
        <w:ind w:firstLine="284"/>
        <w:jc w:val="both"/>
        <w:rPr>
          <w:rFonts w:ascii="Times New Roman" w:hAnsi="Times New Roman" w:cs="Times New Roman"/>
          <w:i/>
          <w:iCs/>
          <w:sz w:val="20"/>
          <w:szCs w:val="20"/>
        </w:rPr>
      </w:pPr>
      <w:r w:rsidRPr="00D81278">
        <w:rPr>
          <w:rFonts w:ascii="Times New Roman" w:hAnsi="Times New Roman" w:cs="Times New Roman"/>
          <w:i/>
          <w:iCs/>
          <w:sz w:val="20"/>
          <w:szCs w:val="20"/>
        </w:rPr>
        <w:t xml:space="preserve"> </w:t>
      </w:r>
    </w:p>
    <w:p w14:paraId="165BA9FF" w14:textId="407864AC" w:rsidR="003641BB" w:rsidRPr="00D81278" w:rsidRDefault="003641BB" w:rsidP="003641BB">
      <w:pPr>
        <w:pStyle w:val="Paragraph"/>
        <w:rPr>
          <w:i/>
          <w:iCs/>
        </w:rPr>
      </w:pPr>
      <w:r w:rsidRPr="00D81278">
        <w:t>The determination of the liquefaction probability value us</w:t>
      </w:r>
      <w:r w:rsidR="00CF6C90">
        <w:t xml:space="preserve">ed </w:t>
      </w:r>
      <w:r w:rsidRPr="00D81278">
        <w:t>the formula in Equation (7).</w:t>
      </w:r>
    </w:p>
    <w:tbl>
      <w:tblPr>
        <w:tblStyle w:val="TableGrid"/>
        <w:tblW w:w="5124"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4"/>
        <w:gridCol w:w="3919"/>
        <w:gridCol w:w="1469"/>
      </w:tblGrid>
      <w:tr w:rsidR="003641BB" w:rsidRPr="003641BB" w14:paraId="60613199" w14:textId="77777777" w:rsidTr="00786C75">
        <w:trPr>
          <w:trHeight w:val="1072"/>
        </w:trPr>
        <w:tc>
          <w:tcPr>
            <w:tcW w:w="2191" w:type="pct"/>
            <w:vAlign w:val="center"/>
          </w:tcPr>
          <w:p w14:paraId="55955003" w14:textId="77777777" w:rsidR="003641BB" w:rsidRPr="003641BB" w:rsidRDefault="00C7038A" w:rsidP="003641BB">
            <w:pPr>
              <w:pStyle w:val="Paragraph"/>
            </w:pPr>
            <m:oMathPara>
              <m:oMathParaPr>
                <m:jc m:val="center"/>
              </m:oMathParaPr>
              <m:oMath>
                <m:sSub>
                  <m:sSubPr>
                    <m:ctrlPr>
                      <w:rPr>
                        <w:rFonts w:ascii="Cambria Math" w:hAnsi="Cambria Math"/>
                        <w:i/>
                      </w:rPr>
                    </m:ctrlPr>
                  </m:sSubPr>
                  <m:e>
                    <m:r>
                      <m:rPr>
                        <m:nor/>
                      </m:rPr>
                      <w:rPr>
                        <w:i/>
                      </w:rPr>
                      <m:t>P</m:t>
                    </m:r>
                  </m:e>
                  <m:sub>
                    <m:r>
                      <m:rPr>
                        <m:nor/>
                      </m:rPr>
                      <w:rPr>
                        <w:i/>
                      </w:rPr>
                      <m:t>L</m:t>
                    </m:r>
                  </m:sub>
                </m:sSub>
                <m:r>
                  <m:rPr>
                    <m:nor/>
                  </m:rPr>
                  <m:t>(</m:t>
                </m:r>
                <m:r>
                  <m:rPr>
                    <m:nor/>
                  </m:rPr>
                  <w:rPr>
                    <w:i/>
                    <w:iCs/>
                  </w:rPr>
                  <m:t>z</m:t>
                </m:r>
                <m:r>
                  <m:rPr>
                    <m:nor/>
                  </m:rPr>
                  <m:t xml:space="preserve">) = </m:t>
                </m:r>
                <m:f>
                  <m:fPr>
                    <m:ctrlPr>
                      <w:rPr>
                        <w:rFonts w:ascii="Cambria Math" w:hAnsi="Cambria Math"/>
                      </w:rPr>
                    </m:ctrlPr>
                  </m:fPr>
                  <m:num>
                    <m:r>
                      <m:rPr>
                        <m:nor/>
                      </m:rPr>
                      <m:t>1</m:t>
                    </m:r>
                  </m:num>
                  <m:den>
                    <m:r>
                      <m:rPr>
                        <m:nor/>
                      </m:rPr>
                      <m:t xml:space="preserve">1 +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nor/>
                                  </m:rPr>
                                  <w:rPr>
                                    <w:i/>
                                    <w:iCs/>
                                  </w:rPr>
                                  <m:t>SF</m:t>
                                </m:r>
                              </m:num>
                              <m:den>
                                <m:r>
                                  <m:rPr>
                                    <m:nor/>
                                  </m:rPr>
                                  <m:t>0</m:t>
                                </m:r>
                                <m:r>
                                  <m:rPr>
                                    <m:nor/>
                                  </m:rPr>
                                  <w:rPr>
                                    <w:rFonts w:ascii="Cambria Math"/>
                                  </w:rPr>
                                  <m:t>.</m:t>
                                </m:r>
                                <m:r>
                                  <m:rPr>
                                    <m:nor/>
                                  </m:rPr>
                                  <m:t>96</m:t>
                                </m:r>
                              </m:den>
                            </m:f>
                          </m:e>
                        </m:d>
                      </m:e>
                      <m:sup>
                        <m:r>
                          <m:rPr>
                            <m:nor/>
                          </m:rPr>
                          <m:t>4.5</m:t>
                        </m:r>
                      </m:sup>
                    </m:sSup>
                  </m:den>
                </m:f>
              </m:oMath>
            </m:oMathPara>
          </w:p>
        </w:tc>
        <w:tc>
          <w:tcPr>
            <w:tcW w:w="2043" w:type="pct"/>
            <w:vAlign w:val="center"/>
          </w:tcPr>
          <w:p w14:paraId="5C2B5BA7" w14:textId="3BD7C9BE" w:rsidR="003641BB" w:rsidRPr="003641BB" w:rsidRDefault="003641BB" w:rsidP="003641BB">
            <w:pPr>
              <w:pStyle w:val="Paragraph"/>
              <w:jc w:val="left"/>
            </w:pPr>
            <w:r w:rsidRPr="003641BB">
              <w:t xml:space="preserve">For </w:t>
            </w:r>
            <w:r w:rsidRPr="003641BB">
              <w:rPr>
                <w:i/>
                <w:iCs/>
              </w:rPr>
              <w:t>SF</w:t>
            </w:r>
            <w:r w:rsidRPr="003641BB">
              <w:rPr>
                <w:i/>
              </w:rPr>
              <w:t xml:space="preserve"> </w:t>
            </w:r>
            <w:r w:rsidRPr="003641BB">
              <w:rPr>
                <w:u w:val="single"/>
              </w:rPr>
              <w:t>&lt;</w:t>
            </w:r>
            <w:r w:rsidRPr="003641BB">
              <w:t xml:space="preserve"> 1</w:t>
            </w:r>
            <w:r w:rsidR="00B56F67">
              <w:t>.</w:t>
            </w:r>
            <w:r w:rsidRPr="003641BB">
              <w:t>411</w:t>
            </w:r>
          </w:p>
        </w:tc>
        <w:tc>
          <w:tcPr>
            <w:tcW w:w="766" w:type="pct"/>
            <w:vAlign w:val="center"/>
          </w:tcPr>
          <w:p w14:paraId="06680A56" w14:textId="77777777" w:rsidR="003641BB" w:rsidRPr="003641BB" w:rsidRDefault="003641BB" w:rsidP="003641BB">
            <w:pPr>
              <w:pStyle w:val="Paragraph"/>
              <w:ind w:firstLine="0"/>
              <w:jc w:val="center"/>
            </w:pPr>
            <w:r w:rsidRPr="003641BB">
              <w:t>(7)</w:t>
            </w:r>
          </w:p>
        </w:tc>
      </w:tr>
    </w:tbl>
    <w:p w14:paraId="0BB8A8CE" w14:textId="50CE7F3A" w:rsidR="003641BB" w:rsidRPr="00D81278" w:rsidRDefault="003641BB" w:rsidP="003641BB">
      <w:pPr>
        <w:pStyle w:val="Paragraph"/>
      </w:pPr>
      <w:r w:rsidRPr="00D81278">
        <w:t>To determine the LSI value, the formula in equation (8)</w:t>
      </w:r>
      <w:r w:rsidR="00CF6C90">
        <w:t xml:space="preserve"> is used.</w:t>
      </w:r>
    </w:p>
    <w:tbl>
      <w:tblPr>
        <w:tblStyle w:val="TableGrid"/>
        <w:tblW w:w="5000"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1041"/>
      </w:tblGrid>
      <w:tr w:rsidR="003641BB" w:rsidRPr="003641BB" w14:paraId="2AD5B8DD" w14:textId="77777777" w:rsidTr="00786C75">
        <w:trPr>
          <w:trHeight w:val="685"/>
        </w:trPr>
        <w:tc>
          <w:tcPr>
            <w:tcW w:w="4444" w:type="pct"/>
            <w:vAlign w:val="center"/>
          </w:tcPr>
          <w:p w14:paraId="4630A1BB" w14:textId="77777777" w:rsidR="003641BB" w:rsidRPr="003641BB" w:rsidRDefault="003641BB" w:rsidP="003641BB">
            <w:pPr>
              <w:pStyle w:val="Paragraph"/>
            </w:pPr>
            <m:oMathPara>
              <m:oMathParaPr>
                <m:jc m:val="center"/>
              </m:oMathParaPr>
              <m:oMath>
                <m:r>
                  <m:rPr>
                    <m:nor/>
                  </m:rPr>
                  <w:rPr>
                    <w:i/>
                  </w:rPr>
                  <m:t>LSI</m:t>
                </m:r>
                <m:r>
                  <m:rPr>
                    <m:nor/>
                  </m:rPr>
                  <m:t xml:space="preserve"> =</m:t>
                </m:r>
                <m:nary>
                  <m:naryPr>
                    <m:limLoc m:val="subSup"/>
                    <m:ctrlPr>
                      <w:rPr>
                        <w:rFonts w:ascii="Cambria Math" w:hAnsi="Cambria Math"/>
                        <w:iCs/>
                      </w:rPr>
                    </m:ctrlPr>
                  </m:naryPr>
                  <m:sub>
                    <m:r>
                      <m:rPr>
                        <m:nor/>
                      </m:rPr>
                      <w:rPr>
                        <w:iCs/>
                      </w:rPr>
                      <m:t>0</m:t>
                    </m:r>
                  </m:sub>
                  <m:sup>
                    <m:r>
                      <m:rPr>
                        <m:nor/>
                      </m:rPr>
                      <w:rPr>
                        <w:iCs/>
                      </w:rPr>
                      <m:t>20</m:t>
                    </m:r>
                  </m:sup>
                  <m:e>
                    <m:sSub>
                      <m:sSubPr>
                        <m:ctrlPr>
                          <w:rPr>
                            <w:rFonts w:ascii="Cambria Math" w:hAnsi="Cambria Math"/>
                            <w:i/>
                          </w:rPr>
                        </m:ctrlPr>
                      </m:sSubPr>
                      <m:e>
                        <m:r>
                          <m:rPr>
                            <m:nor/>
                          </m:rPr>
                          <w:rPr>
                            <w:i/>
                          </w:rPr>
                          <m:t>P</m:t>
                        </m:r>
                      </m:e>
                      <m:sub>
                        <m:r>
                          <m:rPr>
                            <m:nor/>
                          </m:rPr>
                          <w:rPr>
                            <w:i/>
                          </w:rPr>
                          <m:t>L</m:t>
                        </m:r>
                      </m:sub>
                    </m:sSub>
                    <m:r>
                      <m:rPr>
                        <m:nor/>
                      </m:rPr>
                      <m:t>(</m:t>
                    </m:r>
                    <m:r>
                      <m:rPr>
                        <m:nor/>
                      </m:rPr>
                      <w:rPr>
                        <w:i/>
                        <w:iCs/>
                      </w:rPr>
                      <m:t>z</m:t>
                    </m:r>
                    <m:r>
                      <m:rPr>
                        <m:nor/>
                      </m:rPr>
                      <m:t>)</m:t>
                    </m:r>
                    <m:r>
                      <m:rPr>
                        <m:nor/>
                      </m:rPr>
                      <w:rPr>
                        <w:iCs/>
                      </w:rPr>
                      <m:t xml:space="preserve"> . </m:t>
                    </m:r>
                    <m:r>
                      <m:rPr>
                        <m:nor/>
                      </m:rPr>
                      <w:rPr>
                        <w:i/>
                      </w:rPr>
                      <m:t>w</m:t>
                    </m:r>
                    <m:r>
                      <m:rPr>
                        <m:nor/>
                      </m:rPr>
                      <w:rPr>
                        <w:iCs/>
                      </w:rPr>
                      <m:t>(</m:t>
                    </m:r>
                    <m:r>
                      <m:rPr>
                        <m:nor/>
                      </m:rPr>
                      <w:rPr>
                        <w:i/>
                      </w:rPr>
                      <m:t>z</m:t>
                    </m:r>
                    <m:r>
                      <m:rPr>
                        <m:nor/>
                      </m:rPr>
                      <w:rPr>
                        <w:iCs/>
                      </w:rPr>
                      <m:t xml:space="preserve">) . </m:t>
                    </m:r>
                    <m:r>
                      <m:rPr>
                        <m:nor/>
                      </m:rPr>
                      <w:rPr>
                        <w:i/>
                      </w:rPr>
                      <m:t>dz</m:t>
                    </m:r>
                    <m:r>
                      <m:rPr>
                        <m:nor/>
                      </m:rPr>
                      <w:rPr>
                        <w:iCs/>
                      </w:rPr>
                      <m:t xml:space="preserve"> </m:t>
                    </m:r>
                  </m:e>
                </m:nary>
              </m:oMath>
            </m:oMathPara>
          </w:p>
        </w:tc>
        <w:tc>
          <w:tcPr>
            <w:tcW w:w="556" w:type="pct"/>
            <w:vAlign w:val="center"/>
          </w:tcPr>
          <w:p w14:paraId="52B953EE" w14:textId="77777777" w:rsidR="003641BB" w:rsidRPr="003641BB" w:rsidRDefault="003641BB" w:rsidP="003641BB">
            <w:pPr>
              <w:pStyle w:val="Paragraph"/>
              <w:ind w:firstLine="0"/>
              <w:jc w:val="center"/>
            </w:pPr>
            <w:r w:rsidRPr="003641BB">
              <w:t>(8)</w:t>
            </w:r>
          </w:p>
        </w:tc>
      </w:tr>
    </w:tbl>
    <w:p w14:paraId="6421C33C" w14:textId="77777777" w:rsidR="003641BB" w:rsidRPr="00D81278" w:rsidRDefault="003641BB" w:rsidP="003641BB">
      <w:pPr>
        <w:pStyle w:val="Paragraph"/>
        <w:ind w:firstLine="0"/>
      </w:pPr>
      <w:r w:rsidRPr="00D81278">
        <w:t>where,</w:t>
      </w:r>
    </w:p>
    <w:p w14:paraId="7E4BC38A" w14:textId="77777777" w:rsidR="003641BB" w:rsidRPr="004A44CA" w:rsidRDefault="003641BB" w:rsidP="003641BB">
      <w:pPr>
        <w:pStyle w:val="Paragraph"/>
        <w:ind w:firstLine="0"/>
      </w:pPr>
      <w:r w:rsidRPr="004A44CA">
        <w:rPr>
          <w:color w:val="000000"/>
        </w:rPr>
        <w:t>LSI</w:t>
      </w:r>
      <w:r w:rsidRPr="004A44CA">
        <w:tab/>
        <w:t xml:space="preserve">= </w:t>
      </w:r>
      <w:r w:rsidRPr="004A44CA">
        <w:tab/>
        <w:t>Liquefaction Severity Index</w:t>
      </w:r>
    </w:p>
    <w:p w14:paraId="3B9970CE" w14:textId="77777777" w:rsidR="003641BB" w:rsidRPr="00D81278" w:rsidRDefault="003641BB" w:rsidP="003641BB">
      <w:pPr>
        <w:pStyle w:val="Paragraph"/>
        <w:ind w:firstLine="0"/>
        <w:rPr>
          <w:i/>
          <w:iCs/>
        </w:rPr>
      </w:pPr>
      <w:r w:rsidRPr="00D81278">
        <w:rPr>
          <w:i/>
        </w:rPr>
        <w:t>P</w:t>
      </w:r>
      <w:r w:rsidRPr="00D81278">
        <w:rPr>
          <w:i/>
          <w:vertAlign w:val="subscript"/>
        </w:rPr>
        <w:t>L</w:t>
      </w:r>
      <w:r w:rsidRPr="00D81278">
        <w:t>(</w:t>
      </w:r>
      <w:r w:rsidRPr="00D81278">
        <w:rPr>
          <w:i/>
        </w:rPr>
        <w:t>z</w:t>
      </w:r>
      <w:r w:rsidRPr="00D81278">
        <w:t>)</w:t>
      </w:r>
      <w:r w:rsidRPr="00D81278">
        <w:tab/>
        <w:t xml:space="preserve">= </w:t>
      </w:r>
      <w:r>
        <w:tab/>
      </w:r>
      <w:r w:rsidRPr="00D81278">
        <w:t>Liquefaction probability value based on depth function</w:t>
      </w:r>
    </w:p>
    <w:p w14:paraId="07035ADD" w14:textId="76D49E53" w:rsidR="003641BB" w:rsidRDefault="003641BB" w:rsidP="003641BB">
      <w:pPr>
        <w:pStyle w:val="Paragraph"/>
        <w:ind w:firstLine="0"/>
      </w:pPr>
      <w:r w:rsidRPr="00D81278">
        <w:rPr>
          <w:i/>
        </w:rPr>
        <w:t>z</w:t>
      </w:r>
      <w:r w:rsidRPr="00D81278">
        <w:rPr>
          <w:i/>
        </w:rPr>
        <w:tab/>
      </w:r>
      <w:r w:rsidRPr="00D81278">
        <w:t xml:space="preserve">= </w:t>
      </w:r>
      <w:r w:rsidRPr="00D81278">
        <w:tab/>
        <w:t>Soil depth (m)</w:t>
      </w:r>
    </w:p>
    <w:p w14:paraId="6267CD38" w14:textId="0329136B" w:rsidR="003641BB" w:rsidRDefault="003641BB" w:rsidP="003641BB">
      <w:pPr>
        <w:pStyle w:val="Heading1"/>
      </w:pPr>
      <w:r w:rsidRPr="003641BB">
        <w:t>RESULTS AND DISCUSSION</w:t>
      </w:r>
    </w:p>
    <w:p w14:paraId="59DAA452" w14:textId="4C4B484B" w:rsidR="003641BB" w:rsidRDefault="003641BB" w:rsidP="003641BB">
      <w:pPr>
        <w:pStyle w:val="Paragraph"/>
      </w:pPr>
      <w:r w:rsidRPr="003641BB">
        <w:t>The interpretation of the soil layers based on the conditions in the field is divided into two categories, where</w:t>
      </w:r>
      <w:r w:rsidR="00CF6C90">
        <w:t>as</w:t>
      </w:r>
      <w:r w:rsidRPr="003641BB">
        <w:t xml:space="preserve"> the drilling point of BH 01 is located at the top part of the liquefaction area, </w:t>
      </w:r>
      <w:r w:rsidR="00CF6C90">
        <w:t>and</w:t>
      </w:r>
      <w:r w:rsidRPr="003641BB">
        <w:t xml:space="preserve"> the drilling point of BH 02 is at the north-side of the area and remain</w:t>
      </w:r>
      <w:r w:rsidR="00CF6C90">
        <w:t>ed</w:t>
      </w:r>
      <w:r w:rsidRPr="003641BB">
        <w:t xml:space="preserve"> un-liquified during the 2018 earthquake. From the data interpretation, </w:t>
      </w:r>
      <w:r w:rsidR="00CF6C90">
        <w:t xml:space="preserve">in </w:t>
      </w:r>
      <w:r w:rsidRPr="003641BB">
        <w:t xml:space="preserve">BH 01 </w:t>
      </w:r>
      <w:r w:rsidR="00CF6C90">
        <w:t>it was</w:t>
      </w:r>
      <w:r w:rsidR="00CF6C90" w:rsidRPr="003641BB">
        <w:t xml:space="preserve"> </w:t>
      </w:r>
      <w:r w:rsidRPr="003641BB">
        <w:t xml:space="preserve">generally discovered that most of the soil layers are sand with an average N-SPT &lt; 50. Furthermore, there </w:t>
      </w:r>
      <w:r w:rsidR="00CF6C90">
        <w:t>is</w:t>
      </w:r>
      <w:r w:rsidR="00CF6C90" w:rsidRPr="003641BB">
        <w:t xml:space="preserve"> </w:t>
      </w:r>
      <w:r w:rsidRPr="003641BB">
        <w:t xml:space="preserve">a layer of silt as deep as 2 meters at a depth of 16 meters. Meanwhile, </w:t>
      </w:r>
      <w:r w:rsidR="00CF6C90">
        <w:t xml:space="preserve">in </w:t>
      </w:r>
      <w:r w:rsidRPr="003641BB">
        <w:t>BH 02 it was discovered that the soil layer consis</w:t>
      </w:r>
      <w:r w:rsidR="00CF6C90">
        <w:t xml:space="preserve">ts </w:t>
      </w:r>
      <w:r w:rsidRPr="003641BB">
        <w:t xml:space="preserve">of loose sand with N-SPT &lt; 10 at a depth </w:t>
      </w:r>
      <w:r w:rsidR="00CF6C90">
        <w:t xml:space="preserve">of </w:t>
      </w:r>
      <w:r w:rsidRPr="003641BB">
        <w:t>0 – 6 meters and a hard soil layer at 2, 8 – 20 meters with N-SPT &gt; 30.</w:t>
      </w:r>
    </w:p>
    <w:p w14:paraId="4C3542E3" w14:textId="77777777" w:rsidR="00BF02A4" w:rsidRPr="00BF02A4" w:rsidRDefault="00BF02A4" w:rsidP="00BF02A4">
      <w:pPr>
        <w:pStyle w:val="Heading2"/>
      </w:pPr>
      <w:r>
        <w:t>Seismic Design Analysis</w:t>
      </w:r>
    </w:p>
    <w:p w14:paraId="0E58476E" w14:textId="41BF0545" w:rsidR="00BF02A4" w:rsidRDefault="00BF02A4" w:rsidP="00BF02A4">
      <w:pPr>
        <w:pStyle w:val="Paragraphfirst"/>
        <w:rPr>
          <w:rFonts w:ascii="Times New Roman" w:hAnsi="Times New Roman" w:cs="Times New Roman"/>
          <w:lang w:val="en-US"/>
        </w:rPr>
      </w:pPr>
      <w:r w:rsidRPr="00D81278">
        <w:rPr>
          <w:rFonts w:ascii="Times New Roman" w:hAnsi="Times New Roman"/>
          <w:lang w:val="en-US"/>
        </w:rPr>
        <w:t>Based on the USGS seismic hazard map in the study area, the Peak Ground Acceleration value was 3.2 m/s</w:t>
      </w:r>
      <w:r w:rsidRPr="00D81278">
        <w:rPr>
          <w:rFonts w:ascii="Times New Roman" w:hAnsi="Times New Roman"/>
          <w:vertAlign w:val="superscript"/>
          <w:lang w:val="en-US"/>
        </w:rPr>
        <w:t>2</w:t>
      </w:r>
      <w:r w:rsidRPr="00D81278">
        <w:rPr>
          <w:rFonts w:ascii="Times New Roman" w:hAnsi="Times New Roman"/>
          <w:lang w:val="en-US"/>
        </w:rPr>
        <w:t xml:space="preserve">, </w:t>
      </w:r>
      <w:r>
        <w:rPr>
          <w:rFonts w:ascii="Times New Roman" w:hAnsi="Times New Roman"/>
          <w:lang w:val="en-US"/>
        </w:rPr>
        <w:t xml:space="preserve">this value </w:t>
      </w:r>
      <w:r w:rsidR="00CF6C90">
        <w:rPr>
          <w:rFonts w:ascii="Times New Roman" w:hAnsi="Times New Roman"/>
          <w:lang w:val="en-US"/>
        </w:rPr>
        <w:t xml:space="preserve">was </w:t>
      </w:r>
      <w:r w:rsidRPr="00D81278">
        <w:rPr>
          <w:rFonts w:ascii="Times New Roman" w:hAnsi="Times New Roman"/>
          <w:lang w:val="en-US"/>
        </w:rPr>
        <w:t xml:space="preserve">converted </w:t>
      </w:r>
      <w:r>
        <w:rPr>
          <w:rFonts w:ascii="Times New Roman" w:hAnsi="Times New Roman"/>
          <w:lang w:val="en-US"/>
        </w:rPr>
        <w:t xml:space="preserve">to PGA by dividing </w:t>
      </w:r>
      <w:r w:rsidR="00CF6C90">
        <w:rPr>
          <w:rFonts w:ascii="Times New Roman" w:hAnsi="Times New Roman"/>
          <w:lang w:val="en-US"/>
        </w:rPr>
        <w:t xml:space="preserve">it by </w:t>
      </w:r>
      <w:r>
        <w:rPr>
          <w:rFonts w:ascii="Times New Roman" w:hAnsi="Times New Roman"/>
          <w:lang w:val="en-US"/>
        </w:rPr>
        <w:t xml:space="preserve">9.80665, the result </w:t>
      </w:r>
      <w:r w:rsidR="00CF6C90">
        <w:rPr>
          <w:rFonts w:ascii="Times New Roman" w:hAnsi="Times New Roman"/>
          <w:lang w:val="en-US"/>
        </w:rPr>
        <w:t xml:space="preserve">was </w:t>
      </w:r>
      <w:r>
        <w:rPr>
          <w:rFonts w:ascii="Times New Roman" w:hAnsi="Times New Roman"/>
          <w:lang w:val="en-US"/>
        </w:rPr>
        <w:t xml:space="preserve">0.33 g. </w:t>
      </w:r>
      <w:r w:rsidRPr="00D81278">
        <w:rPr>
          <w:rFonts w:ascii="Times New Roman" w:hAnsi="Times New Roman"/>
          <w:lang w:val="en-US"/>
        </w:rPr>
        <w:t xml:space="preserve">From the results of the seismic design analysis, the maximum peak ground surface acceleration value </w:t>
      </w:r>
      <w:r w:rsidRPr="00D81278">
        <w:rPr>
          <w:rFonts w:cs="Times New Roman"/>
          <w:i/>
          <w:iCs/>
          <w:lang w:val="en-US"/>
        </w:rPr>
        <w:t>a</w:t>
      </w:r>
      <w:r w:rsidRPr="00D81278">
        <w:rPr>
          <w:rFonts w:cs="Times New Roman"/>
          <w:i/>
          <w:iCs/>
          <w:vertAlign w:val="subscript"/>
          <w:lang w:val="en-US"/>
        </w:rPr>
        <w:t xml:space="preserve">max </w:t>
      </w:r>
      <w:r w:rsidRPr="00D81278">
        <w:rPr>
          <w:rFonts w:ascii="Times New Roman" w:hAnsi="Times New Roman"/>
          <w:lang w:val="en-US"/>
        </w:rPr>
        <w:t>was 3.56 m/s</w:t>
      </w:r>
      <w:r w:rsidRPr="00D81278">
        <w:rPr>
          <w:rFonts w:ascii="Times New Roman" w:hAnsi="Times New Roman"/>
          <w:vertAlign w:val="superscript"/>
          <w:lang w:val="en-US"/>
        </w:rPr>
        <w:t>2</w:t>
      </w:r>
      <w:r w:rsidRPr="00D81278">
        <w:rPr>
          <w:rFonts w:ascii="Times New Roman" w:hAnsi="Times New Roman" w:cs="Times New Roman"/>
          <w:lang w:val="en-US"/>
        </w:rPr>
        <w:t>.</w:t>
      </w:r>
    </w:p>
    <w:p w14:paraId="655A50B8" w14:textId="5EEF207C" w:rsidR="00BF02A4" w:rsidRPr="00BB491C" w:rsidRDefault="00BF02A4" w:rsidP="00BF02A4">
      <w:pPr>
        <w:pStyle w:val="Heading2"/>
      </w:pPr>
      <w:r>
        <w:t>Analysis of Liquefaction Potential Using Settle3 Software</w:t>
      </w:r>
    </w:p>
    <w:p w14:paraId="79C36AF5" w14:textId="21C39F28" w:rsidR="00BF02A4" w:rsidRPr="00D81278" w:rsidRDefault="00B56F67" w:rsidP="00B56F67">
      <w:pPr>
        <w:pStyle w:val="Paragraph"/>
      </w:pPr>
      <w:r w:rsidRPr="00BF02A4">
        <w:t xml:space="preserve">The analysis results using </w:t>
      </w:r>
      <w:r w:rsidR="00F1377D">
        <w:t>[17]</w:t>
      </w:r>
      <w:r w:rsidRPr="00BF02A4">
        <w:t xml:space="preserve"> method in Settle3 show that the safety factor of BH 01 has a different value from each type of soil layer analyzed. The layer which is a type of loose sand that has an N-SPT value &lt; 30 indicate</w:t>
      </w:r>
      <w:r w:rsidR="00CF6C90">
        <w:t>s</w:t>
      </w:r>
      <w:r w:rsidRPr="00BF02A4">
        <w:t xml:space="preserve"> </w:t>
      </w:r>
      <w:r w:rsidR="00CF6C90" w:rsidRPr="00BF02A4">
        <w:t>a</w:t>
      </w:r>
      <w:r w:rsidRPr="00BF02A4">
        <w:t xml:space="preserve"> safety factor &lt; 1 at a depth of 2 – 6, 10 – 12, 16, and 10 meters. However</w:t>
      </w:r>
      <w:r w:rsidR="00CF6C90" w:rsidRPr="00BF02A4">
        <w:t>,</w:t>
      </w:r>
      <w:r w:rsidR="00CF6C90">
        <w:t xml:space="preserve"> the safety factor obtained at </w:t>
      </w:r>
      <w:r w:rsidR="00CF6C90" w:rsidRPr="00BF02A4">
        <w:t xml:space="preserve">the depth of 8, 14, and 18 meters </w:t>
      </w:r>
      <w:r w:rsidR="00CF6C90">
        <w:t xml:space="preserve">is </w:t>
      </w:r>
      <w:r w:rsidR="00CF6C90" w:rsidRPr="00BF02A4">
        <w:t>&gt; 1</w:t>
      </w:r>
      <w:r w:rsidRPr="00BF02A4">
        <w:t>. This indicate</w:t>
      </w:r>
      <w:r w:rsidR="00CF6C90">
        <w:t>s</w:t>
      </w:r>
      <w:r w:rsidRPr="00BF02A4">
        <w:t xml:space="preserve"> that there </w:t>
      </w:r>
      <w:r w:rsidR="00CF6C90">
        <w:t>is</w:t>
      </w:r>
      <w:r w:rsidR="00CF6C90" w:rsidRPr="00BF02A4">
        <w:t xml:space="preserve"> </w:t>
      </w:r>
      <w:r w:rsidRPr="00BF02A4">
        <w:t xml:space="preserve">no liquefaction potential at that point. </w:t>
      </w:r>
      <w:r w:rsidR="00BF02A4" w:rsidRPr="00D81278">
        <w:t xml:space="preserve">The analysis results using the Settle3 software at BH 01 can be seen in Figure </w:t>
      </w:r>
      <w:r w:rsidR="00013880">
        <w:t>3</w:t>
      </w:r>
      <w:r w:rsidR="00BF02A4" w:rsidRPr="00D81278">
        <w:t>.</w:t>
      </w:r>
    </w:p>
    <w:p w14:paraId="58EB3C5A" w14:textId="77777777" w:rsidR="00BF02A4" w:rsidRPr="00D81278" w:rsidRDefault="00BF02A4" w:rsidP="00BF02A4">
      <w:pPr>
        <w:pStyle w:val="NoSpacing"/>
        <w:jc w:val="center"/>
        <w:rPr>
          <w:rFonts w:ascii="Times New Roman" w:hAnsi="Times New Roman" w:cs="Times New Roman"/>
          <w:sz w:val="20"/>
          <w:szCs w:val="20"/>
        </w:rPr>
      </w:pPr>
      <w:r w:rsidRPr="00D81278">
        <w:rPr>
          <w:rFonts w:ascii="Times New Roman" w:hAnsi="Times New Roman" w:cs="Times New Roman"/>
          <w:noProof/>
          <w:sz w:val="20"/>
          <w:szCs w:val="20"/>
        </w:rPr>
        <w:lastRenderedPageBreak/>
        <w:drawing>
          <wp:inline distT="0" distB="0" distL="0" distR="0" wp14:anchorId="1EDBD7C5" wp14:editId="1D710EF7">
            <wp:extent cx="3960000" cy="3240000"/>
            <wp:effectExtent l="0" t="0" r="2540" b="0"/>
            <wp:docPr id="1036" name="Picture 14" descr="Graphical user interface,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36" name="Picture 14" descr="Graphical user interface, line chart&#10;&#10;Description automatically generated"/>
                    <pic:cNvPicPr/>
                  </pic:nvPicPr>
                  <pic:blipFill>
                    <a:blip r:embed="rId17" cstate="print"/>
                    <a:srcRect r="33573"/>
                    <a:stretch>
                      <a:fillRect/>
                    </a:stretch>
                  </pic:blipFill>
                  <pic:spPr>
                    <a:xfrm>
                      <a:off x="0" y="0"/>
                      <a:ext cx="3960000" cy="3240000"/>
                    </a:xfrm>
                    <a:prstGeom prst="rect">
                      <a:avLst/>
                    </a:prstGeom>
                    <a:ln>
                      <a:noFill/>
                    </a:ln>
                  </pic:spPr>
                </pic:pic>
              </a:graphicData>
            </a:graphic>
          </wp:inline>
        </w:drawing>
      </w:r>
    </w:p>
    <w:p w14:paraId="38164FC5" w14:textId="055F6BAC" w:rsidR="00BF02A4" w:rsidRDefault="00BF02A4" w:rsidP="00013880">
      <w:pPr>
        <w:pStyle w:val="FigureCaption"/>
      </w:pPr>
      <w:r>
        <w:rPr>
          <w:b/>
          <w:bCs/>
        </w:rPr>
        <w:t xml:space="preserve">FIGURE </w:t>
      </w:r>
      <w:r w:rsidR="00013880">
        <w:rPr>
          <w:b/>
          <w:bCs/>
        </w:rPr>
        <w:t>3</w:t>
      </w:r>
      <w:r w:rsidRPr="00D81278">
        <w:rPr>
          <w:b/>
          <w:bCs/>
        </w:rPr>
        <w:t xml:space="preserve">. </w:t>
      </w:r>
      <w:r w:rsidRPr="00013880">
        <w:t>Graph of safety factor analysis results using Settle3 at BH 01</w:t>
      </w:r>
    </w:p>
    <w:p w14:paraId="38B24D6C" w14:textId="77777777" w:rsidR="00013880" w:rsidRDefault="00013880" w:rsidP="00BF02A4">
      <w:pPr>
        <w:pStyle w:val="Figure"/>
      </w:pPr>
    </w:p>
    <w:p w14:paraId="1966F16D" w14:textId="20E80A46" w:rsidR="00BF02A4" w:rsidRDefault="00013880" w:rsidP="00013880">
      <w:pPr>
        <w:pStyle w:val="Paragraph"/>
        <w:spacing w:before="120"/>
      </w:pPr>
      <w:r w:rsidRPr="00BF02A4">
        <w:t xml:space="preserve">The analysis results using the Settle3 software of BH 02 can be seen in Figure </w:t>
      </w:r>
      <w:r>
        <w:t>4</w:t>
      </w:r>
      <w:r w:rsidRPr="00BF02A4">
        <w:t>.</w:t>
      </w:r>
    </w:p>
    <w:p w14:paraId="42AD7C43" w14:textId="77777777" w:rsidR="00BF02A4" w:rsidRPr="00D81278" w:rsidRDefault="00BF02A4" w:rsidP="00B56F67">
      <w:pPr>
        <w:pStyle w:val="NoSpacing"/>
        <w:jc w:val="center"/>
        <w:rPr>
          <w:rFonts w:ascii="Times New Roman" w:hAnsi="Times New Roman" w:cs="Times New Roman"/>
          <w:sz w:val="20"/>
          <w:szCs w:val="20"/>
        </w:rPr>
      </w:pPr>
      <w:r w:rsidRPr="00D81278">
        <w:rPr>
          <w:rFonts w:ascii="Times New Roman" w:hAnsi="Times New Roman" w:cs="Times New Roman"/>
          <w:noProof/>
          <w:sz w:val="20"/>
          <w:szCs w:val="20"/>
        </w:rPr>
        <w:drawing>
          <wp:inline distT="0" distB="0" distL="0" distR="0" wp14:anchorId="4B917FC9" wp14:editId="4DB8E7D8">
            <wp:extent cx="3960000" cy="3240000"/>
            <wp:effectExtent l="0" t="0" r="2540" b="0"/>
            <wp:docPr id="1037" name="Picture 16"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037" name="Picture 16" descr="Graphical user interface&#10;&#10;Description automatically generated"/>
                    <pic:cNvPicPr/>
                  </pic:nvPicPr>
                  <pic:blipFill>
                    <a:blip r:embed="rId18" cstate="print"/>
                    <a:srcRect l="1" r="33831"/>
                    <a:stretch>
                      <a:fillRect/>
                    </a:stretch>
                  </pic:blipFill>
                  <pic:spPr>
                    <a:xfrm>
                      <a:off x="0" y="0"/>
                      <a:ext cx="3960000" cy="3240000"/>
                    </a:xfrm>
                    <a:prstGeom prst="rect">
                      <a:avLst/>
                    </a:prstGeom>
                    <a:ln>
                      <a:noFill/>
                    </a:ln>
                  </pic:spPr>
                </pic:pic>
              </a:graphicData>
            </a:graphic>
          </wp:inline>
        </w:drawing>
      </w:r>
    </w:p>
    <w:p w14:paraId="4B18466D" w14:textId="028C3AE5" w:rsidR="00B56F67" w:rsidRDefault="00B56F67" w:rsidP="00013880">
      <w:pPr>
        <w:pStyle w:val="FigureCaption"/>
      </w:pPr>
      <w:r>
        <w:rPr>
          <w:b/>
          <w:bCs/>
        </w:rPr>
        <w:t xml:space="preserve">FIGURE </w:t>
      </w:r>
      <w:r w:rsidR="00013880">
        <w:rPr>
          <w:b/>
          <w:bCs/>
        </w:rPr>
        <w:t>4</w:t>
      </w:r>
      <w:r w:rsidR="00BF02A4" w:rsidRPr="00D81278">
        <w:rPr>
          <w:b/>
          <w:bCs/>
        </w:rPr>
        <w:t xml:space="preserve">. </w:t>
      </w:r>
      <w:r w:rsidR="00BF02A4" w:rsidRPr="00D81278">
        <w:t>Graph of SF analysis results using Settle3 at BH 02 point</w:t>
      </w:r>
    </w:p>
    <w:p w14:paraId="2B35BF1F" w14:textId="2E54A355" w:rsidR="00013880" w:rsidRDefault="00013880" w:rsidP="00013880">
      <w:pPr>
        <w:pStyle w:val="Paragraph"/>
        <w:spacing w:before="120"/>
      </w:pPr>
      <w:r>
        <w:t>The</w:t>
      </w:r>
      <w:r w:rsidRPr="00BF02A4">
        <w:t xml:space="preserve"> analysis results of BH 02 using </w:t>
      </w:r>
      <w:r w:rsidR="00F1377D">
        <w:t>[17]</w:t>
      </w:r>
      <w:r w:rsidRPr="00BF02A4">
        <w:t xml:space="preserve"> method in Settle3 show that safety factor at a depth of 4 – 6 meters </w:t>
      </w:r>
      <w:r w:rsidR="00CF6C90">
        <w:t>is</w:t>
      </w:r>
      <w:r w:rsidR="00CF6C90" w:rsidRPr="00BF02A4">
        <w:t xml:space="preserve"> </w:t>
      </w:r>
      <w:r w:rsidRPr="00BF02A4">
        <w:t xml:space="preserve">&lt; 1. Meanwhile, at 8 – 20 meters, the safety factor obtained is &gt; 1. At a depth of 4 – 6 meters, the safety factor </w:t>
      </w:r>
      <w:r w:rsidR="00CF6C90">
        <w:t>is</w:t>
      </w:r>
      <w:r w:rsidR="00CF6C90" w:rsidRPr="00BF02A4">
        <w:t xml:space="preserve"> </w:t>
      </w:r>
      <w:r w:rsidRPr="00BF02A4">
        <w:t xml:space="preserve">very small </w:t>
      </w:r>
      <w:r w:rsidR="00CF6C90">
        <w:t>as</w:t>
      </w:r>
      <w:r w:rsidRPr="00BF02A4">
        <w:t xml:space="preserve"> the type of soil at that depth </w:t>
      </w:r>
      <w:r w:rsidR="00CF6C90">
        <w:t>is</w:t>
      </w:r>
      <w:r w:rsidR="00CF6C90" w:rsidRPr="00BF02A4">
        <w:t xml:space="preserve"> </w:t>
      </w:r>
      <w:r w:rsidRPr="00BF02A4">
        <w:t xml:space="preserve">loose sand. </w:t>
      </w:r>
      <w:r w:rsidR="00CF6C90">
        <w:t>In addition</w:t>
      </w:r>
      <w:r w:rsidRPr="00BF02A4">
        <w:t xml:space="preserve">, at a depth of 8 – 20 meters, the safety </w:t>
      </w:r>
      <w:r w:rsidR="00CF6C90" w:rsidRPr="00BF02A4">
        <w:t xml:space="preserve">factor </w:t>
      </w:r>
      <w:r w:rsidR="00CF6C90">
        <w:t xml:space="preserve">is </w:t>
      </w:r>
      <w:r w:rsidRPr="00BF02A4">
        <w:t xml:space="preserve">&gt; 1 </w:t>
      </w:r>
      <w:r w:rsidR="00CF6C90">
        <w:t>as</w:t>
      </w:r>
      <w:r w:rsidRPr="00BF02A4">
        <w:t xml:space="preserve"> the type of soil is dense sand.</w:t>
      </w:r>
      <w:r>
        <w:t xml:space="preserve"> </w:t>
      </w:r>
    </w:p>
    <w:p w14:paraId="64C81684" w14:textId="7695E8E0" w:rsidR="00B56F67" w:rsidRDefault="00B56F67" w:rsidP="00B56F67">
      <w:pPr>
        <w:pStyle w:val="Heading2"/>
      </w:pPr>
      <w:r w:rsidRPr="00D81278">
        <w:lastRenderedPageBreak/>
        <w:t>Liquefaction Analysis with Liquefaction Potential Index Method</w:t>
      </w:r>
    </w:p>
    <w:p w14:paraId="6B14A868" w14:textId="36B82D19" w:rsidR="00B56F67" w:rsidRDefault="00B56F67" w:rsidP="00B56F67">
      <w:pPr>
        <w:pStyle w:val="Paragraph"/>
      </w:pPr>
      <w:r w:rsidRPr="00D81278">
        <w:t xml:space="preserve">Based on the analysis results, the </w:t>
      </w:r>
      <w:r>
        <w:t>liquefaction potential index (LPI)</w:t>
      </w:r>
      <w:r w:rsidRPr="00D81278">
        <w:t xml:space="preserve"> value was obtained by integrating the value of </w:t>
      </w:r>
      <w:r w:rsidRPr="00FC5CB4">
        <w:rPr>
          <w:i/>
          <w:iCs/>
        </w:rPr>
        <w:t>F.w</w:t>
      </w:r>
      <w:r w:rsidRPr="00D81278">
        <w:t>(</w:t>
      </w:r>
      <w:r w:rsidRPr="00FC5CB4">
        <w:rPr>
          <w:i/>
          <w:iCs/>
        </w:rPr>
        <w:t>z</w:t>
      </w:r>
      <w:r w:rsidRPr="00D81278">
        <w:t xml:space="preserve">) at each depth. This is described by the area bounded by the function </w:t>
      </w:r>
      <w:r w:rsidRPr="00FC5CB4">
        <w:rPr>
          <w:i/>
          <w:iCs/>
        </w:rPr>
        <w:t>F.w</w:t>
      </w:r>
      <w:r w:rsidRPr="00D81278">
        <w:t>(</w:t>
      </w:r>
      <w:r w:rsidRPr="00FC5CB4">
        <w:rPr>
          <w:i/>
          <w:iCs/>
        </w:rPr>
        <w:t>z</w:t>
      </w:r>
      <w:r w:rsidRPr="00D81278">
        <w:t xml:space="preserve">) as the x-axis, and depth as the y-axis. The calculation of the integral function used the trapezoidal area method, therefore the LPI value </w:t>
      </w:r>
      <w:r>
        <w:t xml:space="preserve">of </w:t>
      </w:r>
      <w:r w:rsidRPr="00D81278">
        <w:t>BH 01 ha</w:t>
      </w:r>
      <w:r w:rsidR="00CF6C90">
        <w:t xml:space="preserve">s </w:t>
      </w:r>
      <w:r w:rsidRPr="00D81278">
        <w:t>a larger area of 17.191 and BH 02 ha</w:t>
      </w:r>
      <w:r w:rsidR="00CF6C90">
        <w:t>s</w:t>
      </w:r>
      <w:r w:rsidRPr="00D81278">
        <w:t xml:space="preserve"> an area of 7.546. </w:t>
      </w:r>
      <w:r>
        <w:t>T</w:t>
      </w:r>
      <w:r w:rsidRPr="00D81278">
        <w:t xml:space="preserve">he calculation results show that </w:t>
      </w:r>
      <w:r>
        <w:t>BH 01</w:t>
      </w:r>
      <w:r w:rsidRPr="00D81278">
        <w:t xml:space="preserve"> has a very high category of damage potential according to </w:t>
      </w:r>
      <w:r w:rsidR="00F1377D">
        <w:t>[4]</w:t>
      </w:r>
      <w:r w:rsidRPr="00D81278">
        <w:t xml:space="preserve">, major category or large according to </w:t>
      </w:r>
      <w:r w:rsidR="00F1377D">
        <w:t>[</w:t>
      </w:r>
      <w:r w:rsidR="00D30E2E">
        <w:t>8]</w:t>
      </w:r>
      <w:r w:rsidRPr="00F27530">
        <w:t>, and</w:t>
      </w:r>
      <w:r w:rsidRPr="00D81278">
        <w:t xml:space="preserve"> according to </w:t>
      </w:r>
      <w:r w:rsidR="00D30E2E">
        <w:t>[10]</w:t>
      </w:r>
      <w:r w:rsidRPr="00D81278">
        <w:t xml:space="preserve">, it is a high category in which the LPI value obtained </w:t>
      </w:r>
      <w:r w:rsidR="00CF6C90">
        <w:t>is</w:t>
      </w:r>
      <w:r w:rsidR="00CF6C90" w:rsidRPr="00D81278">
        <w:t xml:space="preserve"> </w:t>
      </w:r>
      <w:r w:rsidRPr="00D81278">
        <w:t>&gt; 15. Meanwhile</w:t>
      </w:r>
      <w:r>
        <w:t xml:space="preserve">, </w:t>
      </w:r>
      <w:r w:rsidRPr="00D81278">
        <w:t xml:space="preserve">BH 02 </w:t>
      </w:r>
      <w:r>
        <w:t>has</w:t>
      </w:r>
      <w:r w:rsidRPr="00D81278">
        <w:t xml:space="preserve"> LPI value ran</w:t>
      </w:r>
      <w:r w:rsidR="00CF6C90">
        <w:t>ging</w:t>
      </w:r>
      <w:r w:rsidRPr="00D81278">
        <w:t xml:space="preserve"> from </w:t>
      </w:r>
      <w:r>
        <w:t>5 – 15</w:t>
      </w:r>
      <w:r w:rsidRPr="00D81278">
        <w:t xml:space="preserve"> which is a high category according to </w:t>
      </w:r>
      <w:r w:rsidR="00D30E2E">
        <w:t>[4]</w:t>
      </w:r>
      <w:r w:rsidRPr="00D81278">
        <w:t xml:space="preserve">, moderate category according to </w:t>
      </w:r>
      <w:r w:rsidR="00D30E2E">
        <w:t>[8]</w:t>
      </w:r>
      <w:r w:rsidRPr="00D81278">
        <w:t xml:space="preserve">, and according to </w:t>
      </w:r>
      <w:r w:rsidR="00D30E2E">
        <w:t>[10]</w:t>
      </w:r>
      <w:r w:rsidR="00CF6C90">
        <w:t>,</w:t>
      </w:r>
      <w:r w:rsidRPr="00D81278">
        <w:t xml:space="preserve"> it is a medium category.</w:t>
      </w:r>
    </w:p>
    <w:p w14:paraId="7BFC0CCF" w14:textId="3CFD7C11" w:rsidR="00B56F67" w:rsidRDefault="00B56F67" w:rsidP="00B56F67">
      <w:pPr>
        <w:pStyle w:val="Paragraph"/>
      </w:pPr>
      <w:r w:rsidRPr="00D81278">
        <w:t xml:space="preserve">The liquefaction Severity Index is </w:t>
      </w:r>
      <w:r>
        <w:t>a</w:t>
      </w:r>
      <w:r w:rsidRPr="00D81278">
        <w:t xml:space="preserve"> method to estimate the damage level due to liquefaction. It is a development of the previous method proposed by </w:t>
      </w:r>
      <w:r w:rsidR="00D30E2E">
        <w:t>[4]</w:t>
      </w:r>
      <w:r>
        <w:t xml:space="preserve">. </w:t>
      </w:r>
      <w:r w:rsidRPr="00D81278">
        <w:t xml:space="preserve">Furthermore, the damage level due to liquefaction using LSI is classified into six categories as listed in Table </w:t>
      </w:r>
      <w:r>
        <w:t>5</w:t>
      </w:r>
      <w:r w:rsidRPr="00D81278">
        <w:t xml:space="preserve"> below.</w:t>
      </w:r>
    </w:p>
    <w:p w14:paraId="5E7954E0" w14:textId="037004F4" w:rsidR="00B56F67" w:rsidRDefault="00B56F67" w:rsidP="00B56F67">
      <w:pPr>
        <w:pStyle w:val="Heading2"/>
      </w:pPr>
      <w:r w:rsidRPr="00D81278">
        <w:t xml:space="preserve">Liquefaction Analysis with Liquefaction </w:t>
      </w:r>
      <w:r>
        <w:t>Severity</w:t>
      </w:r>
      <w:r w:rsidRPr="00D81278">
        <w:t xml:space="preserve"> Index Method</w:t>
      </w:r>
    </w:p>
    <w:p w14:paraId="24521659" w14:textId="7487D587" w:rsidR="00B56F67" w:rsidRDefault="00B56F67" w:rsidP="00B56F67">
      <w:pPr>
        <w:pStyle w:val="Paragraph"/>
      </w:pPr>
      <w:r w:rsidRPr="00D81278">
        <w:t xml:space="preserve">Based on the analysis results, the </w:t>
      </w:r>
      <w:r>
        <w:t>liquefaction severity index (LSI)</w:t>
      </w:r>
      <w:r w:rsidRPr="00D81278">
        <w:t xml:space="preserve"> value was obtained by integrating the </w:t>
      </w:r>
      <w:r w:rsidRPr="00D81278">
        <w:rPr>
          <w:i/>
          <w:iCs/>
        </w:rPr>
        <w:t>PL(z).w</w:t>
      </w:r>
      <w:r w:rsidRPr="00D81278">
        <w:t xml:space="preserve"> value at each depth. This is described by the area bounded by the </w:t>
      </w:r>
      <w:r w:rsidRPr="00D81278">
        <w:rPr>
          <w:i/>
          <w:iCs/>
        </w:rPr>
        <w:t>PL(z).w</w:t>
      </w:r>
      <w:r w:rsidRPr="00D81278">
        <w:t xml:space="preserve"> function as the x-axis, and depth as the y-axis. </w:t>
      </w:r>
      <w:r>
        <w:t>The</w:t>
      </w:r>
      <w:r w:rsidRPr="00D81278">
        <w:t xml:space="preserve"> calculation of the integral function</w:t>
      </w:r>
      <w:r w:rsidR="00CF6C90">
        <w:t xml:space="preserve"> </w:t>
      </w:r>
      <w:r w:rsidRPr="00D81278">
        <w:t xml:space="preserve">implemented the trapezoidal area method. Therefore, the LSI value </w:t>
      </w:r>
      <w:r>
        <w:t>of BH 01</w:t>
      </w:r>
      <w:r w:rsidRPr="00D81278">
        <w:t xml:space="preserve"> ha</w:t>
      </w:r>
      <w:r w:rsidR="00CF6C90">
        <w:t>s</w:t>
      </w:r>
      <w:r w:rsidRPr="00D81278">
        <w:t xml:space="preserve"> a larger area of 32.823</w:t>
      </w:r>
      <w:r w:rsidR="00CF6C90">
        <w:t>.</w:t>
      </w:r>
      <w:r>
        <w:t xml:space="preserve"> </w:t>
      </w:r>
      <w:r w:rsidR="00CF6C90">
        <w:t>I</w:t>
      </w:r>
      <w:r>
        <w:t>t</w:t>
      </w:r>
      <w:r w:rsidRPr="00D81278">
        <w:t xml:space="preserve"> show</w:t>
      </w:r>
      <w:r>
        <w:t>s</w:t>
      </w:r>
      <w:r w:rsidRPr="00D81278">
        <w:t xml:space="preserve"> that the LSI value</w:t>
      </w:r>
      <w:r w:rsidR="00CF6C90">
        <w:t xml:space="preserve"> is</w:t>
      </w:r>
      <w:r w:rsidRPr="00D81278">
        <w:t xml:space="preserve"> in the range of 15 &lt; LSI &lt; 35. </w:t>
      </w:r>
      <w:r w:rsidR="00CF6C90">
        <w:t>As a result</w:t>
      </w:r>
      <w:r w:rsidRPr="00D81278">
        <w:t xml:space="preserve">, the damage level that can be caused by liquefaction is in a low category. Meanwhile, </w:t>
      </w:r>
      <w:r>
        <w:t>BH 02</w:t>
      </w:r>
      <w:r w:rsidRPr="00D81278">
        <w:t xml:space="preserve"> </w:t>
      </w:r>
      <w:r>
        <w:t>has</w:t>
      </w:r>
      <w:r w:rsidRPr="00D81278">
        <w:t xml:space="preserve"> an area of 11.36</w:t>
      </w:r>
      <w:r>
        <w:t xml:space="preserve">8, </w:t>
      </w:r>
      <w:r w:rsidRPr="00D81278">
        <w:t xml:space="preserve">the LSI value obtained </w:t>
      </w:r>
      <w:r w:rsidR="00CF6C90">
        <w:t>is</w:t>
      </w:r>
      <w:r w:rsidR="00CF6C90" w:rsidRPr="00D81278">
        <w:t xml:space="preserve"> </w:t>
      </w:r>
      <w:r w:rsidRPr="00D81278">
        <w:t>in the range of 0 &lt; LSI &lt; 15 which is a very low category.</w:t>
      </w:r>
    </w:p>
    <w:p w14:paraId="63523BAC" w14:textId="3580ABF8" w:rsidR="00B56F67" w:rsidRPr="00B56F67" w:rsidRDefault="00B56F67" w:rsidP="00B56F67">
      <w:pPr>
        <w:pStyle w:val="Paragraph"/>
        <w:spacing w:before="240"/>
        <w:jc w:val="center"/>
        <w:rPr>
          <w:b/>
          <w:bCs/>
          <w:sz w:val="24"/>
          <w:szCs w:val="24"/>
        </w:rPr>
      </w:pPr>
      <w:r w:rsidRPr="00B56F67">
        <w:rPr>
          <w:b/>
          <w:bCs/>
          <w:sz w:val="24"/>
          <w:szCs w:val="24"/>
        </w:rPr>
        <w:t>Mitigation Efforts on Liquefaction Potential</w:t>
      </w:r>
    </w:p>
    <w:p w14:paraId="23CEC532" w14:textId="1A17A4B3" w:rsidR="00B56F67" w:rsidRPr="00D81278" w:rsidRDefault="00B56F67" w:rsidP="00B56F67">
      <w:pPr>
        <w:pStyle w:val="NoSpacing"/>
        <w:spacing w:before="120"/>
        <w:ind w:firstLine="284"/>
        <w:jc w:val="both"/>
        <w:rPr>
          <w:rFonts w:ascii="Times New Roman" w:hAnsi="Times New Roman"/>
          <w:sz w:val="20"/>
          <w:szCs w:val="20"/>
        </w:rPr>
      </w:pPr>
      <w:r w:rsidRPr="00D81278">
        <w:rPr>
          <w:rFonts w:ascii="Times New Roman" w:hAnsi="Times New Roman"/>
          <w:sz w:val="20"/>
          <w:szCs w:val="20"/>
        </w:rPr>
        <w:t>Based on field conditions,</w:t>
      </w:r>
      <w:r>
        <w:rPr>
          <w:rFonts w:ascii="Times New Roman" w:hAnsi="Times New Roman"/>
          <w:sz w:val="20"/>
          <w:szCs w:val="20"/>
        </w:rPr>
        <w:t xml:space="preserve"> </w:t>
      </w:r>
      <w:r w:rsidRPr="00D81278">
        <w:rPr>
          <w:rFonts w:ascii="Times New Roman" w:hAnsi="Times New Roman"/>
          <w:sz w:val="20"/>
          <w:szCs w:val="20"/>
        </w:rPr>
        <w:t xml:space="preserve">BH 01 was an area affected by liquefaction. Therefore, the area is not recommended for </w:t>
      </w:r>
      <w:r w:rsidRPr="00216F79">
        <w:rPr>
          <w:rFonts w:ascii="Times New Roman" w:hAnsi="Times New Roman"/>
          <w:sz w:val="20"/>
          <w:szCs w:val="20"/>
        </w:rPr>
        <w:t xml:space="preserve">rebuilding </w:t>
      </w:r>
      <w:r w:rsidRPr="00D81278">
        <w:rPr>
          <w:rFonts w:ascii="Times New Roman" w:hAnsi="Times New Roman"/>
          <w:sz w:val="20"/>
          <w:szCs w:val="20"/>
        </w:rPr>
        <w:t xml:space="preserve">but can be used as green open spaces. This is based on soil improvement by compacting </w:t>
      </w:r>
      <w:r>
        <w:rPr>
          <w:rFonts w:ascii="Times New Roman" w:hAnsi="Times New Roman"/>
          <w:sz w:val="20"/>
          <w:szCs w:val="20"/>
        </w:rPr>
        <w:t>at ground level</w:t>
      </w:r>
      <w:r w:rsidRPr="00D81278">
        <w:rPr>
          <w:rFonts w:ascii="Times New Roman" w:hAnsi="Times New Roman"/>
          <w:sz w:val="20"/>
          <w:szCs w:val="20"/>
        </w:rPr>
        <w:t xml:space="preserve"> and making drainage to control pore water in the soil.</w:t>
      </w:r>
    </w:p>
    <w:p w14:paraId="77BC3168" w14:textId="6137D0EC" w:rsidR="00B56F67" w:rsidRDefault="00B56F67" w:rsidP="00B56F67">
      <w:pPr>
        <w:pStyle w:val="Paragraph"/>
      </w:pPr>
      <w:r w:rsidRPr="00D81278">
        <w:t xml:space="preserve">The BH 02 an area not affected by liquefaction in the September 28, 2018 earthquake. The soil interpretation results </w:t>
      </w:r>
      <w:r>
        <w:t>show</w:t>
      </w:r>
      <w:r w:rsidRPr="00D81278">
        <w:t xml:space="preserve"> that this point is a </w:t>
      </w:r>
      <w:r>
        <w:t xml:space="preserve">type of </w:t>
      </w:r>
      <w:r w:rsidRPr="00D81278">
        <w:t>loose sand</w:t>
      </w:r>
      <w:r>
        <w:t xml:space="preserve"> </w:t>
      </w:r>
      <w:r w:rsidRPr="00D81278">
        <w:t xml:space="preserve">at a depth of </w:t>
      </w:r>
      <w:r>
        <w:t>4 – 6</w:t>
      </w:r>
      <w:r w:rsidRPr="00D81278">
        <w:t xml:space="preserve"> meters, dense sand soil at a depth of 8 – 20 meters and a shallow groundwater level at 2.10 meters. The results of the liquefaction potential analysis show that the point has liquefaction potential at a depth of 4 – 6 meters, with the value of the damage level based on LPI being a medium category and the damage level caused by liquefaction based on the LSI being a very low category. </w:t>
      </w:r>
      <w:r>
        <w:t>Meanwhile</w:t>
      </w:r>
      <w:r w:rsidRPr="00D81278">
        <w:t>, BH 02</w:t>
      </w:r>
      <w:r>
        <w:t xml:space="preserve"> </w:t>
      </w:r>
      <w:r w:rsidRPr="00D81278">
        <w:t xml:space="preserve">can be stated to have no liquefaction potential. This is due to the analysis results at a depth below the very </w:t>
      </w:r>
      <w:r>
        <w:t>dense</w:t>
      </w:r>
      <w:r w:rsidRPr="00D81278">
        <w:t xml:space="preserve"> soil. Therefore, liquefaction at a depth of 4</w:t>
      </w:r>
      <w:r>
        <w:t xml:space="preserve"> – 6</w:t>
      </w:r>
      <w:r w:rsidRPr="00D81278">
        <w:t xml:space="preserve"> d</w:t>
      </w:r>
      <w:r>
        <w:t>oes</w:t>
      </w:r>
      <w:r w:rsidRPr="00D81278">
        <w:t xml:space="preserve"> not affect the soil above it and cause</w:t>
      </w:r>
      <w:r w:rsidR="00216F79">
        <w:t>s</w:t>
      </w:r>
      <w:r w:rsidRPr="00D81278">
        <w:t xml:space="preserve"> no damage.</w:t>
      </w:r>
    </w:p>
    <w:p w14:paraId="0ED0A316" w14:textId="42976573" w:rsidR="00B56F67" w:rsidRPr="00000814" w:rsidRDefault="00B56F67" w:rsidP="00B56F67">
      <w:pPr>
        <w:pStyle w:val="Heading1"/>
      </w:pPr>
      <w:r>
        <w:t>CONCLUSION</w:t>
      </w:r>
    </w:p>
    <w:p w14:paraId="10B88593" w14:textId="2734BAEB" w:rsidR="00B56F67" w:rsidRPr="00D81278" w:rsidRDefault="00216F79" w:rsidP="00B56F67">
      <w:pPr>
        <w:pStyle w:val="NoSpacing"/>
        <w:ind w:firstLine="284"/>
        <w:jc w:val="both"/>
        <w:rPr>
          <w:rFonts w:ascii="Times New Roman" w:hAnsi="Times New Roman"/>
          <w:sz w:val="20"/>
          <w:szCs w:val="20"/>
        </w:rPr>
      </w:pPr>
      <w:r>
        <w:rPr>
          <w:rFonts w:ascii="Times New Roman" w:hAnsi="Times New Roman"/>
          <w:sz w:val="20"/>
          <w:szCs w:val="20"/>
        </w:rPr>
        <w:t>The a</w:t>
      </w:r>
      <w:r w:rsidR="00B56F67" w:rsidRPr="00D81278">
        <w:rPr>
          <w:rFonts w:ascii="Times New Roman" w:hAnsi="Times New Roman"/>
          <w:sz w:val="20"/>
          <w:szCs w:val="20"/>
        </w:rPr>
        <w:t xml:space="preserve">nalysis of </w:t>
      </w:r>
      <w:r w:rsidR="00B56F67">
        <w:rPr>
          <w:rFonts w:ascii="Times New Roman" w:hAnsi="Times New Roman"/>
          <w:sz w:val="20"/>
          <w:szCs w:val="20"/>
        </w:rPr>
        <w:t>potential liquefaction us</w:t>
      </w:r>
      <w:r>
        <w:rPr>
          <w:rFonts w:ascii="Times New Roman" w:hAnsi="Times New Roman"/>
          <w:sz w:val="20"/>
          <w:szCs w:val="20"/>
        </w:rPr>
        <w:t>ed</w:t>
      </w:r>
      <w:r w:rsidR="00B56F67" w:rsidRPr="00D81278">
        <w:rPr>
          <w:rFonts w:ascii="Times New Roman" w:hAnsi="Times New Roman"/>
          <w:sz w:val="20"/>
          <w:szCs w:val="20"/>
        </w:rPr>
        <w:t xml:space="preserve"> </w:t>
      </w:r>
      <w:r w:rsidR="00D30E2E">
        <w:rPr>
          <w:rFonts w:ascii="Times New Roman" w:hAnsi="Times New Roman"/>
          <w:sz w:val="20"/>
          <w:szCs w:val="20"/>
        </w:rPr>
        <w:t>[17]</w:t>
      </w:r>
      <w:r w:rsidR="00B56F67" w:rsidRPr="00D81278">
        <w:rPr>
          <w:rFonts w:ascii="Times New Roman" w:hAnsi="Times New Roman"/>
          <w:sz w:val="20"/>
          <w:szCs w:val="20"/>
        </w:rPr>
        <w:t xml:space="preserve"> method </w:t>
      </w:r>
      <w:r w:rsidR="00B56F67">
        <w:rPr>
          <w:rFonts w:ascii="Times New Roman" w:hAnsi="Times New Roman"/>
          <w:sz w:val="20"/>
          <w:szCs w:val="20"/>
        </w:rPr>
        <w:t>in Settle3 software</w:t>
      </w:r>
      <w:r>
        <w:rPr>
          <w:rFonts w:ascii="Times New Roman" w:hAnsi="Times New Roman"/>
          <w:sz w:val="20"/>
          <w:szCs w:val="20"/>
        </w:rPr>
        <w:t xml:space="preserve"> and</w:t>
      </w:r>
      <w:r w:rsidR="00B56F67" w:rsidRPr="00D81278">
        <w:rPr>
          <w:rFonts w:ascii="Times New Roman" w:hAnsi="Times New Roman"/>
          <w:sz w:val="20"/>
          <w:szCs w:val="20"/>
        </w:rPr>
        <w:t xml:space="preserve"> </w:t>
      </w:r>
      <w:r w:rsidR="00B56F67">
        <w:rPr>
          <w:rFonts w:ascii="Times New Roman" w:hAnsi="Times New Roman"/>
          <w:sz w:val="20"/>
          <w:szCs w:val="20"/>
        </w:rPr>
        <w:t>t</w:t>
      </w:r>
      <w:r w:rsidR="00B56F67" w:rsidRPr="00D81278">
        <w:rPr>
          <w:rFonts w:ascii="Times New Roman" w:hAnsi="Times New Roman"/>
          <w:sz w:val="20"/>
          <w:szCs w:val="20"/>
        </w:rPr>
        <w:t>he results show that BH 01 ha</w:t>
      </w:r>
      <w:r>
        <w:rPr>
          <w:rFonts w:ascii="Times New Roman" w:hAnsi="Times New Roman"/>
          <w:sz w:val="20"/>
          <w:szCs w:val="20"/>
        </w:rPr>
        <w:t>s</w:t>
      </w:r>
      <w:r w:rsidR="00B56F67" w:rsidRPr="00D81278">
        <w:rPr>
          <w:rFonts w:ascii="Times New Roman" w:hAnsi="Times New Roman"/>
          <w:sz w:val="20"/>
          <w:szCs w:val="20"/>
        </w:rPr>
        <w:t xml:space="preserve"> a high liquefaction potential with </w:t>
      </w:r>
      <w:r w:rsidR="00B56F67">
        <w:rPr>
          <w:rFonts w:ascii="Times New Roman" w:hAnsi="Times New Roman"/>
          <w:sz w:val="20"/>
          <w:szCs w:val="20"/>
        </w:rPr>
        <w:t>safety factor</w:t>
      </w:r>
      <w:r w:rsidR="00B56F67" w:rsidRPr="00D81278">
        <w:rPr>
          <w:rFonts w:ascii="Times New Roman" w:hAnsi="Times New Roman"/>
          <w:sz w:val="20"/>
          <w:szCs w:val="20"/>
        </w:rPr>
        <w:t xml:space="preserve"> &lt; 1 at a certain depth. Meanwhile, </w:t>
      </w:r>
      <w:r w:rsidR="00B56F67">
        <w:rPr>
          <w:rFonts w:ascii="Times New Roman" w:hAnsi="Times New Roman"/>
          <w:sz w:val="20"/>
          <w:szCs w:val="20"/>
        </w:rPr>
        <w:t>BH 02</w:t>
      </w:r>
      <w:r w:rsidR="00B56F67" w:rsidRPr="00D81278">
        <w:rPr>
          <w:rFonts w:ascii="Times New Roman" w:hAnsi="Times New Roman"/>
          <w:sz w:val="20"/>
          <w:szCs w:val="20"/>
        </w:rPr>
        <w:t xml:space="preserve"> </w:t>
      </w:r>
      <w:r w:rsidR="00B56F67">
        <w:rPr>
          <w:rFonts w:ascii="Times New Roman" w:hAnsi="Times New Roman"/>
          <w:sz w:val="20"/>
          <w:szCs w:val="20"/>
        </w:rPr>
        <w:t xml:space="preserve">has </w:t>
      </w:r>
      <w:r w:rsidR="00B56F67" w:rsidRPr="00D81278">
        <w:rPr>
          <w:rFonts w:ascii="Times New Roman" w:hAnsi="Times New Roman"/>
          <w:sz w:val="20"/>
          <w:szCs w:val="20"/>
        </w:rPr>
        <w:t xml:space="preserve">liquefaction potential </w:t>
      </w:r>
      <w:r>
        <w:rPr>
          <w:rFonts w:ascii="Times New Roman" w:hAnsi="Times New Roman"/>
          <w:sz w:val="20"/>
          <w:szCs w:val="20"/>
        </w:rPr>
        <w:t xml:space="preserve">that </w:t>
      </w:r>
      <w:r w:rsidR="00B56F67" w:rsidRPr="00D81278">
        <w:rPr>
          <w:rFonts w:ascii="Times New Roman" w:hAnsi="Times New Roman"/>
          <w:sz w:val="20"/>
          <w:szCs w:val="20"/>
        </w:rPr>
        <w:t xml:space="preserve">only </w:t>
      </w:r>
      <w:r w:rsidRPr="00D81278">
        <w:rPr>
          <w:rFonts w:ascii="Times New Roman" w:hAnsi="Times New Roman"/>
          <w:sz w:val="20"/>
          <w:szCs w:val="20"/>
        </w:rPr>
        <w:t>occurs</w:t>
      </w:r>
      <w:r w:rsidR="00B56F67" w:rsidRPr="00D81278">
        <w:rPr>
          <w:rFonts w:ascii="Times New Roman" w:hAnsi="Times New Roman"/>
          <w:sz w:val="20"/>
          <w:szCs w:val="20"/>
        </w:rPr>
        <w:t xml:space="preserve"> at a depth </w:t>
      </w:r>
      <w:r w:rsidR="00B56F67">
        <w:rPr>
          <w:rFonts w:ascii="Times New Roman" w:hAnsi="Times New Roman"/>
          <w:sz w:val="20"/>
          <w:szCs w:val="20"/>
        </w:rPr>
        <w:t>of</w:t>
      </w:r>
      <w:r w:rsidR="00B56F67" w:rsidRPr="00D81278">
        <w:rPr>
          <w:rFonts w:ascii="Times New Roman" w:hAnsi="Times New Roman"/>
          <w:sz w:val="20"/>
          <w:szCs w:val="20"/>
        </w:rPr>
        <w:t xml:space="preserve"> 4 – 6 meters.</w:t>
      </w:r>
    </w:p>
    <w:p w14:paraId="11E91E8A" w14:textId="22780FE5" w:rsidR="00B56F67" w:rsidRPr="00D81278" w:rsidRDefault="00B56F67" w:rsidP="00B56F67">
      <w:pPr>
        <w:pStyle w:val="NoSpacing"/>
        <w:ind w:firstLine="284"/>
        <w:jc w:val="both"/>
        <w:rPr>
          <w:rFonts w:ascii="Times New Roman" w:hAnsi="Times New Roman"/>
          <w:sz w:val="20"/>
          <w:szCs w:val="20"/>
        </w:rPr>
      </w:pPr>
      <w:r>
        <w:rPr>
          <w:rFonts w:ascii="Times New Roman" w:hAnsi="Times New Roman"/>
          <w:sz w:val="20"/>
          <w:szCs w:val="20"/>
        </w:rPr>
        <w:t>T</w:t>
      </w:r>
      <w:r w:rsidRPr="00D81278">
        <w:rPr>
          <w:rFonts w:ascii="Times New Roman" w:hAnsi="Times New Roman"/>
          <w:sz w:val="20"/>
          <w:szCs w:val="20"/>
        </w:rPr>
        <w:t>he analysis of the damage level due to liquefaction was carried out using the Liquefaction Potential Index (LPI) and Liquefaction Severity Index (LSI) methods</w:t>
      </w:r>
      <w:r>
        <w:rPr>
          <w:rFonts w:ascii="Times New Roman" w:hAnsi="Times New Roman"/>
          <w:sz w:val="20"/>
          <w:szCs w:val="20"/>
        </w:rPr>
        <w:t>, t</w:t>
      </w:r>
      <w:r w:rsidRPr="00D81278">
        <w:rPr>
          <w:rFonts w:ascii="Times New Roman" w:hAnsi="Times New Roman"/>
          <w:sz w:val="20"/>
          <w:szCs w:val="20"/>
        </w:rPr>
        <w:t xml:space="preserve">he results show that </w:t>
      </w:r>
      <w:r>
        <w:rPr>
          <w:rFonts w:ascii="Times New Roman" w:hAnsi="Times New Roman"/>
          <w:sz w:val="20"/>
          <w:szCs w:val="20"/>
        </w:rPr>
        <w:t>BH 01</w:t>
      </w:r>
      <w:r w:rsidRPr="00D81278">
        <w:rPr>
          <w:rFonts w:ascii="Times New Roman" w:hAnsi="Times New Roman"/>
          <w:sz w:val="20"/>
          <w:szCs w:val="20"/>
        </w:rPr>
        <w:t xml:space="preserve"> ha</w:t>
      </w:r>
      <w:r w:rsidR="00216F79">
        <w:rPr>
          <w:rFonts w:ascii="Times New Roman" w:hAnsi="Times New Roman"/>
          <w:sz w:val="20"/>
          <w:szCs w:val="20"/>
        </w:rPr>
        <w:t>s</w:t>
      </w:r>
      <w:r w:rsidRPr="00D81278">
        <w:rPr>
          <w:rFonts w:ascii="Times New Roman" w:hAnsi="Times New Roman"/>
          <w:sz w:val="20"/>
          <w:szCs w:val="20"/>
        </w:rPr>
        <w:t xml:space="preserve"> a very high level of potential damage with the degree of damage due to liquefaction being categorized as low. Meanwhile, </w:t>
      </w:r>
      <w:r w:rsidR="00216F79">
        <w:rPr>
          <w:rFonts w:ascii="Times New Roman" w:hAnsi="Times New Roman"/>
          <w:sz w:val="20"/>
          <w:szCs w:val="20"/>
        </w:rPr>
        <w:t xml:space="preserve">for </w:t>
      </w:r>
      <w:r w:rsidR="00216F79" w:rsidRPr="00D81278">
        <w:rPr>
          <w:rFonts w:ascii="Times New Roman" w:hAnsi="Times New Roman"/>
          <w:sz w:val="20"/>
          <w:szCs w:val="20"/>
        </w:rPr>
        <w:t>BH 02</w:t>
      </w:r>
      <w:r w:rsidR="00216F79">
        <w:rPr>
          <w:rFonts w:ascii="Times New Roman" w:hAnsi="Times New Roman"/>
          <w:sz w:val="20"/>
          <w:szCs w:val="20"/>
        </w:rPr>
        <w:t xml:space="preserve">, the </w:t>
      </w:r>
      <w:r w:rsidRPr="00D81278">
        <w:rPr>
          <w:rFonts w:ascii="Times New Roman" w:hAnsi="Times New Roman"/>
          <w:sz w:val="20"/>
          <w:szCs w:val="20"/>
        </w:rPr>
        <w:t xml:space="preserve">level of potential damage due to liquefaction is in the medium category and the degree of damage that can be caused by liquefaction </w:t>
      </w:r>
      <w:r w:rsidR="00216F79">
        <w:rPr>
          <w:rFonts w:ascii="Times New Roman" w:hAnsi="Times New Roman"/>
          <w:sz w:val="20"/>
          <w:szCs w:val="20"/>
        </w:rPr>
        <w:t>is</w:t>
      </w:r>
      <w:r w:rsidR="00216F79" w:rsidRPr="00D81278">
        <w:rPr>
          <w:rFonts w:ascii="Times New Roman" w:hAnsi="Times New Roman"/>
          <w:sz w:val="20"/>
          <w:szCs w:val="20"/>
        </w:rPr>
        <w:t xml:space="preserve"> </w:t>
      </w:r>
      <w:r w:rsidRPr="00D81278">
        <w:rPr>
          <w:rFonts w:ascii="Times New Roman" w:hAnsi="Times New Roman"/>
          <w:sz w:val="20"/>
          <w:szCs w:val="20"/>
        </w:rPr>
        <w:t xml:space="preserve">categorized as very low. </w:t>
      </w:r>
    </w:p>
    <w:p w14:paraId="4FBF3185" w14:textId="4C9B6A19" w:rsidR="00B56F67" w:rsidRDefault="00B56F67" w:rsidP="00B56F67">
      <w:pPr>
        <w:pStyle w:val="Paragraph"/>
      </w:pPr>
      <w:r w:rsidRPr="00D81278">
        <w:t xml:space="preserve">Based on the analysis results, it </w:t>
      </w:r>
      <w:r w:rsidR="00216F79">
        <w:t>is</w:t>
      </w:r>
      <w:r w:rsidR="00216F79" w:rsidRPr="00D81278">
        <w:t xml:space="preserve"> </w:t>
      </w:r>
      <w:r w:rsidRPr="00D81278">
        <w:t xml:space="preserve">concluded that </w:t>
      </w:r>
      <w:r>
        <w:t>BH 01</w:t>
      </w:r>
      <w:r w:rsidRPr="00D81278">
        <w:t xml:space="preserve"> which ha</w:t>
      </w:r>
      <w:r w:rsidR="00216F79">
        <w:t>s</w:t>
      </w:r>
      <w:r w:rsidRPr="00D81278">
        <w:t xml:space="preserve"> the potential for liquefaction as deep as 20 meters with a very high level of potential damage, is not recommended for rebuilding because </w:t>
      </w:r>
      <w:r>
        <w:t>it is located at the liquefaction</w:t>
      </w:r>
      <w:r w:rsidRPr="00D81278">
        <w:t xml:space="preserve"> area and </w:t>
      </w:r>
      <w:r w:rsidR="00216F79">
        <w:t xml:space="preserve">instead, </w:t>
      </w:r>
      <w:r w:rsidRPr="00D81278">
        <w:t xml:space="preserve">can be used as a green open space. Meanwhile, </w:t>
      </w:r>
      <w:r>
        <w:t>the analysis results of BH 02</w:t>
      </w:r>
      <w:r w:rsidR="00216F79">
        <w:t xml:space="preserve"> shows that it</w:t>
      </w:r>
      <w:r>
        <w:t xml:space="preserve"> has </w:t>
      </w:r>
      <w:r w:rsidRPr="00D81278">
        <w:t xml:space="preserve">the liquefaction potential </w:t>
      </w:r>
      <w:r>
        <w:t>but only</w:t>
      </w:r>
      <w:r w:rsidRPr="00D81278">
        <w:t xml:space="preserve"> at a depth </w:t>
      </w:r>
      <w:r>
        <w:t>of</w:t>
      </w:r>
      <w:r w:rsidRPr="00D81278">
        <w:t xml:space="preserve"> 4 – 6 meters. Therefore, there is no need for repairs because the liquefaction potential </w:t>
      </w:r>
      <w:r w:rsidR="00216F79">
        <w:t>is</w:t>
      </w:r>
      <w:r w:rsidR="00216F79" w:rsidRPr="00D81278">
        <w:t xml:space="preserve"> </w:t>
      </w:r>
      <w:r w:rsidRPr="00D81278">
        <w:t xml:space="preserve">at a depth below the ground surface which is very </w:t>
      </w:r>
      <w:r>
        <w:t>dense soil</w:t>
      </w:r>
      <w:r w:rsidR="00216F79">
        <w:t xml:space="preserve"> </w:t>
      </w:r>
      <w:r w:rsidRPr="00D81278">
        <w:t>and it does not cause damage to the structure above it</w:t>
      </w:r>
      <w:r w:rsidRPr="00D81278">
        <w:rPr>
          <w:color w:val="000000"/>
        </w:rPr>
        <w:t>.</w:t>
      </w:r>
    </w:p>
    <w:p w14:paraId="18861239" w14:textId="2FA59DF7" w:rsidR="00151388" w:rsidRPr="00151388" w:rsidRDefault="00B56F67" w:rsidP="00151388">
      <w:pPr>
        <w:pStyle w:val="Heading1"/>
        <w:rPr>
          <w:b w:val="0"/>
          <w:caps w:val="0"/>
          <w:sz w:val="20"/>
        </w:rPr>
      </w:pPr>
      <w:r w:rsidRPr="00075EA6">
        <w:rPr>
          <w:rFonts w:asciiTheme="majorBidi" w:hAnsiTheme="majorBidi" w:cstheme="majorBidi"/>
        </w:rPr>
        <w:lastRenderedPageBreak/>
        <w:t>References</w:t>
      </w:r>
    </w:p>
    <w:p w14:paraId="47421A12" w14:textId="71F869B7" w:rsidR="00151388" w:rsidRPr="00151388" w:rsidRDefault="00151388" w:rsidP="00151388">
      <w:pPr>
        <w:pStyle w:val="ListParagraph"/>
        <w:widowControl w:val="0"/>
        <w:numPr>
          <w:ilvl w:val="0"/>
          <w:numId w:val="7"/>
        </w:numPr>
        <w:tabs>
          <w:tab w:val="left" w:pos="284"/>
        </w:tabs>
        <w:suppressAutoHyphens/>
        <w:autoSpaceDE w:val="0"/>
        <w:autoSpaceDN w:val="0"/>
        <w:adjustRightInd w:val="0"/>
        <w:spacing w:before="120"/>
        <w:ind w:left="284" w:hanging="284"/>
        <w:jc w:val="both"/>
        <w:rPr>
          <w:sz w:val="20"/>
        </w:rPr>
      </w:pPr>
      <w:r w:rsidRPr="00151388">
        <w:rPr>
          <w:sz w:val="20"/>
        </w:rPr>
        <w:t>Cetin K.O., Seed R.B., Der Kiureghian A., Tokimatsu K., Harder L.F. Jr, Kayen R.E., MossR.E.S</w:t>
      </w:r>
      <w:r w:rsidR="00BF5128">
        <w:rPr>
          <w:sz w:val="20"/>
        </w:rPr>
        <w:t>.</w:t>
      </w:r>
      <w:r w:rsidRPr="00151388">
        <w:rPr>
          <w:sz w:val="20"/>
        </w:rPr>
        <w:t xml:space="preserve"> </w:t>
      </w:r>
      <w:r w:rsidRPr="00BF5128">
        <w:rPr>
          <w:sz w:val="20"/>
        </w:rPr>
        <w:t>Journal of Geotechnical and Geoenvironmental Engineering</w:t>
      </w:r>
      <w:r w:rsidRPr="00151388">
        <w:rPr>
          <w:sz w:val="20"/>
        </w:rPr>
        <w:t xml:space="preserve">, </w:t>
      </w:r>
      <w:r w:rsidR="0064043E">
        <w:rPr>
          <w:sz w:val="20"/>
        </w:rPr>
        <w:t>(</w:t>
      </w:r>
      <w:r w:rsidRPr="00151388">
        <w:rPr>
          <w:sz w:val="20"/>
        </w:rPr>
        <w:t xml:space="preserve">ASCE, </w:t>
      </w:r>
      <w:r w:rsidRPr="00BF5128">
        <w:rPr>
          <w:b/>
          <w:bCs/>
          <w:sz w:val="20"/>
        </w:rPr>
        <w:t>130</w:t>
      </w:r>
      <w:r w:rsidRPr="00151388">
        <w:rPr>
          <w:sz w:val="20"/>
        </w:rPr>
        <w:t>(</w:t>
      </w:r>
      <w:r w:rsidRPr="00BF5128">
        <w:rPr>
          <w:b/>
          <w:bCs/>
          <w:sz w:val="20"/>
        </w:rPr>
        <w:t>12</w:t>
      </w:r>
      <w:r w:rsidRPr="00151388">
        <w:rPr>
          <w:sz w:val="20"/>
        </w:rPr>
        <w:t xml:space="preserve">), </w:t>
      </w:r>
      <w:r w:rsidR="008E09F6">
        <w:rPr>
          <w:sz w:val="20"/>
        </w:rPr>
        <w:t>2004</w:t>
      </w:r>
      <w:r w:rsidR="0064043E">
        <w:rPr>
          <w:sz w:val="20"/>
        </w:rPr>
        <w:t>)</w:t>
      </w:r>
      <w:r w:rsidR="008E09F6">
        <w:rPr>
          <w:sz w:val="20"/>
        </w:rPr>
        <w:t xml:space="preserve">, pp. </w:t>
      </w:r>
      <w:r w:rsidRPr="008E09F6">
        <w:rPr>
          <w:sz w:val="20"/>
        </w:rPr>
        <w:t>1314-1340</w:t>
      </w:r>
      <w:r w:rsidR="0064043E">
        <w:rPr>
          <w:sz w:val="20"/>
        </w:rPr>
        <w:t>.</w:t>
      </w:r>
    </w:p>
    <w:p w14:paraId="61FB3F6E" w14:textId="067DFBC2" w:rsidR="00151388" w:rsidRDefault="00151388" w:rsidP="00151388">
      <w:pPr>
        <w:pStyle w:val="ListParagraph"/>
        <w:widowControl w:val="0"/>
        <w:numPr>
          <w:ilvl w:val="0"/>
          <w:numId w:val="7"/>
        </w:numPr>
        <w:tabs>
          <w:tab w:val="left" w:pos="284"/>
        </w:tabs>
        <w:suppressAutoHyphens/>
        <w:autoSpaceDE w:val="0"/>
        <w:autoSpaceDN w:val="0"/>
        <w:adjustRightInd w:val="0"/>
        <w:spacing w:before="120"/>
        <w:ind w:left="284" w:hanging="284"/>
        <w:jc w:val="both"/>
        <w:rPr>
          <w:sz w:val="20"/>
        </w:rPr>
      </w:pPr>
      <w:r w:rsidRPr="00151388">
        <w:rPr>
          <w:noProof/>
          <w:sz w:val="20"/>
        </w:rPr>
        <w:t xml:space="preserve">Fathani, T. F., Adi, A. D., Pramumijoyo, S., &amp; Karnawati, D. </w:t>
      </w:r>
      <w:r w:rsidR="00E93D9C">
        <w:rPr>
          <w:noProof/>
          <w:sz w:val="20"/>
        </w:rPr>
        <w:t>“</w:t>
      </w:r>
      <w:r w:rsidRPr="00151388">
        <w:rPr>
          <w:noProof/>
          <w:sz w:val="20"/>
        </w:rPr>
        <w:t>The Determination of Peak Ground Acceleration at Bantul Regency , Yogyakarta Province , Indonesia</w:t>
      </w:r>
      <w:r w:rsidR="00E93D9C">
        <w:rPr>
          <w:noProof/>
          <w:sz w:val="20"/>
        </w:rPr>
        <w:t>”</w:t>
      </w:r>
      <w:r w:rsidR="008E09F6">
        <w:rPr>
          <w:noProof/>
          <w:sz w:val="20"/>
        </w:rPr>
        <w:t>, in</w:t>
      </w:r>
      <w:r w:rsidRPr="00151388">
        <w:rPr>
          <w:noProof/>
          <w:sz w:val="20"/>
        </w:rPr>
        <w:t xml:space="preserve"> </w:t>
      </w:r>
      <w:r w:rsidRPr="008E09F6">
        <w:rPr>
          <w:noProof/>
          <w:sz w:val="20"/>
        </w:rPr>
        <w:t>The Yogyakarta Earthquake of May 27, 2006</w:t>
      </w:r>
      <w:r w:rsidRPr="00151388">
        <w:rPr>
          <w:noProof/>
          <w:sz w:val="20"/>
        </w:rPr>
        <w:t xml:space="preserve">, </w:t>
      </w:r>
      <w:r w:rsidR="008E09F6">
        <w:rPr>
          <w:noProof/>
          <w:sz w:val="20"/>
        </w:rPr>
        <w:t xml:space="preserve">pp. </w:t>
      </w:r>
      <w:r w:rsidRPr="008E09F6">
        <w:rPr>
          <w:noProof/>
          <w:sz w:val="20"/>
        </w:rPr>
        <w:t>1–15</w:t>
      </w:r>
      <w:r w:rsidR="008E09F6">
        <w:rPr>
          <w:noProof/>
          <w:sz w:val="20"/>
        </w:rPr>
        <w:t xml:space="preserve">, </w:t>
      </w:r>
      <w:r w:rsidRPr="00151388">
        <w:rPr>
          <w:noProof/>
          <w:sz w:val="20"/>
        </w:rPr>
        <w:t>2008</w:t>
      </w:r>
      <w:r w:rsidR="008E09F6">
        <w:rPr>
          <w:noProof/>
          <w:sz w:val="20"/>
        </w:rPr>
        <w:t>.</w:t>
      </w:r>
    </w:p>
    <w:p w14:paraId="33F29959" w14:textId="08E27090" w:rsidR="00C15FAB" w:rsidRPr="00C15FAB" w:rsidRDefault="00C15FAB" w:rsidP="00C15FAB">
      <w:pPr>
        <w:pStyle w:val="ListParagraph"/>
        <w:widowControl w:val="0"/>
        <w:numPr>
          <w:ilvl w:val="0"/>
          <w:numId w:val="7"/>
        </w:numPr>
        <w:autoSpaceDE w:val="0"/>
        <w:autoSpaceDN w:val="0"/>
        <w:adjustRightInd w:val="0"/>
        <w:ind w:left="284" w:hanging="284"/>
        <w:jc w:val="both"/>
        <w:rPr>
          <w:noProof/>
          <w:sz w:val="20"/>
        </w:rPr>
      </w:pPr>
      <w:r w:rsidRPr="00C15FAB">
        <w:rPr>
          <w:noProof/>
          <w:sz w:val="20"/>
        </w:rPr>
        <w:t>Hidayat, R. F., Kiyota, T., Tada, N., Hayakawa, J., &amp; Nawir, H.</w:t>
      </w:r>
      <w:r>
        <w:rPr>
          <w:noProof/>
          <w:sz w:val="20"/>
        </w:rPr>
        <w:t xml:space="preserve"> “</w:t>
      </w:r>
      <w:r w:rsidRPr="00C15FAB">
        <w:rPr>
          <w:noProof/>
          <w:sz w:val="20"/>
        </w:rPr>
        <w:t xml:space="preserve">Reconnaissance on </w:t>
      </w:r>
      <w:r>
        <w:rPr>
          <w:noProof/>
          <w:sz w:val="20"/>
        </w:rPr>
        <w:t>L</w:t>
      </w:r>
      <w:r w:rsidRPr="00C15FAB">
        <w:rPr>
          <w:noProof/>
          <w:sz w:val="20"/>
        </w:rPr>
        <w:t xml:space="preserve">iquefaction-induced </w:t>
      </w:r>
      <w:r>
        <w:rPr>
          <w:noProof/>
          <w:sz w:val="20"/>
        </w:rPr>
        <w:t>F</w:t>
      </w:r>
      <w:r w:rsidRPr="00C15FAB">
        <w:rPr>
          <w:noProof/>
          <w:sz w:val="20"/>
        </w:rPr>
        <w:t xml:space="preserve">low </w:t>
      </w:r>
      <w:r>
        <w:rPr>
          <w:noProof/>
          <w:sz w:val="20"/>
        </w:rPr>
        <w:t>F</w:t>
      </w:r>
      <w:r w:rsidRPr="00C15FAB">
        <w:rPr>
          <w:noProof/>
          <w:sz w:val="20"/>
        </w:rPr>
        <w:t xml:space="preserve">ailure caused by </w:t>
      </w:r>
      <w:r>
        <w:rPr>
          <w:noProof/>
          <w:sz w:val="20"/>
        </w:rPr>
        <w:t>T</w:t>
      </w:r>
      <w:r w:rsidRPr="00C15FAB">
        <w:rPr>
          <w:noProof/>
          <w:sz w:val="20"/>
        </w:rPr>
        <w:t xml:space="preserve">he 2018 Mw 7.5 </w:t>
      </w:r>
      <w:r>
        <w:rPr>
          <w:noProof/>
          <w:sz w:val="20"/>
        </w:rPr>
        <w:t>S</w:t>
      </w:r>
      <w:r w:rsidRPr="00C15FAB">
        <w:rPr>
          <w:noProof/>
          <w:sz w:val="20"/>
        </w:rPr>
        <w:t xml:space="preserve">ulawesi </w:t>
      </w:r>
      <w:r>
        <w:rPr>
          <w:noProof/>
          <w:sz w:val="20"/>
        </w:rPr>
        <w:t>E</w:t>
      </w:r>
      <w:r w:rsidRPr="00C15FAB">
        <w:rPr>
          <w:noProof/>
          <w:sz w:val="20"/>
        </w:rPr>
        <w:t xml:space="preserve">arthquake, </w:t>
      </w:r>
      <w:r>
        <w:rPr>
          <w:noProof/>
          <w:sz w:val="20"/>
        </w:rPr>
        <w:t>P</w:t>
      </w:r>
      <w:r w:rsidRPr="00C15FAB">
        <w:rPr>
          <w:noProof/>
          <w:sz w:val="20"/>
        </w:rPr>
        <w:t>alu, Indonesia</w:t>
      </w:r>
      <w:r>
        <w:rPr>
          <w:noProof/>
          <w:sz w:val="20"/>
        </w:rPr>
        <w:t>”</w:t>
      </w:r>
      <w:r w:rsidRPr="00C15FAB">
        <w:rPr>
          <w:noProof/>
          <w:sz w:val="20"/>
        </w:rPr>
        <w:t xml:space="preserve">. </w:t>
      </w:r>
      <w:r w:rsidRPr="008E09F6">
        <w:rPr>
          <w:noProof/>
          <w:sz w:val="20"/>
        </w:rPr>
        <w:t>Journal of Engineering and Technological Sciences</w:t>
      </w:r>
      <w:r w:rsidRPr="008E09F6">
        <w:rPr>
          <w:b/>
          <w:bCs/>
          <w:noProof/>
          <w:sz w:val="20"/>
        </w:rPr>
        <w:t>, 52</w:t>
      </w:r>
      <w:r w:rsidRPr="008E09F6">
        <w:rPr>
          <w:noProof/>
          <w:sz w:val="20"/>
        </w:rPr>
        <w:t>(</w:t>
      </w:r>
      <w:r w:rsidRPr="008E09F6">
        <w:rPr>
          <w:b/>
          <w:bCs/>
          <w:noProof/>
          <w:sz w:val="20"/>
        </w:rPr>
        <w:t>1</w:t>
      </w:r>
      <w:r w:rsidRPr="008E09F6">
        <w:rPr>
          <w:noProof/>
          <w:sz w:val="20"/>
        </w:rPr>
        <w:t>),</w:t>
      </w:r>
      <w:r w:rsidR="008E09F6">
        <w:rPr>
          <w:noProof/>
          <w:sz w:val="20"/>
        </w:rPr>
        <w:t xml:space="preserve"> 2020,</w:t>
      </w:r>
      <w:r w:rsidRPr="008E09F6">
        <w:rPr>
          <w:noProof/>
          <w:sz w:val="20"/>
        </w:rPr>
        <w:t xml:space="preserve"> </w:t>
      </w:r>
      <w:r w:rsidR="008E09F6">
        <w:rPr>
          <w:noProof/>
          <w:sz w:val="20"/>
        </w:rPr>
        <w:t xml:space="preserve">pp. </w:t>
      </w:r>
      <w:r w:rsidRPr="008E09F6">
        <w:rPr>
          <w:noProof/>
          <w:sz w:val="20"/>
        </w:rPr>
        <w:t>51–65</w:t>
      </w:r>
      <w:r w:rsidR="008E09F6">
        <w:rPr>
          <w:noProof/>
          <w:sz w:val="20"/>
        </w:rPr>
        <w:t>.</w:t>
      </w:r>
    </w:p>
    <w:p w14:paraId="7EBD45D5" w14:textId="0327E526" w:rsidR="00151388" w:rsidRDefault="00151388" w:rsidP="00151388">
      <w:pPr>
        <w:pStyle w:val="ListParagraph"/>
        <w:widowControl w:val="0"/>
        <w:numPr>
          <w:ilvl w:val="0"/>
          <w:numId w:val="7"/>
        </w:numPr>
        <w:tabs>
          <w:tab w:val="left" w:pos="284"/>
        </w:tabs>
        <w:suppressAutoHyphens/>
        <w:autoSpaceDE w:val="0"/>
        <w:autoSpaceDN w:val="0"/>
        <w:adjustRightInd w:val="0"/>
        <w:spacing w:before="120"/>
        <w:ind w:left="284" w:hanging="284"/>
        <w:jc w:val="both"/>
        <w:rPr>
          <w:sz w:val="20"/>
        </w:rPr>
      </w:pPr>
      <w:r w:rsidRPr="00151388">
        <w:rPr>
          <w:sz w:val="20"/>
        </w:rPr>
        <w:t xml:space="preserve">Iwasaki, T., Arakawa, T., &amp; Tokida, K. </w:t>
      </w:r>
      <w:r w:rsidR="00E93D9C">
        <w:rPr>
          <w:sz w:val="20"/>
        </w:rPr>
        <w:t>“</w:t>
      </w:r>
      <w:r w:rsidRPr="00E93D9C">
        <w:rPr>
          <w:sz w:val="20"/>
        </w:rPr>
        <w:t>Simplified Procedures for Assessing Soil Liquefaction during Earthquakes</w:t>
      </w:r>
      <w:r w:rsidR="00E93D9C">
        <w:rPr>
          <w:sz w:val="20"/>
        </w:rPr>
        <w:t>”</w:t>
      </w:r>
      <w:r w:rsidRPr="00151388">
        <w:rPr>
          <w:sz w:val="20"/>
        </w:rPr>
        <w:t xml:space="preserve">, </w:t>
      </w:r>
      <w:r w:rsidRPr="008E09F6">
        <w:rPr>
          <w:b/>
          <w:bCs/>
          <w:sz w:val="20"/>
        </w:rPr>
        <w:t>3</w:t>
      </w:r>
      <w:r w:rsidRPr="00151388">
        <w:rPr>
          <w:sz w:val="20"/>
        </w:rPr>
        <w:t>(</w:t>
      </w:r>
      <w:r w:rsidRPr="008E09F6">
        <w:rPr>
          <w:b/>
          <w:bCs/>
          <w:sz w:val="20"/>
        </w:rPr>
        <w:t>1</w:t>
      </w:r>
      <w:r w:rsidRPr="00151388">
        <w:rPr>
          <w:sz w:val="20"/>
        </w:rPr>
        <w:t>),</w:t>
      </w:r>
      <w:r w:rsidR="008E09F6">
        <w:rPr>
          <w:sz w:val="20"/>
        </w:rPr>
        <w:t xml:space="preserve"> 1984,</w:t>
      </w:r>
      <w:r w:rsidRPr="00151388">
        <w:rPr>
          <w:sz w:val="20"/>
        </w:rPr>
        <w:t xml:space="preserve"> </w:t>
      </w:r>
      <w:r w:rsidR="008E09F6">
        <w:rPr>
          <w:sz w:val="20"/>
        </w:rPr>
        <w:t xml:space="preserve">pp. </w:t>
      </w:r>
      <w:r w:rsidRPr="00151388">
        <w:rPr>
          <w:sz w:val="20"/>
        </w:rPr>
        <w:t>49–58</w:t>
      </w:r>
      <w:r w:rsidR="008E09F6">
        <w:rPr>
          <w:sz w:val="20"/>
        </w:rPr>
        <w:t>.</w:t>
      </w:r>
    </w:p>
    <w:p w14:paraId="34F09563" w14:textId="0811D2B1" w:rsidR="00C15FAB" w:rsidRPr="00C15FAB" w:rsidRDefault="00C15FAB" w:rsidP="00C15FAB">
      <w:pPr>
        <w:pStyle w:val="ListParagraph"/>
        <w:widowControl w:val="0"/>
        <w:numPr>
          <w:ilvl w:val="0"/>
          <w:numId w:val="7"/>
        </w:numPr>
        <w:autoSpaceDE w:val="0"/>
        <w:autoSpaceDN w:val="0"/>
        <w:adjustRightInd w:val="0"/>
        <w:ind w:left="284" w:hanging="284"/>
        <w:jc w:val="both"/>
        <w:rPr>
          <w:noProof/>
          <w:sz w:val="20"/>
        </w:rPr>
      </w:pPr>
      <w:r w:rsidRPr="00C15FAB">
        <w:rPr>
          <w:noProof/>
          <w:sz w:val="20"/>
        </w:rPr>
        <w:t>Jalil, A., Fathani, T. F., Satyarno, I., &amp; Wilopo, W.</w:t>
      </w:r>
      <w:r>
        <w:rPr>
          <w:noProof/>
          <w:sz w:val="20"/>
        </w:rPr>
        <w:t xml:space="preserve"> “</w:t>
      </w:r>
      <w:r w:rsidRPr="00C15FAB">
        <w:rPr>
          <w:noProof/>
          <w:sz w:val="20"/>
        </w:rPr>
        <w:t>Liquefaction in Palu : The Cause of Massive Mudflows</w:t>
      </w:r>
      <w:r>
        <w:rPr>
          <w:noProof/>
          <w:sz w:val="20"/>
        </w:rPr>
        <w:t>”,</w:t>
      </w:r>
      <w:r w:rsidRPr="00C15FAB">
        <w:rPr>
          <w:noProof/>
          <w:sz w:val="20"/>
        </w:rPr>
        <w:t xml:space="preserve"> </w:t>
      </w:r>
      <w:r w:rsidR="008E09F6">
        <w:rPr>
          <w:noProof/>
          <w:sz w:val="20"/>
        </w:rPr>
        <w:t xml:space="preserve">in </w:t>
      </w:r>
      <w:r w:rsidR="008B4C64" w:rsidRPr="008E09F6">
        <w:rPr>
          <w:noProof/>
          <w:sz w:val="20"/>
        </w:rPr>
        <w:t>Journal of Geoenvironmental Disasters</w:t>
      </w:r>
      <w:r w:rsidR="0064043E">
        <w:rPr>
          <w:noProof/>
          <w:sz w:val="20"/>
        </w:rPr>
        <w:t xml:space="preserve"> (</w:t>
      </w:r>
      <w:r w:rsidR="008B4C64">
        <w:rPr>
          <w:noProof/>
          <w:sz w:val="20"/>
        </w:rPr>
        <w:t>2</w:t>
      </w:r>
      <w:r>
        <w:rPr>
          <w:noProof/>
          <w:sz w:val="20"/>
        </w:rPr>
        <w:t>020</w:t>
      </w:r>
      <w:r w:rsidR="0064043E">
        <w:rPr>
          <w:noProof/>
          <w:sz w:val="20"/>
        </w:rPr>
        <w:t>)</w:t>
      </w:r>
      <w:r w:rsidR="008E09F6">
        <w:rPr>
          <w:noProof/>
          <w:sz w:val="20"/>
        </w:rPr>
        <w:t>.</w:t>
      </w:r>
    </w:p>
    <w:p w14:paraId="3E2D0BA4" w14:textId="1799F472" w:rsidR="00151388" w:rsidRPr="00151388" w:rsidRDefault="00151388" w:rsidP="00151388">
      <w:pPr>
        <w:pStyle w:val="NormalWeb"/>
        <w:numPr>
          <w:ilvl w:val="0"/>
          <w:numId w:val="7"/>
        </w:numPr>
        <w:tabs>
          <w:tab w:val="left" w:pos="284"/>
        </w:tabs>
        <w:ind w:left="284" w:hanging="284"/>
        <w:jc w:val="both"/>
        <w:rPr>
          <w:sz w:val="20"/>
        </w:rPr>
      </w:pPr>
      <w:r w:rsidRPr="00151388">
        <w:rPr>
          <w:sz w:val="20"/>
          <w:szCs w:val="20"/>
        </w:rPr>
        <w:t xml:space="preserve">Kayen, R. E, Mitchell, J. K., Seed, R. B.’ Lodge, A., Nishio, S., and Coutinho, R. </w:t>
      </w:r>
      <w:r w:rsidR="00E93D9C">
        <w:rPr>
          <w:sz w:val="20"/>
          <w:szCs w:val="20"/>
        </w:rPr>
        <w:t>“</w:t>
      </w:r>
      <w:r w:rsidRPr="00151388">
        <w:rPr>
          <w:sz w:val="20"/>
          <w:szCs w:val="20"/>
        </w:rPr>
        <w:t>Evaluation of SPT-, CPT-, and shear wave-based methods for liquefaction potential assessment using Loma Prieta data</w:t>
      </w:r>
      <w:r w:rsidR="00E93D9C">
        <w:rPr>
          <w:sz w:val="20"/>
          <w:szCs w:val="20"/>
        </w:rPr>
        <w:t>”</w:t>
      </w:r>
      <w:r w:rsidRPr="00151388">
        <w:rPr>
          <w:sz w:val="20"/>
          <w:szCs w:val="20"/>
        </w:rPr>
        <w:t xml:space="preserve">, </w:t>
      </w:r>
      <w:r w:rsidR="008E09F6">
        <w:rPr>
          <w:sz w:val="20"/>
          <w:szCs w:val="20"/>
        </w:rPr>
        <w:t xml:space="preserve">ini </w:t>
      </w:r>
      <w:r w:rsidRPr="008E09F6">
        <w:rPr>
          <w:sz w:val="20"/>
          <w:szCs w:val="20"/>
        </w:rPr>
        <w:t>Proc., 4</w:t>
      </w:r>
      <w:r w:rsidRPr="008E09F6">
        <w:rPr>
          <w:position w:val="6"/>
          <w:sz w:val="20"/>
          <w:szCs w:val="20"/>
        </w:rPr>
        <w:t xml:space="preserve">th </w:t>
      </w:r>
      <w:r w:rsidRPr="008E09F6">
        <w:rPr>
          <w:sz w:val="20"/>
          <w:szCs w:val="20"/>
        </w:rPr>
        <w:t>Japan-U.S. Workshop on Earthquake-Resistant Des. Of Lifeline Fac. And Counterneasures for Soil Liquefaction</w:t>
      </w:r>
      <w:r w:rsidRPr="00151388">
        <w:rPr>
          <w:sz w:val="20"/>
          <w:szCs w:val="20"/>
        </w:rPr>
        <w:t xml:space="preserve">, </w:t>
      </w:r>
      <w:r w:rsidRPr="008E09F6">
        <w:rPr>
          <w:b/>
          <w:bCs/>
          <w:sz w:val="20"/>
          <w:szCs w:val="20"/>
        </w:rPr>
        <w:t>1</w:t>
      </w:r>
      <w:r w:rsidRPr="00151388">
        <w:rPr>
          <w:sz w:val="20"/>
          <w:szCs w:val="20"/>
        </w:rPr>
        <w:t xml:space="preserve">, </w:t>
      </w:r>
      <w:r w:rsidR="008E09F6">
        <w:rPr>
          <w:sz w:val="20"/>
          <w:szCs w:val="20"/>
        </w:rPr>
        <w:t xml:space="preserve">1992, pp. </w:t>
      </w:r>
      <w:r w:rsidRPr="00151388">
        <w:rPr>
          <w:sz w:val="20"/>
          <w:szCs w:val="20"/>
        </w:rPr>
        <w:t>177-204</w:t>
      </w:r>
      <w:r w:rsidR="008E09F6">
        <w:rPr>
          <w:sz w:val="20"/>
          <w:szCs w:val="20"/>
        </w:rPr>
        <w:t>.</w:t>
      </w:r>
    </w:p>
    <w:p w14:paraId="612477CE" w14:textId="460EB5AC" w:rsidR="00151388" w:rsidRPr="00151388" w:rsidRDefault="00151388" w:rsidP="00151388">
      <w:pPr>
        <w:pStyle w:val="NormalWeb"/>
        <w:numPr>
          <w:ilvl w:val="0"/>
          <w:numId w:val="7"/>
        </w:numPr>
        <w:tabs>
          <w:tab w:val="left" w:pos="284"/>
        </w:tabs>
        <w:ind w:left="284" w:hanging="284"/>
        <w:jc w:val="both"/>
        <w:rPr>
          <w:sz w:val="20"/>
        </w:rPr>
      </w:pPr>
      <w:r w:rsidRPr="00151388">
        <w:rPr>
          <w:sz w:val="20"/>
          <w:szCs w:val="20"/>
        </w:rPr>
        <w:t xml:space="preserve">Liao, S.S.C. and Whitman, R.V. </w:t>
      </w:r>
      <w:r w:rsidR="00E93D9C">
        <w:rPr>
          <w:sz w:val="20"/>
          <w:szCs w:val="20"/>
        </w:rPr>
        <w:t>“</w:t>
      </w:r>
      <w:r w:rsidRPr="00151388">
        <w:rPr>
          <w:sz w:val="20"/>
          <w:szCs w:val="20"/>
        </w:rPr>
        <w:t>Overburden Correction Factors for SPT in Sand</w:t>
      </w:r>
      <w:r w:rsidR="00E93D9C">
        <w:rPr>
          <w:sz w:val="20"/>
          <w:szCs w:val="20"/>
        </w:rPr>
        <w:t xml:space="preserve">”, </w:t>
      </w:r>
      <w:r w:rsidR="008E09F6">
        <w:rPr>
          <w:sz w:val="20"/>
          <w:szCs w:val="20"/>
        </w:rPr>
        <w:t xml:space="preserve">in </w:t>
      </w:r>
      <w:r w:rsidRPr="008E09F6">
        <w:rPr>
          <w:sz w:val="20"/>
          <w:szCs w:val="20"/>
        </w:rPr>
        <w:t>Journal of Geotechnical Engineering</w:t>
      </w:r>
      <w:r w:rsidRPr="00151388">
        <w:rPr>
          <w:sz w:val="20"/>
          <w:szCs w:val="20"/>
        </w:rPr>
        <w:t xml:space="preserve">, </w:t>
      </w:r>
      <w:r w:rsidRPr="008E09F6">
        <w:rPr>
          <w:b/>
          <w:bCs/>
          <w:sz w:val="20"/>
          <w:szCs w:val="20"/>
        </w:rPr>
        <w:t>112</w:t>
      </w:r>
      <w:r w:rsidR="0064043E">
        <w:rPr>
          <w:sz w:val="20"/>
          <w:szCs w:val="20"/>
        </w:rPr>
        <w:t>(</w:t>
      </w:r>
      <w:r w:rsidR="0064043E" w:rsidRPr="0064043E">
        <w:rPr>
          <w:b/>
          <w:bCs/>
          <w:sz w:val="20"/>
          <w:szCs w:val="20"/>
        </w:rPr>
        <w:t>3</w:t>
      </w:r>
      <w:r w:rsidR="0064043E">
        <w:rPr>
          <w:b/>
          <w:bCs/>
          <w:sz w:val="20"/>
          <w:szCs w:val="20"/>
        </w:rPr>
        <w:t>)</w:t>
      </w:r>
      <w:r w:rsidR="0064043E" w:rsidRPr="0064043E">
        <w:rPr>
          <w:sz w:val="20"/>
          <w:szCs w:val="20"/>
        </w:rPr>
        <w:t>,</w:t>
      </w:r>
      <w:r w:rsidR="0064043E">
        <w:rPr>
          <w:b/>
          <w:bCs/>
          <w:sz w:val="20"/>
          <w:szCs w:val="20"/>
        </w:rPr>
        <w:t xml:space="preserve"> </w:t>
      </w:r>
      <w:r w:rsidR="0064043E">
        <w:rPr>
          <w:sz w:val="20"/>
          <w:szCs w:val="20"/>
        </w:rPr>
        <w:t xml:space="preserve">1986, </w:t>
      </w:r>
      <w:r w:rsidR="0064043E" w:rsidRPr="0064043E">
        <w:rPr>
          <w:sz w:val="20"/>
          <w:szCs w:val="20"/>
        </w:rPr>
        <w:t>p</w:t>
      </w:r>
      <w:r w:rsidRPr="00151388">
        <w:rPr>
          <w:sz w:val="20"/>
          <w:szCs w:val="20"/>
        </w:rPr>
        <w:t xml:space="preserve">p. 373 </w:t>
      </w:r>
      <w:r w:rsidR="0064043E">
        <w:rPr>
          <w:sz w:val="20"/>
          <w:szCs w:val="20"/>
        </w:rPr>
        <w:t>–</w:t>
      </w:r>
      <w:r w:rsidRPr="00151388">
        <w:rPr>
          <w:sz w:val="20"/>
          <w:szCs w:val="20"/>
        </w:rPr>
        <w:t xml:space="preserve"> 377</w:t>
      </w:r>
      <w:r w:rsidR="0064043E">
        <w:rPr>
          <w:sz w:val="20"/>
          <w:szCs w:val="20"/>
        </w:rPr>
        <w:t>.</w:t>
      </w:r>
    </w:p>
    <w:p w14:paraId="4F1502E3" w14:textId="74A2F103" w:rsidR="00151388" w:rsidRDefault="00151388" w:rsidP="00151388">
      <w:pPr>
        <w:pStyle w:val="NormalWeb"/>
        <w:numPr>
          <w:ilvl w:val="0"/>
          <w:numId w:val="7"/>
        </w:numPr>
        <w:tabs>
          <w:tab w:val="left" w:pos="284"/>
        </w:tabs>
        <w:ind w:left="284" w:hanging="284"/>
        <w:jc w:val="both"/>
        <w:rPr>
          <w:sz w:val="20"/>
        </w:rPr>
      </w:pPr>
      <w:r w:rsidRPr="00151388">
        <w:rPr>
          <w:sz w:val="20"/>
        </w:rPr>
        <w:t xml:space="preserve">Luna, R., &amp; Frost, J. D. </w:t>
      </w:r>
      <w:r w:rsidR="00E93D9C">
        <w:rPr>
          <w:sz w:val="20"/>
        </w:rPr>
        <w:t>“</w:t>
      </w:r>
      <w:r w:rsidRPr="00151388">
        <w:rPr>
          <w:sz w:val="20"/>
        </w:rPr>
        <w:t>Spatial liquefaction analysis system</w:t>
      </w:r>
      <w:r w:rsidR="00E93D9C">
        <w:rPr>
          <w:sz w:val="20"/>
        </w:rPr>
        <w:t>”,</w:t>
      </w:r>
      <w:r w:rsidRPr="00151388">
        <w:rPr>
          <w:sz w:val="20"/>
        </w:rPr>
        <w:t xml:space="preserve"> </w:t>
      </w:r>
      <w:r w:rsidR="0064043E">
        <w:rPr>
          <w:sz w:val="20"/>
        </w:rPr>
        <w:t xml:space="preserve">in </w:t>
      </w:r>
      <w:r w:rsidRPr="0064043E">
        <w:rPr>
          <w:sz w:val="20"/>
        </w:rPr>
        <w:t>Journal Comput. Civil Engineering</w:t>
      </w:r>
      <w:r w:rsidR="0064043E">
        <w:rPr>
          <w:sz w:val="20"/>
        </w:rPr>
        <w:t xml:space="preserve"> – 1998</w:t>
      </w:r>
      <w:r w:rsidRPr="00151388">
        <w:rPr>
          <w:sz w:val="20"/>
        </w:rPr>
        <w:t xml:space="preserve">, </w:t>
      </w:r>
      <w:r w:rsidRPr="0064043E">
        <w:rPr>
          <w:b/>
          <w:bCs/>
          <w:sz w:val="20"/>
        </w:rPr>
        <w:t>12</w:t>
      </w:r>
      <w:r w:rsidRPr="00151388">
        <w:rPr>
          <w:sz w:val="20"/>
        </w:rPr>
        <w:t xml:space="preserve">, </w:t>
      </w:r>
      <w:r w:rsidR="0064043E">
        <w:rPr>
          <w:sz w:val="20"/>
        </w:rPr>
        <w:t xml:space="preserve">pp. </w:t>
      </w:r>
      <w:r w:rsidRPr="00151388">
        <w:rPr>
          <w:sz w:val="20"/>
        </w:rPr>
        <w:t>48–56</w:t>
      </w:r>
      <w:r w:rsidR="0064043E">
        <w:rPr>
          <w:sz w:val="20"/>
        </w:rPr>
        <w:t>.</w:t>
      </w:r>
    </w:p>
    <w:p w14:paraId="43B0C1F3" w14:textId="4A13F667" w:rsidR="00C15FAB" w:rsidRPr="00151388" w:rsidRDefault="00C15FAB" w:rsidP="00151388">
      <w:pPr>
        <w:pStyle w:val="NormalWeb"/>
        <w:numPr>
          <w:ilvl w:val="0"/>
          <w:numId w:val="7"/>
        </w:numPr>
        <w:tabs>
          <w:tab w:val="left" w:pos="284"/>
        </w:tabs>
        <w:ind w:left="284" w:hanging="284"/>
        <w:jc w:val="both"/>
        <w:rPr>
          <w:sz w:val="20"/>
        </w:rPr>
      </w:pPr>
      <w:r w:rsidRPr="00BB4535">
        <w:rPr>
          <w:noProof/>
          <w:sz w:val="20"/>
        </w:rPr>
        <w:t xml:space="preserve">Mason, B., Hutabarat, D., &amp; Prakoso, W. </w:t>
      </w:r>
      <w:r>
        <w:rPr>
          <w:noProof/>
          <w:sz w:val="20"/>
        </w:rPr>
        <w:t>“</w:t>
      </w:r>
      <w:r w:rsidRPr="00C15FAB">
        <w:rPr>
          <w:noProof/>
          <w:sz w:val="20"/>
        </w:rPr>
        <w:t>Geotechnical Extreme Events Reconnaissance</w:t>
      </w:r>
      <w:r>
        <w:rPr>
          <w:noProof/>
          <w:sz w:val="20"/>
        </w:rPr>
        <w:t>”,</w:t>
      </w:r>
      <w:r w:rsidRPr="00BB4535">
        <w:rPr>
          <w:noProof/>
          <w:sz w:val="20"/>
        </w:rPr>
        <w:t xml:space="preserve"> </w:t>
      </w:r>
      <w:r w:rsidR="0064043E">
        <w:rPr>
          <w:noProof/>
          <w:sz w:val="20"/>
        </w:rPr>
        <w:t xml:space="preserve">in </w:t>
      </w:r>
      <w:r w:rsidRPr="0064043E">
        <w:rPr>
          <w:noProof/>
          <w:sz w:val="20"/>
        </w:rPr>
        <w:t>Report of Geotechnical Extreme Events Reconnaissance, The Geotechnical Extreme Events Reconnaissance (GEER) Association</w:t>
      </w:r>
      <w:r>
        <w:rPr>
          <w:noProof/>
          <w:sz w:val="20"/>
        </w:rPr>
        <w:t xml:space="preserve"> (2019)</w:t>
      </w:r>
    </w:p>
    <w:p w14:paraId="741C8B43" w14:textId="16BE5DE7" w:rsidR="00151388" w:rsidRDefault="00151388" w:rsidP="00151388">
      <w:pPr>
        <w:pStyle w:val="NormalWeb"/>
        <w:numPr>
          <w:ilvl w:val="0"/>
          <w:numId w:val="7"/>
        </w:numPr>
        <w:tabs>
          <w:tab w:val="left" w:pos="284"/>
        </w:tabs>
        <w:ind w:left="284" w:hanging="284"/>
        <w:jc w:val="both"/>
        <w:rPr>
          <w:sz w:val="20"/>
        </w:rPr>
      </w:pPr>
      <w:r w:rsidRPr="00151388">
        <w:rPr>
          <w:sz w:val="20"/>
        </w:rPr>
        <w:t>Microzonation for Earthquake Risk Mitigation (MERM). "</w:t>
      </w:r>
      <w:r w:rsidRPr="00E93D9C">
        <w:rPr>
          <w:sz w:val="20"/>
        </w:rPr>
        <w:t>Microzonation Manual</w:t>
      </w:r>
      <w:r w:rsidRPr="00151388">
        <w:rPr>
          <w:i/>
          <w:iCs/>
          <w:sz w:val="20"/>
        </w:rPr>
        <w:t>"</w:t>
      </w:r>
      <w:r w:rsidR="0064043E">
        <w:rPr>
          <w:sz w:val="20"/>
        </w:rPr>
        <w:t xml:space="preserve">, in </w:t>
      </w:r>
      <w:r w:rsidRPr="0064043E">
        <w:rPr>
          <w:sz w:val="20"/>
        </w:rPr>
        <w:t>World Institute for Disaster Risk Management</w:t>
      </w:r>
      <w:r w:rsidRPr="00E93D9C">
        <w:rPr>
          <w:i/>
          <w:iCs/>
          <w:sz w:val="20"/>
        </w:rPr>
        <w:t xml:space="preserve"> </w:t>
      </w:r>
      <w:r w:rsidRPr="00151388">
        <w:rPr>
          <w:sz w:val="20"/>
        </w:rPr>
        <w:t>(2003)</w:t>
      </w:r>
    </w:p>
    <w:p w14:paraId="2E46C573" w14:textId="0BCC1CC4" w:rsidR="00C15FAB" w:rsidRPr="00C15FAB" w:rsidRDefault="00C15FAB" w:rsidP="00C15FAB">
      <w:pPr>
        <w:pStyle w:val="ListParagraph"/>
        <w:widowControl w:val="0"/>
        <w:numPr>
          <w:ilvl w:val="0"/>
          <w:numId w:val="7"/>
        </w:numPr>
        <w:autoSpaceDE w:val="0"/>
        <w:autoSpaceDN w:val="0"/>
        <w:adjustRightInd w:val="0"/>
        <w:ind w:left="284" w:hanging="284"/>
        <w:jc w:val="both"/>
        <w:rPr>
          <w:noProof/>
          <w:sz w:val="20"/>
        </w:rPr>
      </w:pPr>
      <w:r w:rsidRPr="00C15FAB">
        <w:rPr>
          <w:noProof/>
          <w:sz w:val="20"/>
        </w:rPr>
        <w:t>Miyajima, M., Setiawan, H., Yoshida, M., Ono, Y., Kosa, K., Oktaviana, I. S.</w:t>
      </w:r>
      <w:r>
        <w:rPr>
          <w:noProof/>
          <w:sz w:val="20"/>
        </w:rPr>
        <w:t>,</w:t>
      </w:r>
      <w:r w:rsidRPr="00C15FAB">
        <w:rPr>
          <w:noProof/>
          <w:sz w:val="20"/>
        </w:rPr>
        <w:t xml:space="preserve"> Irdhiani. </w:t>
      </w:r>
      <w:r>
        <w:rPr>
          <w:noProof/>
          <w:sz w:val="20"/>
        </w:rPr>
        <w:t>“</w:t>
      </w:r>
      <w:r w:rsidRPr="00C15FAB">
        <w:rPr>
          <w:noProof/>
          <w:sz w:val="20"/>
        </w:rPr>
        <w:t>Geotechnical damage in the 2018 Sulawesi earthquake, Indonesia</w:t>
      </w:r>
      <w:r>
        <w:rPr>
          <w:noProof/>
          <w:sz w:val="20"/>
        </w:rPr>
        <w:t>”</w:t>
      </w:r>
      <w:r w:rsidR="0064043E">
        <w:rPr>
          <w:noProof/>
          <w:sz w:val="20"/>
        </w:rPr>
        <w:t xml:space="preserve">, in </w:t>
      </w:r>
      <w:r w:rsidRPr="00C15FAB">
        <w:rPr>
          <w:i/>
          <w:iCs/>
          <w:noProof/>
          <w:sz w:val="20"/>
        </w:rPr>
        <w:t>Geoenvironmental Disasters</w:t>
      </w:r>
      <w:r w:rsidRPr="00C15FAB">
        <w:rPr>
          <w:noProof/>
          <w:sz w:val="20"/>
        </w:rPr>
        <w:t>,</w:t>
      </w:r>
      <w:r w:rsidR="0064043E">
        <w:rPr>
          <w:noProof/>
          <w:sz w:val="20"/>
        </w:rPr>
        <w:t xml:space="preserve"> 2019,</w:t>
      </w:r>
      <w:r w:rsidRPr="00C15FAB">
        <w:rPr>
          <w:noProof/>
          <w:sz w:val="20"/>
        </w:rPr>
        <w:t xml:space="preserve"> </w:t>
      </w:r>
      <w:r w:rsidRPr="0064043E">
        <w:rPr>
          <w:b/>
          <w:bCs/>
          <w:noProof/>
          <w:sz w:val="20"/>
        </w:rPr>
        <w:t>6(</w:t>
      </w:r>
      <w:r w:rsidRPr="00C15FAB">
        <w:rPr>
          <w:noProof/>
          <w:sz w:val="20"/>
        </w:rPr>
        <w:t xml:space="preserve">1), </w:t>
      </w:r>
      <w:r w:rsidR="0064043E">
        <w:rPr>
          <w:noProof/>
          <w:sz w:val="20"/>
        </w:rPr>
        <w:t xml:space="preserve">pp. </w:t>
      </w:r>
      <w:r w:rsidRPr="00C15FAB">
        <w:rPr>
          <w:noProof/>
          <w:sz w:val="20"/>
        </w:rPr>
        <w:t>2–</w:t>
      </w:r>
      <w:r w:rsidR="0064043E">
        <w:rPr>
          <w:noProof/>
          <w:sz w:val="20"/>
        </w:rPr>
        <w:t>9.</w:t>
      </w:r>
    </w:p>
    <w:p w14:paraId="06179084" w14:textId="3B4EAF7D" w:rsidR="00151388" w:rsidRPr="00151388" w:rsidRDefault="00151388" w:rsidP="00151388">
      <w:pPr>
        <w:pStyle w:val="NormalWeb"/>
        <w:numPr>
          <w:ilvl w:val="0"/>
          <w:numId w:val="7"/>
        </w:numPr>
        <w:tabs>
          <w:tab w:val="left" w:pos="284"/>
        </w:tabs>
        <w:ind w:left="284" w:hanging="284"/>
        <w:jc w:val="both"/>
        <w:rPr>
          <w:sz w:val="20"/>
        </w:rPr>
      </w:pPr>
      <w:r w:rsidRPr="00151388">
        <w:rPr>
          <w:sz w:val="20"/>
        </w:rPr>
        <w:t>National Standardization Agency of Indonesia</w:t>
      </w:r>
      <w:r w:rsidR="00E93D9C">
        <w:rPr>
          <w:sz w:val="20"/>
        </w:rPr>
        <w:t>. “</w:t>
      </w:r>
      <w:r w:rsidRPr="00151388">
        <w:rPr>
          <w:sz w:val="20"/>
        </w:rPr>
        <w:t>National standard for designing earthquake resistance buildings</w:t>
      </w:r>
      <w:r w:rsidR="00E93D9C">
        <w:rPr>
          <w:sz w:val="20"/>
        </w:rPr>
        <w:t>”</w:t>
      </w:r>
      <w:r w:rsidRPr="00151388">
        <w:rPr>
          <w:sz w:val="20"/>
        </w:rPr>
        <w:t>, SNI-1726-2019</w:t>
      </w:r>
      <w:r w:rsidR="0064043E">
        <w:rPr>
          <w:sz w:val="20"/>
        </w:rPr>
        <w:t>, 2019.</w:t>
      </w:r>
    </w:p>
    <w:p w14:paraId="510FBF24" w14:textId="7634780B" w:rsidR="00151388" w:rsidRDefault="00151388" w:rsidP="00151388">
      <w:pPr>
        <w:pStyle w:val="NormalWeb"/>
        <w:numPr>
          <w:ilvl w:val="0"/>
          <w:numId w:val="7"/>
        </w:numPr>
        <w:tabs>
          <w:tab w:val="left" w:pos="284"/>
        </w:tabs>
        <w:ind w:left="284" w:hanging="284"/>
        <w:jc w:val="both"/>
        <w:rPr>
          <w:sz w:val="20"/>
        </w:rPr>
      </w:pPr>
      <w:r w:rsidRPr="00151388">
        <w:rPr>
          <w:sz w:val="20"/>
        </w:rPr>
        <w:t xml:space="preserve">NCEER. "Proceedings of the NCEER Workshop on Evaluation of Liquefaction Resistance of Soils", Edited by Youd, T. L., Idriss, I. M., </w:t>
      </w:r>
      <w:r w:rsidR="0064043E">
        <w:rPr>
          <w:sz w:val="20"/>
        </w:rPr>
        <w:t>(</w:t>
      </w:r>
      <w:r w:rsidRPr="00151388">
        <w:rPr>
          <w:sz w:val="20"/>
        </w:rPr>
        <w:t xml:space="preserve">Technical Report No. NCEER-97-0022, </w:t>
      </w:r>
      <w:r w:rsidR="0064043E">
        <w:rPr>
          <w:sz w:val="20"/>
        </w:rPr>
        <w:t>1</w:t>
      </w:r>
      <w:r w:rsidRPr="00151388">
        <w:rPr>
          <w:sz w:val="20"/>
        </w:rPr>
        <w:t>997)</w:t>
      </w:r>
      <w:r w:rsidR="0064043E">
        <w:rPr>
          <w:sz w:val="20"/>
        </w:rPr>
        <w:t>.</w:t>
      </w:r>
    </w:p>
    <w:p w14:paraId="11350EEC" w14:textId="294DB210" w:rsidR="00C15FAB" w:rsidRDefault="00C15FAB" w:rsidP="00151388">
      <w:pPr>
        <w:pStyle w:val="NormalWeb"/>
        <w:numPr>
          <w:ilvl w:val="0"/>
          <w:numId w:val="7"/>
        </w:numPr>
        <w:tabs>
          <w:tab w:val="left" w:pos="284"/>
        </w:tabs>
        <w:ind w:left="284" w:hanging="284"/>
        <w:jc w:val="both"/>
        <w:rPr>
          <w:sz w:val="20"/>
        </w:rPr>
      </w:pPr>
      <w:r w:rsidRPr="00BB4535">
        <w:rPr>
          <w:noProof/>
          <w:sz w:val="20"/>
        </w:rPr>
        <w:t xml:space="preserve">Nurdin, S., Harianto, T., Aswad, S., Arsyad, A., &amp; Alexsander, S. </w:t>
      </w:r>
      <w:r>
        <w:rPr>
          <w:noProof/>
          <w:sz w:val="20"/>
        </w:rPr>
        <w:t>“</w:t>
      </w:r>
      <w:r w:rsidRPr="00BB4535">
        <w:rPr>
          <w:noProof/>
          <w:sz w:val="20"/>
        </w:rPr>
        <w:t>Liquefaction Disaster Mitigation and Geohydrology Conditions, Lessons from the Palu Earthquake Magnitude 7,4 Mw 28 September 2018</w:t>
      </w:r>
      <w:r>
        <w:rPr>
          <w:noProof/>
          <w:sz w:val="20"/>
        </w:rPr>
        <w:t>”</w:t>
      </w:r>
      <w:r w:rsidRPr="00BB4535">
        <w:rPr>
          <w:noProof/>
          <w:sz w:val="20"/>
        </w:rPr>
        <w:t xml:space="preserve"> </w:t>
      </w:r>
      <w:r>
        <w:rPr>
          <w:noProof/>
          <w:sz w:val="20"/>
        </w:rPr>
        <w:t>i</w:t>
      </w:r>
      <w:r w:rsidRPr="00BB4535">
        <w:rPr>
          <w:noProof/>
          <w:sz w:val="20"/>
        </w:rPr>
        <w:t xml:space="preserve">n </w:t>
      </w:r>
      <w:r w:rsidRPr="0064043E">
        <w:rPr>
          <w:noProof/>
          <w:sz w:val="20"/>
        </w:rPr>
        <w:t>23rd Annual National Conference on Geotechnical Engineering</w:t>
      </w:r>
      <w:r w:rsidRPr="00BB4535">
        <w:rPr>
          <w:noProof/>
          <w:sz w:val="20"/>
        </w:rPr>
        <w:t>. Jakarta, Indonesia</w:t>
      </w:r>
      <w:r>
        <w:rPr>
          <w:noProof/>
          <w:sz w:val="20"/>
        </w:rPr>
        <w:t xml:space="preserve">, </w:t>
      </w:r>
      <w:r w:rsidR="0064043E">
        <w:rPr>
          <w:noProof/>
          <w:sz w:val="20"/>
        </w:rPr>
        <w:t>2019.</w:t>
      </w:r>
    </w:p>
    <w:p w14:paraId="5336092C" w14:textId="3D85A980" w:rsidR="00C15FAB" w:rsidRPr="00C15FAB" w:rsidRDefault="00C15FAB" w:rsidP="00C15FAB">
      <w:pPr>
        <w:pStyle w:val="ListParagraph"/>
        <w:widowControl w:val="0"/>
        <w:numPr>
          <w:ilvl w:val="0"/>
          <w:numId w:val="7"/>
        </w:numPr>
        <w:autoSpaceDE w:val="0"/>
        <w:autoSpaceDN w:val="0"/>
        <w:adjustRightInd w:val="0"/>
        <w:ind w:left="284" w:hanging="284"/>
        <w:jc w:val="both"/>
        <w:rPr>
          <w:noProof/>
          <w:sz w:val="20"/>
        </w:rPr>
      </w:pPr>
      <w:r w:rsidRPr="00C15FAB">
        <w:rPr>
          <w:noProof/>
          <w:sz w:val="20"/>
        </w:rPr>
        <w:t xml:space="preserve">Parura, T. C., &amp; Rahardyan, B. </w:t>
      </w:r>
      <w:r>
        <w:rPr>
          <w:noProof/>
          <w:sz w:val="20"/>
        </w:rPr>
        <w:t>“</w:t>
      </w:r>
      <w:r w:rsidRPr="00C15FAB">
        <w:rPr>
          <w:noProof/>
          <w:sz w:val="20"/>
        </w:rPr>
        <w:t>Evaluation of Post-Earthquake, Tsunami, and Liquefaction Disaster Waste Management in Palu</w:t>
      </w:r>
      <w:r>
        <w:rPr>
          <w:noProof/>
          <w:sz w:val="20"/>
        </w:rPr>
        <w:t>”</w:t>
      </w:r>
      <w:r w:rsidR="0064043E">
        <w:rPr>
          <w:noProof/>
          <w:sz w:val="20"/>
        </w:rPr>
        <w:t xml:space="preserve">, in </w:t>
      </w:r>
      <w:r w:rsidRPr="00C15FAB">
        <w:rPr>
          <w:i/>
          <w:iCs/>
          <w:noProof/>
          <w:sz w:val="20"/>
        </w:rPr>
        <w:t>E3S Web of Conferences</w:t>
      </w:r>
      <w:r w:rsidRPr="00C15FAB">
        <w:rPr>
          <w:noProof/>
          <w:sz w:val="20"/>
        </w:rPr>
        <w:t xml:space="preserve">, </w:t>
      </w:r>
      <w:r w:rsidRPr="0064043E">
        <w:rPr>
          <w:b/>
          <w:bCs/>
          <w:noProof/>
          <w:sz w:val="20"/>
        </w:rPr>
        <w:t xml:space="preserve">148 </w:t>
      </w:r>
      <w:r w:rsidRPr="00C15FAB">
        <w:rPr>
          <w:noProof/>
          <w:sz w:val="20"/>
        </w:rPr>
        <w:t>(2020)</w:t>
      </w:r>
    </w:p>
    <w:p w14:paraId="6424A1D7" w14:textId="0541BB56" w:rsidR="00151388" w:rsidRPr="00151388" w:rsidRDefault="00151388" w:rsidP="00151388">
      <w:pPr>
        <w:pStyle w:val="NormalWeb"/>
        <w:numPr>
          <w:ilvl w:val="0"/>
          <w:numId w:val="7"/>
        </w:numPr>
        <w:tabs>
          <w:tab w:val="left" w:pos="284"/>
        </w:tabs>
        <w:ind w:left="284" w:hanging="284"/>
        <w:jc w:val="both"/>
        <w:rPr>
          <w:sz w:val="20"/>
        </w:rPr>
      </w:pPr>
      <w:r w:rsidRPr="00151388">
        <w:rPr>
          <w:sz w:val="20"/>
        </w:rPr>
        <w:t xml:space="preserve">Seed, H. B., Tokimatsu, K., Harder, L. F., Chung, R. M. "The Influence of SPT Procedures in Soil Liquefaction Resistance Evaluations", </w:t>
      </w:r>
      <w:r w:rsidR="0064043E">
        <w:rPr>
          <w:sz w:val="20"/>
        </w:rPr>
        <w:t xml:space="preserve">in </w:t>
      </w:r>
      <w:r w:rsidRPr="0064043E">
        <w:rPr>
          <w:sz w:val="20"/>
        </w:rPr>
        <w:t>Earthquake Engineering Research Center Report</w:t>
      </w:r>
      <w:r w:rsidR="0064043E">
        <w:rPr>
          <w:sz w:val="20"/>
        </w:rPr>
        <w:t>. (</w:t>
      </w:r>
      <w:r w:rsidRPr="00151388">
        <w:rPr>
          <w:sz w:val="20"/>
        </w:rPr>
        <w:t xml:space="preserve">University of California at Berkeley, </w:t>
      </w:r>
      <w:proofErr w:type="gramStart"/>
      <w:r w:rsidRPr="00151388">
        <w:rPr>
          <w:sz w:val="20"/>
        </w:rPr>
        <w:t>October,</w:t>
      </w:r>
      <w:proofErr w:type="gramEnd"/>
      <w:r w:rsidRPr="00151388">
        <w:rPr>
          <w:sz w:val="20"/>
        </w:rPr>
        <w:t xml:space="preserve"> 1984</w:t>
      </w:r>
      <w:r w:rsidR="000466AB">
        <w:rPr>
          <w:sz w:val="20"/>
        </w:rPr>
        <w:t>)</w:t>
      </w:r>
      <w:r w:rsidR="0064043E">
        <w:rPr>
          <w:sz w:val="20"/>
        </w:rPr>
        <w:t>.</w:t>
      </w:r>
    </w:p>
    <w:p w14:paraId="6C61A62B" w14:textId="19281732" w:rsidR="00151388" w:rsidRPr="00151388" w:rsidRDefault="00151388" w:rsidP="00151388">
      <w:pPr>
        <w:pStyle w:val="NormalWeb"/>
        <w:numPr>
          <w:ilvl w:val="0"/>
          <w:numId w:val="7"/>
        </w:numPr>
        <w:tabs>
          <w:tab w:val="left" w:pos="284"/>
        </w:tabs>
        <w:ind w:left="284" w:hanging="284"/>
        <w:jc w:val="both"/>
        <w:rPr>
          <w:sz w:val="20"/>
        </w:rPr>
      </w:pPr>
      <w:r w:rsidRPr="00151388">
        <w:rPr>
          <w:sz w:val="20"/>
        </w:rPr>
        <w:t>Seed, H. B., Idriss, I. A., &amp; Arango, I. Closure to “Evaluation of Liquefaction Potential Using Field Performance Data</w:t>
      </w:r>
      <w:r w:rsidR="0064043E">
        <w:rPr>
          <w:sz w:val="20"/>
        </w:rPr>
        <w:t xml:space="preserve">”, in </w:t>
      </w:r>
      <w:r w:rsidRPr="0064043E">
        <w:rPr>
          <w:sz w:val="20"/>
        </w:rPr>
        <w:t>Journal of Geotechnical Engineering</w:t>
      </w:r>
      <w:r w:rsidRPr="00151388">
        <w:rPr>
          <w:sz w:val="20"/>
        </w:rPr>
        <w:t xml:space="preserve">, </w:t>
      </w:r>
      <w:r w:rsidRPr="0064043E">
        <w:rPr>
          <w:b/>
          <w:bCs/>
          <w:sz w:val="20"/>
        </w:rPr>
        <w:t>111</w:t>
      </w:r>
      <w:r w:rsidRPr="00151388">
        <w:rPr>
          <w:sz w:val="20"/>
        </w:rPr>
        <w:t>(11)</w:t>
      </w:r>
      <w:r w:rsidR="0064043E">
        <w:rPr>
          <w:sz w:val="20"/>
        </w:rPr>
        <w:t>, 1985.</w:t>
      </w:r>
    </w:p>
    <w:p w14:paraId="7930C37E" w14:textId="2D012CDC" w:rsidR="00151388" w:rsidRPr="0064043E" w:rsidRDefault="00151388" w:rsidP="00151388">
      <w:pPr>
        <w:pStyle w:val="NormalWeb"/>
        <w:numPr>
          <w:ilvl w:val="0"/>
          <w:numId w:val="7"/>
        </w:numPr>
        <w:tabs>
          <w:tab w:val="left" w:pos="284"/>
        </w:tabs>
        <w:ind w:left="284" w:hanging="284"/>
        <w:jc w:val="both"/>
        <w:rPr>
          <w:sz w:val="20"/>
        </w:rPr>
      </w:pPr>
      <w:r w:rsidRPr="00151388">
        <w:rPr>
          <w:sz w:val="20"/>
        </w:rPr>
        <w:t xml:space="preserve">Seed, H., &amp; Booker, J. </w:t>
      </w:r>
      <w:r w:rsidR="00E93D9C">
        <w:rPr>
          <w:sz w:val="20"/>
        </w:rPr>
        <w:t>“</w:t>
      </w:r>
      <w:r w:rsidRPr="00151388">
        <w:rPr>
          <w:sz w:val="20"/>
        </w:rPr>
        <w:t>Stabilization of Potential Liquefiable Sand Deposits Using Gravel Drains</w:t>
      </w:r>
      <w:r w:rsidR="00E93D9C">
        <w:rPr>
          <w:sz w:val="20"/>
        </w:rPr>
        <w:t>”</w:t>
      </w:r>
      <w:r w:rsidR="0064043E">
        <w:rPr>
          <w:sz w:val="20"/>
        </w:rPr>
        <w:t xml:space="preserve">, in </w:t>
      </w:r>
      <w:r w:rsidRPr="0064043E">
        <w:rPr>
          <w:sz w:val="20"/>
        </w:rPr>
        <w:t xml:space="preserve">Journal of Geotechnical and </w:t>
      </w:r>
      <w:r w:rsidR="00FA3F18" w:rsidRPr="0064043E">
        <w:rPr>
          <w:sz w:val="20"/>
        </w:rPr>
        <w:t>Environmental</w:t>
      </w:r>
      <w:r w:rsidRPr="0064043E">
        <w:rPr>
          <w:sz w:val="20"/>
        </w:rPr>
        <w:t xml:space="preserve"> Engineering, </w:t>
      </w:r>
      <w:r w:rsidRPr="0064043E">
        <w:rPr>
          <w:b/>
          <w:bCs/>
          <w:sz w:val="20"/>
        </w:rPr>
        <w:t>104</w:t>
      </w:r>
      <w:r w:rsidRPr="0064043E">
        <w:rPr>
          <w:sz w:val="20"/>
        </w:rPr>
        <w:t xml:space="preserve"> (GT12)</w:t>
      </w:r>
      <w:r w:rsidR="0064043E">
        <w:rPr>
          <w:sz w:val="20"/>
        </w:rPr>
        <w:t>,</w:t>
      </w:r>
      <w:r w:rsidRPr="0064043E">
        <w:rPr>
          <w:sz w:val="20"/>
        </w:rPr>
        <w:t xml:space="preserve"> </w:t>
      </w:r>
      <w:r w:rsidR="0064043E">
        <w:rPr>
          <w:sz w:val="20"/>
        </w:rPr>
        <w:t>1977.</w:t>
      </w:r>
    </w:p>
    <w:p w14:paraId="5EC8ACFC" w14:textId="2A181C0D" w:rsidR="00151388" w:rsidRPr="00151388" w:rsidRDefault="00151388" w:rsidP="00151388">
      <w:pPr>
        <w:pStyle w:val="NormalWeb"/>
        <w:numPr>
          <w:ilvl w:val="0"/>
          <w:numId w:val="7"/>
        </w:numPr>
        <w:tabs>
          <w:tab w:val="left" w:pos="284"/>
        </w:tabs>
        <w:ind w:left="284" w:hanging="284"/>
        <w:jc w:val="both"/>
        <w:rPr>
          <w:sz w:val="20"/>
        </w:rPr>
      </w:pPr>
      <w:r w:rsidRPr="00151388">
        <w:rPr>
          <w:sz w:val="20"/>
          <w:szCs w:val="20"/>
        </w:rPr>
        <w:t>Skempton, A.W.</w:t>
      </w:r>
      <w:r>
        <w:rPr>
          <w:sz w:val="20"/>
          <w:szCs w:val="20"/>
        </w:rPr>
        <w:t xml:space="preserve"> </w:t>
      </w:r>
      <w:r w:rsidR="00E93D9C">
        <w:rPr>
          <w:sz w:val="20"/>
          <w:szCs w:val="20"/>
        </w:rPr>
        <w:t>“</w:t>
      </w:r>
      <w:r w:rsidRPr="00151388">
        <w:rPr>
          <w:sz w:val="20"/>
          <w:szCs w:val="20"/>
        </w:rPr>
        <w:t>Standard penetration test procedures and the effects in sands of overburden pressure, relative density, particle size, ageing and overconsolidation</w:t>
      </w:r>
      <w:r w:rsidR="00E93D9C">
        <w:rPr>
          <w:sz w:val="20"/>
          <w:szCs w:val="20"/>
        </w:rPr>
        <w:t>”,</w:t>
      </w:r>
      <w:r w:rsidRPr="00151388">
        <w:rPr>
          <w:sz w:val="20"/>
          <w:szCs w:val="20"/>
        </w:rPr>
        <w:t xml:space="preserve"> Geotechnique </w:t>
      </w:r>
      <w:r w:rsidRPr="0064043E">
        <w:rPr>
          <w:b/>
          <w:bCs/>
          <w:sz w:val="20"/>
          <w:szCs w:val="20"/>
        </w:rPr>
        <w:t>36</w:t>
      </w:r>
      <w:r w:rsidRPr="00151388">
        <w:rPr>
          <w:sz w:val="20"/>
          <w:szCs w:val="20"/>
        </w:rPr>
        <w:t>(</w:t>
      </w:r>
      <w:r w:rsidRPr="0064043E">
        <w:rPr>
          <w:b/>
          <w:bCs/>
          <w:sz w:val="20"/>
          <w:szCs w:val="20"/>
        </w:rPr>
        <w:t>3</w:t>
      </w:r>
      <w:r w:rsidRPr="00151388">
        <w:rPr>
          <w:sz w:val="20"/>
          <w:szCs w:val="20"/>
        </w:rPr>
        <w:t>)</w:t>
      </w:r>
      <w:r w:rsidR="0064043E">
        <w:rPr>
          <w:sz w:val="20"/>
          <w:szCs w:val="20"/>
        </w:rPr>
        <w:t>, 1986, pp.</w:t>
      </w:r>
      <w:r w:rsidRPr="00151388">
        <w:rPr>
          <w:sz w:val="20"/>
          <w:szCs w:val="20"/>
        </w:rPr>
        <w:t xml:space="preserve"> 425-447</w:t>
      </w:r>
      <w:r w:rsidR="0064043E">
        <w:rPr>
          <w:sz w:val="20"/>
          <w:szCs w:val="20"/>
        </w:rPr>
        <w:t>.</w:t>
      </w:r>
    </w:p>
    <w:p w14:paraId="53A13542" w14:textId="5ED1C347" w:rsidR="00151388" w:rsidRPr="00151388" w:rsidRDefault="00151388" w:rsidP="00151388">
      <w:pPr>
        <w:pStyle w:val="NormalWeb"/>
        <w:numPr>
          <w:ilvl w:val="0"/>
          <w:numId w:val="7"/>
        </w:numPr>
        <w:tabs>
          <w:tab w:val="left" w:pos="284"/>
        </w:tabs>
        <w:ind w:left="284" w:hanging="284"/>
        <w:jc w:val="both"/>
        <w:rPr>
          <w:sz w:val="20"/>
        </w:rPr>
      </w:pPr>
      <w:r w:rsidRPr="00151388">
        <w:rPr>
          <w:sz w:val="20"/>
        </w:rPr>
        <w:t xml:space="preserve">Sonmez, H., &amp; Gokceoglu, C. </w:t>
      </w:r>
      <w:r w:rsidR="00C42A2F">
        <w:rPr>
          <w:sz w:val="20"/>
        </w:rPr>
        <w:t>“</w:t>
      </w:r>
      <w:r w:rsidRPr="00C42A2F">
        <w:rPr>
          <w:sz w:val="20"/>
        </w:rPr>
        <w:t>A Liquefaction Severity Index Suggested for Engineering Practice</w:t>
      </w:r>
      <w:r w:rsidR="00C42A2F">
        <w:rPr>
          <w:sz w:val="20"/>
        </w:rPr>
        <w:t>”</w:t>
      </w:r>
      <w:r w:rsidRPr="00151388">
        <w:rPr>
          <w:sz w:val="20"/>
        </w:rPr>
        <w:t>,</w:t>
      </w:r>
      <w:r w:rsidR="0064043E">
        <w:rPr>
          <w:sz w:val="20"/>
        </w:rPr>
        <w:t xml:space="preserve"> 2005,</w:t>
      </w:r>
      <w:r w:rsidRPr="00151388">
        <w:rPr>
          <w:sz w:val="20"/>
        </w:rPr>
        <w:t xml:space="preserve"> </w:t>
      </w:r>
      <w:r w:rsidR="0064043E">
        <w:rPr>
          <w:sz w:val="20"/>
        </w:rPr>
        <w:t xml:space="preserve">pp. </w:t>
      </w:r>
      <w:r w:rsidRPr="00151388">
        <w:rPr>
          <w:sz w:val="20"/>
        </w:rPr>
        <w:t>81–99</w:t>
      </w:r>
      <w:r w:rsidR="0064043E">
        <w:rPr>
          <w:sz w:val="20"/>
        </w:rPr>
        <w:t>.</w:t>
      </w:r>
    </w:p>
    <w:p w14:paraId="66F33142" w14:textId="424EB76A" w:rsidR="00151388" w:rsidRDefault="00151388" w:rsidP="00151388">
      <w:pPr>
        <w:pStyle w:val="NormalWeb"/>
        <w:numPr>
          <w:ilvl w:val="0"/>
          <w:numId w:val="7"/>
        </w:numPr>
        <w:ind w:left="284" w:hanging="284"/>
        <w:jc w:val="both"/>
        <w:rPr>
          <w:sz w:val="20"/>
          <w:szCs w:val="20"/>
        </w:rPr>
      </w:pPr>
      <w:r w:rsidRPr="00151388">
        <w:rPr>
          <w:sz w:val="20"/>
          <w:szCs w:val="20"/>
        </w:rPr>
        <w:t xml:space="preserve">Tokimatsu, K., and Seed, H. B. </w:t>
      </w:r>
      <w:r w:rsidR="00C42A2F">
        <w:rPr>
          <w:sz w:val="20"/>
          <w:szCs w:val="20"/>
        </w:rPr>
        <w:t>“</w:t>
      </w:r>
      <w:r w:rsidRPr="00151388">
        <w:rPr>
          <w:sz w:val="20"/>
          <w:szCs w:val="20"/>
        </w:rPr>
        <w:t>Evaluation of settlements in sands due to earthquake shaking</w:t>
      </w:r>
      <w:r w:rsidR="00C42A2F">
        <w:rPr>
          <w:sz w:val="20"/>
          <w:szCs w:val="20"/>
        </w:rPr>
        <w:t>”</w:t>
      </w:r>
      <w:r w:rsidRPr="00151388">
        <w:rPr>
          <w:sz w:val="20"/>
          <w:szCs w:val="20"/>
        </w:rPr>
        <w:t xml:space="preserve">, </w:t>
      </w:r>
      <w:r w:rsidR="0064043E">
        <w:rPr>
          <w:sz w:val="20"/>
          <w:szCs w:val="20"/>
        </w:rPr>
        <w:t xml:space="preserve">in </w:t>
      </w:r>
      <w:r w:rsidR="0064043E" w:rsidRPr="0064043E">
        <w:rPr>
          <w:sz w:val="20"/>
          <w:szCs w:val="20"/>
        </w:rPr>
        <w:t xml:space="preserve">Journal </w:t>
      </w:r>
      <w:r w:rsidRPr="0064043E">
        <w:rPr>
          <w:sz w:val="20"/>
          <w:szCs w:val="20"/>
        </w:rPr>
        <w:t>Geotechnical Eng</w:t>
      </w:r>
      <w:r w:rsidRPr="00C42A2F">
        <w:rPr>
          <w:i/>
          <w:iCs/>
          <w:sz w:val="20"/>
          <w:szCs w:val="20"/>
        </w:rPr>
        <w:t>.</w:t>
      </w:r>
      <w:r w:rsidRPr="00151388">
        <w:rPr>
          <w:sz w:val="20"/>
          <w:szCs w:val="20"/>
        </w:rPr>
        <w:t xml:space="preserve">, </w:t>
      </w:r>
      <w:r w:rsidR="0064043E">
        <w:rPr>
          <w:sz w:val="20"/>
          <w:szCs w:val="20"/>
        </w:rPr>
        <w:t>(</w:t>
      </w:r>
      <w:r w:rsidRPr="00151388">
        <w:rPr>
          <w:sz w:val="20"/>
          <w:szCs w:val="20"/>
        </w:rPr>
        <w:t xml:space="preserve">ASCE </w:t>
      </w:r>
      <w:r w:rsidRPr="0064043E">
        <w:rPr>
          <w:b/>
          <w:bCs/>
          <w:sz w:val="20"/>
          <w:szCs w:val="20"/>
        </w:rPr>
        <w:t>113</w:t>
      </w:r>
      <w:r w:rsidRPr="00151388">
        <w:rPr>
          <w:sz w:val="20"/>
          <w:szCs w:val="20"/>
        </w:rPr>
        <w:t xml:space="preserve">(GT8), </w:t>
      </w:r>
      <w:r w:rsidR="0064043E">
        <w:rPr>
          <w:sz w:val="20"/>
          <w:szCs w:val="20"/>
        </w:rPr>
        <w:t xml:space="preserve">1987) pp. </w:t>
      </w:r>
      <w:r w:rsidRPr="00151388">
        <w:rPr>
          <w:sz w:val="20"/>
          <w:szCs w:val="20"/>
        </w:rPr>
        <w:t>61-78</w:t>
      </w:r>
      <w:r w:rsidR="0064043E">
        <w:rPr>
          <w:sz w:val="20"/>
          <w:szCs w:val="20"/>
        </w:rPr>
        <w:t>.</w:t>
      </w:r>
    </w:p>
    <w:p w14:paraId="07DBDBA6" w14:textId="46EE7B51" w:rsidR="00151388" w:rsidRPr="00151388" w:rsidRDefault="00151388" w:rsidP="00151388">
      <w:pPr>
        <w:pStyle w:val="NormalWeb"/>
        <w:numPr>
          <w:ilvl w:val="0"/>
          <w:numId w:val="7"/>
        </w:numPr>
        <w:ind w:left="284" w:hanging="284"/>
        <w:jc w:val="both"/>
        <w:rPr>
          <w:sz w:val="20"/>
          <w:szCs w:val="20"/>
        </w:rPr>
      </w:pPr>
      <w:r w:rsidRPr="00151388">
        <w:rPr>
          <w:sz w:val="20"/>
          <w:szCs w:val="20"/>
        </w:rPr>
        <w:t xml:space="preserve">Widyaningrum, R. </w:t>
      </w:r>
      <w:r w:rsidR="00C42A2F">
        <w:rPr>
          <w:sz w:val="20"/>
          <w:szCs w:val="20"/>
        </w:rPr>
        <w:t>“P</w:t>
      </w:r>
      <w:r w:rsidRPr="00C42A2F">
        <w:rPr>
          <w:sz w:val="20"/>
          <w:szCs w:val="20"/>
        </w:rPr>
        <w:t>enyelidikan Geologi Teknik Potensi Liquifaksi Daerah Palu, Provinsi Sulawesi Tengah</w:t>
      </w:r>
      <w:r w:rsidR="00C42A2F">
        <w:rPr>
          <w:sz w:val="20"/>
          <w:szCs w:val="20"/>
        </w:rPr>
        <w:t>”</w:t>
      </w:r>
      <w:r w:rsidRPr="00151388">
        <w:rPr>
          <w:sz w:val="20"/>
          <w:szCs w:val="20"/>
        </w:rPr>
        <w:t xml:space="preserve"> Bandung</w:t>
      </w:r>
      <w:r w:rsidR="0064043E">
        <w:rPr>
          <w:sz w:val="20"/>
          <w:szCs w:val="20"/>
        </w:rPr>
        <w:t>, 2012.</w:t>
      </w:r>
    </w:p>
    <w:sectPr w:rsidR="00151388" w:rsidRPr="00151388"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ĝތ"/>
    <w:panose1 w:val="00000000000000000000"/>
    <w:charset w:val="00"/>
    <w:family w:val="auto"/>
    <w:pitch w:val="variable"/>
    <w:sig w:usb0="E00002FF" w:usb1="5000205A" w:usb2="00000000" w:usb3="00000000" w:csb0="0000019F" w:csb1="00000000"/>
  </w:font>
  <w:font w:name="New York">
    <w:altName w:val="Times New Roman"/>
    <w:panose1 w:val="020B0604020202020204"/>
    <w:charset w:val="00"/>
    <w:family w:val="roman"/>
    <w:notTrueType/>
    <w:pitch w:val="variable"/>
    <w:sig w:usb0="00000003" w:usb1="00000000" w:usb2="00000000" w:usb3="00000000" w:csb0="00000001" w:csb1="00000000"/>
  </w:font>
  <w:font w:name="Ayuthaya">
    <w:altName w:val="﷽﷽﷽﷽﷽﷽﷽﷽"/>
    <w:panose1 w:val="00000400000000000000"/>
    <w:charset w:val="DE"/>
    <w:family w:val="auto"/>
    <w:pitch w:val="variable"/>
    <w:sig w:usb0="A10002FF" w:usb1="5000204A" w:usb2="00000020" w:usb3="00000000" w:csb0="00010197"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 w15:restartNumberingAfterBreak="0">
    <w:nsid w:val="00000002"/>
    <w:multiLevelType w:val="multilevel"/>
    <w:tmpl w:val="000000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3" w15:restartNumberingAfterBreak="0">
    <w:nsid w:val="23D9017E"/>
    <w:multiLevelType w:val="hybridMultilevel"/>
    <w:tmpl w:val="DDA239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C7D6467"/>
    <w:multiLevelType w:val="hybridMultilevel"/>
    <w:tmpl w:val="64408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8"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6"/>
  </w:num>
  <w:num w:numId="2">
    <w:abstractNumId w:val="5"/>
  </w:num>
  <w:num w:numId="3">
    <w:abstractNumId w:val="7"/>
  </w:num>
  <w:num w:numId="4">
    <w:abstractNumId w:val="4"/>
  </w:num>
  <w:num w:numId="5">
    <w:abstractNumId w:val="3"/>
  </w:num>
  <w:num w:numId="6">
    <w:abstractNumId w:val="0"/>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intPostScriptOverText/>
  <w:embedSystemFonts/>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0814"/>
    <w:rsid w:val="00003D7C"/>
    <w:rsid w:val="00013880"/>
    <w:rsid w:val="00014140"/>
    <w:rsid w:val="00027428"/>
    <w:rsid w:val="00031EC9"/>
    <w:rsid w:val="000466AB"/>
    <w:rsid w:val="000473F8"/>
    <w:rsid w:val="00066FED"/>
    <w:rsid w:val="00075EA6"/>
    <w:rsid w:val="0007709F"/>
    <w:rsid w:val="00086F62"/>
    <w:rsid w:val="00090674"/>
    <w:rsid w:val="0009320B"/>
    <w:rsid w:val="00096AE0"/>
    <w:rsid w:val="000B1B74"/>
    <w:rsid w:val="000B3A2D"/>
    <w:rsid w:val="000B49C0"/>
    <w:rsid w:val="000E382F"/>
    <w:rsid w:val="000E75CD"/>
    <w:rsid w:val="001036BA"/>
    <w:rsid w:val="001146DC"/>
    <w:rsid w:val="00114AB1"/>
    <w:rsid w:val="001230FF"/>
    <w:rsid w:val="00130BD7"/>
    <w:rsid w:val="00151388"/>
    <w:rsid w:val="00155B67"/>
    <w:rsid w:val="001562AF"/>
    <w:rsid w:val="00161A5B"/>
    <w:rsid w:val="0016385D"/>
    <w:rsid w:val="0016782F"/>
    <w:rsid w:val="001937E9"/>
    <w:rsid w:val="001964E5"/>
    <w:rsid w:val="001B263B"/>
    <w:rsid w:val="001B476A"/>
    <w:rsid w:val="001C764F"/>
    <w:rsid w:val="001C7BB3"/>
    <w:rsid w:val="001D469C"/>
    <w:rsid w:val="0021619E"/>
    <w:rsid w:val="00216F79"/>
    <w:rsid w:val="00224402"/>
    <w:rsid w:val="0023171B"/>
    <w:rsid w:val="00236BFC"/>
    <w:rsid w:val="00237437"/>
    <w:rsid w:val="002502FD"/>
    <w:rsid w:val="00274622"/>
    <w:rsid w:val="00285D24"/>
    <w:rsid w:val="00290390"/>
    <w:rsid w:val="002915D3"/>
    <w:rsid w:val="002924DB"/>
    <w:rsid w:val="002941DA"/>
    <w:rsid w:val="002A1F66"/>
    <w:rsid w:val="002B5648"/>
    <w:rsid w:val="002B71D3"/>
    <w:rsid w:val="002C313F"/>
    <w:rsid w:val="002E3C35"/>
    <w:rsid w:val="002F5298"/>
    <w:rsid w:val="00311555"/>
    <w:rsid w:val="00314B75"/>
    <w:rsid w:val="00326AE0"/>
    <w:rsid w:val="00337E4F"/>
    <w:rsid w:val="00340C36"/>
    <w:rsid w:val="00342586"/>
    <w:rsid w:val="00346A9D"/>
    <w:rsid w:val="003641BB"/>
    <w:rsid w:val="0039376F"/>
    <w:rsid w:val="003A287B"/>
    <w:rsid w:val="003A5C85"/>
    <w:rsid w:val="003A61B1"/>
    <w:rsid w:val="003B0050"/>
    <w:rsid w:val="003D6312"/>
    <w:rsid w:val="003E7C74"/>
    <w:rsid w:val="003F0F00"/>
    <w:rsid w:val="003F31C6"/>
    <w:rsid w:val="0040225B"/>
    <w:rsid w:val="00402DA2"/>
    <w:rsid w:val="00425AC2"/>
    <w:rsid w:val="00432380"/>
    <w:rsid w:val="0044771F"/>
    <w:rsid w:val="004B151D"/>
    <w:rsid w:val="004C2324"/>
    <w:rsid w:val="004C7243"/>
    <w:rsid w:val="004E21DE"/>
    <w:rsid w:val="004E3C57"/>
    <w:rsid w:val="004E3CB2"/>
    <w:rsid w:val="00505307"/>
    <w:rsid w:val="00525813"/>
    <w:rsid w:val="00525D19"/>
    <w:rsid w:val="0053513F"/>
    <w:rsid w:val="00574405"/>
    <w:rsid w:val="005854B0"/>
    <w:rsid w:val="005A0E21"/>
    <w:rsid w:val="005B3A34"/>
    <w:rsid w:val="005D49AF"/>
    <w:rsid w:val="005E415C"/>
    <w:rsid w:val="005E71ED"/>
    <w:rsid w:val="005E7946"/>
    <w:rsid w:val="005F7475"/>
    <w:rsid w:val="00611299"/>
    <w:rsid w:val="00613B4D"/>
    <w:rsid w:val="00616365"/>
    <w:rsid w:val="00616F3B"/>
    <w:rsid w:val="006249A7"/>
    <w:rsid w:val="006255A6"/>
    <w:rsid w:val="0064043E"/>
    <w:rsid w:val="0064225B"/>
    <w:rsid w:val="006763F9"/>
    <w:rsid w:val="006949BC"/>
    <w:rsid w:val="006D1229"/>
    <w:rsid w:val="006D372F"/>
    <w:rsid w:val="006D7A18"/>
    <w:rsid w:val="006E4474"/>
    <w:rsid w:val="00701388"/>
    <w:rsid w:val="00723B7F"/>
    <w:rsid w:val="00725861"/>
    <w:rsid w:val="0073393A"/>
    <w:rsid w:val="0073539D"/>
    <w:rsid w:val="00767B8A"/>
    <w:rsid w:val="00775481"/>
    <w:rsid w:val="00786C75"/>
    <w:rsid w:val="007A233B"/>
    <w:rsid w:val="007A6D75"/>
    <w:rsid w:val="007B4863"/>
    <w:rsid w:val="007C65E6"/>
    <w:rsid w:val="007D406B"/>
    <w:rsid w:val="007D4407"/>
    <w:rsid w:val="007E1CA3"/>
    <w:rsid w:val="007E76B4"/>
    <w:rsid w:val="00812D62"/>
    <w:rsid w:val="00812F29"/>
    <w:rsid w:val="00821713"/>
    <w:rsid w:val="00827050"/>
    <w:rsid w:val="0083278B"/>
    <w:rsid w:val="00834538"/>
    <w:rsid w:val="00850E89"/>
    <w:rsid w:val="008930E4"/>
    <w:rsid w:val="00893821"/>
    <w:rsid w:val="008A7B9C"/>
    <w:rsid w:val="008B39FA"/>
    <w:rsid w:val="008B4754"/>
    <w:rsid w:val="008B4C64"/>
    <w:rsid w:val="008E09F6"/>
    <w:rsid w:val="008E6A7A"/>
    <w:rsid w:val="008F1038"/>
    <w:rsid w:val="008F7046"/>
    <w:rsid w:val="009005FC"/>
    <w:rsid w:val="00916995"/>
    <w:rsid w:val="00922E5A"/>
    <w:rsid w:val="00943315"/>
    <w:rsid w:val="00946C27"/>
    <w:rsid w:val="009A4F3D"/>
    <w:rsid w:val="009B696B"/>
    <w:rsid w:val="009B7671"/>
    <w:rsid w:val="009E5BA1"/>
    <w:rsid w:val="009F056E"/>
    <w:rsid w:val="00A24F3D"/>
    <w:rsid w:val="00A26DCD"/>
    <w:rsid w:val="00A3058C"/>
    <w:rsid w:val="00A314BB"/>
    <w:rsid w:val="00A32B7D"/>
    <w:rsid w:val="00A5596B"/>
    <w:rsid w:val="00A646B3"/>
    <w:rsid w:val="00A6739B"/>
    <w:rsid w:val="00A90413"/>
    <w:rsid w:val="00AA728C"/>
    <w:rsid w:val="00AB0A9C"/>
    <w:rsid w:val="00AB7119"/>
    <w:rsid w:val="00AD5855"/>
    <w:rsid w:val="00AE35F5"/>
    <w:rsid w:val="00AE7500"/>
    <w:rsid w:val="00AE7F87"/>
    <w:rsid w:val="00AF3542"/>
    <w:rsid w:val="00AF5ABE"/>
    <w:rsid w:val="00B00415"/>
    <w:rsid w:val="00B03C2A"/>
    <w:rsid w:val="00B1000D"/>
    <w:rsid w:val="00B10134"/>
    <w:rsid w:val="00B16BFE"/>
    <w:rsid w:val="00B500E5"/>
    <w:rsid w:val="00B56F67"/>
    <w:rsid w:val="00BA39BB"/>
    <w:rsid w:val="00BA3B3D"/>
    <w:rsid w:val="00BB491C"/>
    <w:rsid w:val="00BB7EEA"/>
    <w:rsid w:val="00BD1909"/>
    <w:rsid w:val="00BE2968"/>
    <w:rsid w:val="00BE5E16"/>
    <w:rsid w:val="00BE5FD1"/>
    <w:rsid w:val="00BF02A4"/>
    <w:rsid w:val="00BF5128"/>
    <w:rsid w:val="00C06E05"/>
    <w:rsid w:val="00C14B14"/>
    <w:rsid w:val="00C15FAB"/>
    <w:rsid w:val="00C17370"/>
    <w:rsid w:val="00C2054D"/>
    <w:rsid w:val="00C252EB"/>
    <w:rsid w:val="00C25663"/>
    <w:rsid w:val="00C26EC0"/>
    <w:rsid w:val="00C30BFF"/>
    <w:rsid w:val="00C402D2"/>
    <w:rsid w:val="00C42A2F"/>
    <w:rsid w:val="00C56C77"/>
    <w:rsid w:val="00C5711D"/>
    <w:rsid w:val="00C7038A"/>
    <w:rsid w:val="00C84923"/>
    <w:rsid w:val="00CB7B3E"/>
    <w:rsid w:val="00CC739D"/>
    <w:rsid w:val="00CF6C90"/>
    <w:rsid w:val="00D04468"/>
    <w:rsid w:val="00D30E2E"/>
    <w:rsid w:val="00D36257"/>
    <w:rsid w:val="00D41B71"/>
    <w:rsid w:val="00D4687E"/>
    <w:rsid w:val="00D53A12"/>
    <w:rsid w:val="00D87E2A"/>
    <w:rsid w:val="00DB0C43"/>
    <w:rsid w:val="00DE3354"/>
    <w:rsid w:val="00DF7DCD"/>
    <w:rsid w:val="00E42C20"/>
    <w:rsid w:val="00E50B7D"/>
    <w:rsid w:val="00E57FB2"/>
    <w:rsid w:val="00E904A1"/>
    <w:rsid w:val="00E93B70"/>
    <w:rsid w:val="00E93D9C"/>
    <w:rsid w:val="00EB7D28"/>
    <w:rsid w:val="00EC0D0C"/>
    <w:rsid w:val="00ED4A2C"/>
    <w:rsid w:val="00EF6940"/>
    <w:rsid w:val="00F1377D"/>
    <w:rsid w:val="00F2044A"/>
    <w:rsid w:val="00F20BFC"/>
    <w:rsid w:val="00F24D5F"/>
    <w:rsid w:val="00F26813"/>
    <w:rsid w:val="00F726C3"/>
    <w:rsid w:val="00F820CA"/>
    <w:rsid w:val="00F8554C"/>
    <w:rsid w:val="00F95F82"/>
    <w:rsid w:val="00F97A90"/>
    <w:rsid w:val="00FA3F18"/>
    <w:rsid w:val="00FB27A7"/>
    <w:rsid w:val="00FC2F35"/>
    <w:rsid w:val="00FC3FD7"/>
    <w:rsid w:val="00FD1FC6"/>
    <w:rsid w:val="00FE5869"/>
    <w:rsid w:val="00FF4457"/>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rsid w:val="00BF02A4"/>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qFormat/>
    <w:rsid w:val="005E415C"/>
    <w:pPr>
      <w:ind w:firstLine="284"/>
      <w:jc w:val="both"/>
    </w:pPr>
    <w:rPr>
      <w:sz w:val="20"/>
    </w:rPr>
  </w:style>
  <w:style w:type="character" w:styleId="FootnoteReference">
    <w:name w:val="footnote reference"/>
    <w:qFormat/>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qFormat/>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NoSpacing">
    <w:name w:val="No Spacing"/>
    <w:uiPriority w:val="1"/>
    <w:qFormat/>
    <w:rsid w:val="00000814"/>
    <w:rPr>
      <w:rFonts w:ascii="Calibri" w:eastAsia="Calibri" w:hAnsi="Calibri" w:cs="SimSun"/>
      <w:sz w:val="24"/>
      <w:szCs w:val="24"/>
      <w:lang w:val="en-US" w:eastAsia="en-US"/>
    </w:rPr>
  </w:style>
  <w:style w:type="paragraph" w:styleId="Caption">
    <w:name w:val="caption"/>
    <w:basedOn w:val="Normal"/>
    <w:next w:val="Normal"/>
    <w:uiPriority w:val="35"/>
    <w:qFormat/>
    <w:rsid w:val="00916995"/>
    <w:pPr>
      <w:ind w:left="-329" w:right="-105"/>
      <w:jc w:val="center"/>
    </w:pPr>
    <w:rPr>
      <w:rFonts w:cs="SimSun"/>
      <w:iCs/>
      <w:color w:val="000000"/>
      <w:szCs w:val="18"/>
      <w:lang w:val="id-ID"/>
    </w:rPr>
  </w:style>
  <w:style w:type="paragraph" w:customStyle="1" w:styleId="Style1">
    <w:name w:val="Style1"/>
    <w:basedOn w:val="NoSpacing"/>
    <w:next w:val="NoSpacing"/>
    <w:qFormat/>
    <w:rsid w:val="00BB491C"/>
    <w:pPr>
      <w:ind w:right="-105"/>
      <w:jc w:val="right"/>
    </w:pPr>
    <w:rPr>
      <w:rFonts w:ascii="Times New Roman" w:hAnsi="Times New Roman"/>
    </w:rPr>
  </w:style>
  <w:style w:type="paragraph" w:customStyle="1" w:styleId="Paragraphfirst">
    <w:name w:val="Paragraph_first"/>
    <w:basedOn w:val="Paragraph"/>
    <w:next w:val="Paragraph"/>
    <w:qFormat/>
    <w:rsid w:val="00BF02A4"/>
    <w:pPr>
      <w:tabs>
        <w:tab w:val="left" w:pos="340"/>
      </w:tabs>
      <w:suppressAutoHyphens/>
      <w:ind w:firstLine="0"/>
    </w:pPr>
    <w:rPr>
      <w:rFonts w:ascii="Times" w:hAnsi="Times" w:cs="New York"/>
      <w:lang w:val="en-GB" w:eastAsia="ar-SA"/>
    </w:rPr>
  </w:style>
  <w:style w:type="paragraph" w:customStyle="1" w:styleId="Section">
    <w:name w:val="Section"/>
    <w:basedOn w:val="Heading1"/>
    <w:next w:val="Paragraphfirst"/>
    <w:qFormat/>
    <w:rsid w:val="00151388"/>
    <w:pPr>
      <w:keepNext w:val="0"/>
      <w:numPr>
        <w:numId w:val="6"/>
      </w:numPr>
      <w:suppressAutoHyphens/>
      <w:spacing w:before="340" w:after="170"/>
      <w:jc w:val="both"/>
    </w:pPr>
    <w:rPr>
      <w:rFonts w:ascii="Arial" w:hAnsi="Arial" w:cs="Arial"/>
      <w:caps w:val="0"/>
      <w:szCs w:val="24"/>
      <w:lang w:val="en-GB" w:eastAsia="ar-SA"/>
    </w:rPr>
  </w:style>
  <w:style w:type="paragraph" w:customStyle="1" w:styleId="Subsection">
    <w:name w:val="Subsection"/>
    <w:basedOn w:val="Heading2"/>
    <w:next w:val="Paragraphfirst"/>
    <w:qFormat/>
    <w:rsid w:val="00151388"/>
    <w:pPr>
      <w:numPr>
        <w:ilvl w:val="1"/>
        <w:numId w:val="6"/>
      </w:numPr>
      <w:tabs>
        <w:tab w:val="left" w:pos="340"/>
      </w:tabs>
      <w:suppressAutoHyphens/>
      <w:spacing w:before="340" w:after="170"/>
      <w:jc w:val="both"/>
    </w:pPr>
    <w:rPr>
      <w:rFonts w:ascii="Arial" w:hAnsi="Arial" w:cs="Arial"/>
      <w:bCs/>
      <w:iCs/>
      <w:sz w:val="20"/>
      <w:szCs w:val="28"/>
      <w:lang w:val="en-GB" w:eastAsia="ar-SA"/>
    </w:rPr>
  </w:style>
  <w:style w:type="paragraph" w:customStyle="1" w:styleId="Subsubsection">
    <w:name w:val="Subsubsection"/>
    <w:basedOn w:val="Heading3"/>
    <w:next w:val="Paragraphfirst"/>
    <w:qFormat/>
    <w:rsid w:val="00151388"/>
    <w:pPr>
      <w:numPr>
        <w:ilvl w:val="2"/>
        <w:numId w:val="6"/>
      </w:numPr>
      <w:suppressAutoHyphens/>
      <w:spacing w:before="340" w:after="170"/>
      <w:jc w:val="left"/>
    </w:pPr>
    <w:rPr>
      <w:rFonts w:ascii="Arial" w:hAnsi="Arial"/>
      <w:bCs/>
      <w:iCs w:val="0"/>
      <w:szCs w:val="26"/>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28051">
      <w:bodyDiv w:val="1"/>
      <w:marLeft w:val="0"/>
      <w:marRight w:val="0"/>
      <w:marTop w:val="0"/>
      <w:marBottom w:val="0"/>
      <w:divBdr>
        <w:top w:val="none" w:sz="0" w:space="0" w:color="auto"/>
        <w:left w:val="none" w:sz="0" w:space="0" w:color="auto"/>
        <w:bottom w:val="none" w:sz="0" w:space="0" w:color="auto"/>
        <w:right w:val="none" w:sz="0" w:space="0" w:color="auto"/>
      </w:divBdr>
      <w:divsChild>
        <w:div w:id="1290432603">
          <w:marLeft w:val="0"/>
          <w:marRight w:val="0"/>
          <w:marTop w:val="0"/>
          <w:marBottom w:val="0"/>
          <w:divBdr>
            <w:top w:val="none" w:sz="0" w:space="0" w:color="auto"/>
            <w:left w:val="none" w:sz="0" w:space="0" w:color="auto"/>
            <w:bottom w:val="none" w:sz="0" w:space="0" w:color="auto"/>
            <w:right w:val="none" w:sz="0" w:space="0" w:color="auto"/>
          </w:divBdr>
          <w:divsChild>
            <w:div w:id="389617774">
              <w:marLeft w:val="0"/>
              <w:marRight w:val="0"/>
              <w:marTop w:val="0"/>
              <w:marBottom w:val="0"/>
              <w:divBdr>
                <w:top w:val="none" w:sz="0" w:space="0" w:color="auto"/>
                <w:left w:val="none" w:sz="0" w:space="0" w:color="auto"/>
                <w:bottom w:val="none" w:sz="0" w:space="0" w:color="auto"/>
                <w:right w:val="none" w:sz="0" w:space="0" w:color="auto"/>
              </w:divBdr>
              <w:divsChild>
                <w:div w:id="1616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14553">
      <w:bodyDiv w:val="1"/>
      <w:marLeft w:val="0"/>
      <w:marRight w:val="0"/>
      <w:marTop w:val="0"/>
      <w:marBottom w:val="0"/>
      <w:divBdr>
        <w:top w:val="none" w:sz="0" w:space="0" w:color="auto"/>
        <w:left w:val="none" w:sz="0" w:space="0" w:color="auto"/>
        <w:bottom w:val="none" w:sz="0" w:space="0" w:color="auto"/>
        <w:right w:val="none" w:sz="0" w:space="0" w:color="auto"/>
      </w:divBdr>
      <w:divsChild>
        <w:div w:id="227110683">
          <w:marLeft w:val="0"/>
          <w:marRight w:val="0"/>
          <w:marTop w:val="0"/>
          <w:marBottom w:val="0"/>
          <w:divBdr>
            <w:top w:val="none" w:sz="0" w:space="0" w:color="auto"/>
            <w:left w:val="none" w:sz="0" w:space="0" w:color="auto"/>
            <w:bottom w:val="none" w:sz="0" w:space="0" w:color="auto"/>
            <w:right w:val="none" w:sz="0" w:space="0" w:color="auto"/>
          </w:divBdr>
          <w:divsChild>
            <w:div w:id="1863978108">
              <w:marLeft w:val="0"/>
              <w:marRight w:val="0"/>
              <w:marTop w:val="0"/>
              <w:marBottom w:val="0"/>
              <w:divBdr>
                <w:top w:val="none" w:sz="0" w:space="0" w:color="auto"/>
                <w:left w:val="none" w:sz="0" w:space="0" w:color="auto"/>
                <w:bottom w:val="none" w:sz="0" w:space="0" w:color="auto"/>
                <w:right w:val="none" w:sz="0" w:space="0" w:color="auto"/>
              </w:divBdr>
              <w:divsChild>
                <w:div w:id="73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8134">
      <w:bodyDiv w:val="1"/>
      <w:marLeft w:val="0"/>
      <w:marRight w:val="0"/>
      <w:marTop w:val="0"/>
      <w:marBottom w:val="0"/>
      <w:divBdr>
        <w:top w:val="none" w:sz="0" w:space="0" w:color="auto"/>
        <w:left w:val="none" w:sz="0" w:space="0" w:color="auto"/>
        <w:bottom w:val="none" w:sz="0" w:space="0" w:color="auto"/>
        <w:right w:val="none" w:sz="0" w:space="0" w:color="auto"/>
      </w:divBdr>
      <w:divsChild>
        <w:div w:id="771124085">
          <w:marLeft w:val="0"/>
          <w:marRight w:val="0"/>
          <w:marTop w:val="0"/>
          <w:marBottom w:val="0"/>
          <w:divBdr>
            <w:top w:val="none" w:sz="0" w:space="0" w:color="auto"/>
            <w:left w:val="none" w:sz="0" w:space="0" w:color="auto"/>
            <w:bottom w:val="none" w:sz="0" w:space="0" w:color="auto"/>
            <w:right w:val="none" w:sz="0" w:space="0" w:color="auto"/>
          </w:divBdr>
          <w:divsChild>
            <w:div w:id="1777941699">
              <w:marLeft w:val="0"/>
              <w:marRight w:val="0"/>
              <w:marTop w:val="0"/>
              <w:marBottom w:val="0"/>
              <w:divBdr>
                <w:top w:val="none" w:sz="0" w:space="0" w:color="auto"/>
                <w:left w:val="none" w:sz="0" w:space="0" w:color="auto"/>
                <w:bottom w:val="none" w:sz="0" w:space="0" w:color="auto"/>
                <w:right w:val="none" w:sz="0" w:space="0" w:color="auto"/>
              </w:divBdr>
              <w:divsChild>
                <w:div w:id="8277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28320">
      <w:bodyDiv w:val="1"/>
      <w:marLeft w:val="0"/>
      <w:marRight w:val="0"/>
      <w:marTop w:val="0"/>
      <w:marBottom w:val="0"/>
      <w:divBdr>
        <w:top w:val="none" w:sz="0" w:space="0" w:color="auto"/>
        <w:left w:val="none" w:sz="0" w:space="0" w:color="auto"/>
        <w:bottom w:val="none" w:sz="0" w:space="0" w:color="auto"/>
        <w:right w:val="none" w:sz="0" w:space="0" w:color="auto"/>
      </w:divBdr>
      <w:divsChild>
        <w:div w:id="512183700">
          <w:marLeft w:val="0"/>
          <w:marRight w:val="0"/>
          <w:marTop w:val="0"/>
          <w:marBottom w:val="0"/>
          <w:divBdr>
            <w:top w:val="none" w:sz="0" w:space="0" w:color="auto"/>
            <w:left w:val="none" w:sz="0" w:space="0" w:color="auto"/>
            <w:bottom w:val="none" w:sz="0" w:space="0" w:color="auto"/>
            <w:right w:val="none" w:sz="0" w:space="0" w:color="auto"/>
          </w:divBdr>
          <w:divsChild>
            <w:div w:id="1701278489">
              <w:marLeft w:val="0"/>
              <w:marRight w:val="0"/>
              <w:marTop w:val="0"/>
              <w:marBottom w:val="0"/>
              <w:divBdr>
                <w:top w:val="none" w:sz="0" w:space="0" w:color="auto"/>
                <w:left w:val="none" w:sz="0" w:space="0" w:color="auto"/>
                <w:bottom w:val="none" w:sz="0" w:space="0" w:color="auto"/>
                <w:right w:val="none" w:sz="0" w:space="0" w:color="auto"/>
              </w:divBdr>
              <w:divsChild>
                <w:div w:id="1983848159">
                  <w:marLeft w:val="0"/>
                  <w:marRight w:val="0"/>
                  <w:marTop w:val="0"/>
                  <w:marBottom w:val="0"/>
                  <w:divBdr>
                    <w:top w:val="none" w:sz="0" w:space="0" w:color="auto"/>
                    <w:left w:val="none" w:sz="0" w:space="0" w:color="auto"/>
                    <w:bottom w:val="none" w:sz="0" w:space="0" w:color="auto"/>
                    <w:right w:val="none" w:sz="0" w:space="0" w:color="auto"/>
                  </w:divBdr>
                  <w:divsChild>
                    <w:div w:id="16576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2030569354">
      <w:bodyDiv w:val="1"/>
      <w:marLeft w:val="0"/>
      <w:marRight w:val="0"/>
      <w:marTop w:val="0"/>
      <w:marBottom w:val="0"/>
      <w:divBdr>
        <w:top w:val="none" w:sz="0" w:space="0" w:color="auto"/>
        <w:left w:val="none" w:sz="0" w:space="0" w:color="auto"/>
        <w:bottom w:val="none" w:sz="0" w:space="0" w:color="auto"/>
        <w:right w:val="none" w:sz="0" w:space="0" w:color="auto"/>
      </w:divBdr>
      <w:divsChild>
        <w:div w:id="179248603">
          <w:marLeft w:val="0"/>
          <w:marRight w:val="0"/>
          <w:marTop w:val="0"/>
          <w:marBottom w:val="0"/>
          <w:divBdr>
            <w:top w:val="none" w:sz="0" w:space="0" w:color="auto"/>
            <w:left w:val="none" w:sz="0" w:space="0" w:color="auto"/>
            <w:bottom w:val="none" w:sz="0" w:space="0" w:color="auto"/>
            <w:right w:val="none" w:sz="0" w:space="0" w:color="auto"/>
          </w:divBdr>
          <w:divsChild>
            <w:div w:id="1776711442">
              <w:marLeft w:val="0"/>
              <w:marRight w:val="0"/>
              <w:marTop w:val="0"/>
              <w:marBottom w:val="0"/>
              <w:divBdr>
                <w:top w:val="none" w:sz="0" w:space="0" w:color="auto"/>
                <w:left w:val="none" w:sz="0" w:space="0" w:color="auto"/>
                <w:bottom w:val="none" w:sz="0" w:space="0" w:color="auto"/>
                <w:right w:val="none" w:sz="0" w:space="0" w:color="auto"/>
              </w:divBdr>
              <w:divsChild>
                <w:div w:id="20985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56425F-1937-4D51-AED9-1347136DB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C:\Users\rlevins\Desktop\8x11WordTemplates\article_templates\single_column\8_point5_x11_single_column_template.dotx</Template>
  <TotalTime>121</TotalTime>
  <Pages>9</Pages>
  <Words>4485</Words>
  <Characters>25570</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Suci Amalia Namira</cp:lastModifiedBy>
  <cp:revision>11</cp:revision>
  <cp:lastPrinted>2021-09-22T14:14:00Z</cp:lastPrinted>
  <dcterms:created xsi:type="dcterms:W3CDTF">2021-09-13T14:41:00Z</dcterms:created>
  <dcterms:modified xsi:type="dcterms:W3CDTF">2021-12-20T01:59:00Z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